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00"/>
        <w:jc w:val="center"/>
      </w:pPr>
      <w:r>
        <w:rPr>
          <w:b/>
          <w:bCs/>
          <w:color w:val="1E293B"/>
          <w:sz w:val="36"/>
          <w:szCs w:val="36"/>
        </w:rPr>
        <w:t xml:space="preserve">BrewStanza</w:t>
      </w:r>
    </w:p>
    <w:p>
      <w:pPr>
        <w:spacing w:after="100"/>
        <w:jc w:val="center"/>
      </w:pPr>
      <w:r>
        <w:rPr>
          <w:color w:val="1E293B"/>
          <w:sz w:val="24"/>
          <w:szCs w:val="24"/>
        </w:rPr>
        <w:t xml:space="preserve">macOS Homebrew &amp; Application Manager</w:t>
      </w:r>
    </w:p>
    <w:p>
      <w:pPr>
        <w:spacing w:after="400"/>
        <w:jc w:val="center"/>
      </w:pPr>
      <w:r>
        <w:rPr>
          <w:color w:val="64748B"/>
          <w:sz w:val="20"/>
          <w:szCs w:val="20"/>
        </w:rPr>
        <w:t xml:space="preserve">Version 1.0 | March 2026</w:t>
      </w:r>
    </w:p>
    <w:p>
      <w:pPr>
        <w:pStyle w:val="Heading1"/>
      </w:pPr>
      <w:r>
        <w:t xml:space="preserve">1. Executive Summary</w:t>
      </w:r>
    </w:p>
    <w:p>
      <w:pPr>
        <w:spacing w:after="200"/>
      </w:pPr>
      <w:r>
        <w:t xml:space="preserve">BrewStanza is a Python-based command-line tool designed to manage Homebrew packages and installed applications on macOS. The tool provides users with comprehensive visibility into their software inventory, storage consumption analysis, and streamlined uninstallation workflows. The primary goal is to create a minimalist, efficient utility that serves both personal productivity needs and demonstrates professional software development capabilities for portfolio purposes.</w:t>
      </w:r>
    </w:p>
    <w:p>
      <w:pPr>
        <w:spacing w:after="200"/>
      </w:pPr>
      <w:r>
        <w:t xml:space="preserve">BrewStanza targets macOS Tahoe running on Apple Silicon architecture, leveraging existing system utilities such as Homebrew's built-in commands and standard Unix tools for file system analysis. The MVP approach ensures rapid delivery of core functionality while establishing a foundation for future enhancements based on user feedback and evolving requirements.</w:t>
      </w:r>
    </w:p>
    <w:p>
      <w:pPr>
        <w:pStyle w:val="Heading1"/>
      </w:pPr>
      <w:r>
        <w:t xml:space="preserve">2. Project Overview</w:t>
      </w:r>
    </w:p>
    <w:p>
      <w:pPr>
        <w:pStyle w:val="Heading2"/>
      </w:pPr>
      <w:r>
        <w:t xml:space="preserve">2.1 Project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020617" w:sz="12"/>
              <w:left w:val="none"/>
              <w:bottom w:val="single" w:color="020617" w:sz="12"/>
              <w:right w:val="none"/>
            </w:tcBorders>
            <w:shd w:fill="E2E8F0" w:val="clear"/>
          </w:tcPr>
          <w:p>
            <w:r>
              <w:rPr>
                <w:b/>
                <w:bCs/>
                <w:sz w:val="20"/>
                <w:szCs w:val="20"/>
              </w:rPr>
              <w:t xml:space="preserve">Project Name</w:t>
            </w:r>
          </w:p>
        </w:tc>
        <w:tc>
          <w:tcPr>
            <w:tcW w:type="dxa" w:w="6240"/>
            <w:tcBorders>
              <w:top w:val="single" w:color="020617" w:sz="12"/>
              <w:left w:val="none"/>
              <w:bottom w:val="single" w:color="020617" w:sz="12"/>
              <w:right w:val="none"/>
            </w:tcBorders>
          </w:tcPr>
          <w:p>
            <w:r>
              <w:rPr>
                <w:b/>
                <w:bCs/>
                <w:color w:val="22C55E"/>
                <w:sz w:val="20"/>
                <w:szCs w:val="20"/>
              </w:rPr>
              <w:t xml:space="preserve">BrewStanza</w:t>
            </w:r>
          </w:p>
        </w:tc>
      </w:tr>
      <w:tr>
        <w:tc>
          <w:tcPr>
            <w:tcW w:type="dxa" w:w="3120"/>
            <w:tcBorders>
              <w:top w:val="single" w:color="020617" w:sz="12"/>
              <w:left w:val="none"/>
              <w:bottom w:val="single" w:color="020617" w:sz="12"/>
              <w:right w:val="none"/>
            </w:tcBorders>
            <w:shd w:fill="E2E8F0" w:val="clear"/>
          </w:tcPr>
          <w:p>
            <w:r>
              <w:rPr>
                <w:b/>
                <w:bCs/>
                <w:sz w:val="20"/>
                <w:szCs w:val="20"/>
              </w:rPr>
              <w:t xml:space="preserve">Technology Stack</w:t>
            </w:r>
          </w:p>
        </w:tc>
        <w:tc>
          <w:tcPr>
            <w:tcW w:type="dxa" w:w="6240"/>
            <w:tcBorders>
              <w:top w:val="single" w:color="020617" w:sz="12"/>
              <w:left w:val="none"/>
              <w:bottom w:val="single" w:color="020617" w:sz="12"/>
              <w:right w:val="none"/>
            </w:tcBorders>
          </w:tcPr>
          <w:p>
            <w:r>
              <w:rPr>
                <w:b/>
                <w:bCs/>
                <w:color w:val="22C55E"/>
                <w:sz w:val="20"/>
                <w:szCs w:val="20"/>
              </w:rPr>
              <w:t xml:space="preserve">Python 3.11+</w:t>
            </w:r>
          </w:p>
        </w:tc>
      </w:tr>
      <w:tr>
        <w:tc>
          <w:tcPr>
            <w:tcW w:type="dxa" w:w="3120"/>
            <w:tcBorders>
              <w:top w:val="single" w:color="020617" w:sz="12"/>
              <w:left w:val="none"/>
              <w:bottom w:val="single" w:color="020617" w:sz="12"/>
              <w:right w:val="none"/>
            </w:tcBorders>
            <w:shd w:fill="E2E8F0" w:val="clear"/>
          </w:tcPr>
          <w:p>
            <w:r>
              <w:rPr>
                <w:b/>
                <w:bCs/>
                <w:sz w:val="20"/>
                <w:szCs w:val="20"/>
              </w:rPr>
              <w:t xml:space="preserve">Operating System</w:t>
            </w:r>
          </w:p>
        </w:tc>
        <w:tc>
          <w:tcPr>
            <w:tcW w:type="dxa" w:w="6240"/>
            <w:tcBorders>
              <w:top w:val="single" w:color="020617" w:sz="12"/>
              <w:left w:val="none"/>
              <w:bottom w:val="single" w:color="020617" w:sz="12"/>
              <w:right w:val="none"/>
            </w:tcBorders>
          </w:tcPr>
          <w:p>
            <w:r>
              <w:rPr>
                <w:sz w:val="20"/>
                <w:szCs w:val="20"/>
              </w:rPr>
              <w:t xml:space="preserve">macOS Tahoe (Apple Silicon M1/M2/M3/M4)</w:t>
            </w:r>
          </w:p>
        </w:tc>
      </w:tr>
      <w:tr>
        <w:tc>
          <w:tcPr>
            <w:tcW w:type="dxa" w:w="3120"/>
            <w:tcBorders>
              <w:top w:val="single" w:color="020617" w:sz="12"/>
              <w:left w:val="none"/>
              <w:bottom w:val="single" w:color="020617" w:sz="12"/>
              <w:right w:val="none"/>
            </w:tcBorders>
            <w:shd w:fill="E2E8F0" w:val="clear"/>
          </w:tcPr>
          <w:p>
            <w:r>
              <w:rPr>
                <w:b/>
                <w:bCs/>
                <w:sz w:val="20"/>
                <w:szCs w:val="20"/>
              </w:rPr>
              <w:t xml:space="preserve">Distribution</w:t>
            </w:r>
          </w:p>
        </w:tc>
        <w:tc>
          <w:tcPr>
            <w:tcW w:type="dxa" w:w="6240"/>
            <w:tcBorders>
              <w:top w:val="single" w:color="020617" w:sz="12"/>
              <w:left w:val="none"/>
              <w:bottom w:val="single" w:color="020617" w:sz="12"/>
              <w:right w:val="none"/>
            </w:tcBorders>
          </w:tcPr>
          <w:p>
            <w:r>
              <w:rPr>
                <w:sz w:val="20"/>
                <w:szCs w:val="20"/>
              </w:rPr>
              <w:t xml:space="preserve">GitHub repository + Homebrew formula</w:t>
            </w:r>
          </w:p>
        </w:tc>
      </w:tr>
    </w:tbl>
    <w:p>
      <w:pPr>
        <w:spacing w:after="200" w:before="100"/>
        <w:jc w:val="center"/>
      </w:pPr>
      <w:r>
        <w:rPr>
          <w:i/>
          <w:iCs/>
          <w:color w:val="64748B"/>
          <w:sz w:val="18"/>
          <w:szCs w:val="18"/>
        </w:rPr>
        <w:t xml:space="preserve">Table 1: Project Identity</w:t>
      </w:r>
    </w:p>
    <w:p>
      <w:pPr>
        <w:pStyle w:val="Heading2"/>
      </w:pPr>
      <w:r>
        <w:t xml:space="preserve">2.2 Project Goals</w:t>
      </w:r>
    </w:p>
    <w:p>
      <w:pPr>
        <w:pStyle w:val="ListParagraph"/>
        <w:numPr>
          <w:ilvl w:val="0"/>
          <w:numId w:val="2"/>
        </w:numPr>
      </w:pPr>
      <w:r>
        <w:t xml:space="preserve">Create a unified tool for managing Homebrew packages and macOS applications from a single interface</w:t>
      </w:r>
    </w:p>
    <w:p>
      <w:pPr>
        <w:pStyle w:val="ListParagraph"/>
        <w:numPr>
          <w:ilvl w:val="0"/>
          <w:numId w:val="2"/>
        </w:numPr>
      </w:pPr>
      <w:r>
        <w:t xml:space="preserve">Provide detailed storage analytics with category-based breakdowns for informed decision-making</w:t>
      </w:r>
    </w:p>
    <w:p>
      <w:pPr>
        <w:pStyle w:val="ListParagraph"/>
        <w:numPr>
          <w:ilvl w:val="0"/>
          <w:numId w:val="2"/>
        </w:numPr>
      </w:pPr>
      <w:r>
        <w:t xml:space="preserve">Generate clear, actionable uninstall instructions without requiring deep technical knowledge</w:t>
      </w:r>
    </w:p>
    <w:p>
      <w:pPr>
        <w:pStyle w:val="ListParagraph"/>
        <w:numPr>
          <w:ilvl w:val="0"/>
          <w:numId w:val="2"/>
        </w:numPr>
      </w:pPr>
      <w:r>
        <w:t xml:space="preserve">Enable configuration export to files or direct GitHub repository commits for backup and sharing</w:t>
      </w:r>
    </w:p>
    <w:p>
      <w:pPr>
        <w:pStyle w:val="ListParagraph"/>
        <w:numPr>
          <w:ilvl w:val="0"/>
          <w:numId w:val="2"/>
        </w:numPr>
        <w:spacing w:after="200"/>
      </w:pPr>
      <w:r>
        <w:t xml:space="preserve">Deliver a polished, portfolio-worthy project that demonstrates software engineering best practices</w:t>
      </w:r>
    </w:p>
    <w:p>
      <w:pPr>
        <w:pStyle w:val="Heading2"/>
      </w:pPr>
      <w:r>
        <w:t xml:space="preserve">2.3 Target Audience</w:t>
      </w:r>
    </w:p>
    <w:p>
      <w:pPr>
        <w:spacing w:after="200"/>
      </w:pPr>
      <w:r>
        <w:t xml:space="preserve">The primary user is the developer themselves, seeking a practical tool for personal Mac maintenance and organization. Secondary audiences include potential employers reviewing the portfolio, open-source community members interested in macOS tooling, and fellow developers facing similar system management challenges. The tool should be intuitive enough for intermediate macOS users while providing depth for power users.</w:t>
      </w:r>
    </w:p>
    <w:p>
      <w:pPr>
        <w:pStyle w:val="Heading1"/>
      </w:pPr>
      <w:r>
        <w:t xml:space="preserve">3. Competitive Analysis</w:t>
      </w:r>
    </w:p>
    <w:p>
      <w:pPr>
        <w:spacing w:after="200"/>
      </w:pPr>
      <w:r>
        <w:t xml:space="preserve">The macOS software management space contains several established tools, each with distinct focuses and limitations. Understanding the competitive landscape helps identify opportunities for differentiation and ensures BrewStanza addresses genuine unmet needs in the ecosystem.</w:t>
      </w:r>
    </w:p>
    <w:p>
      <w:pPr>
        <w:pStyle w:val="Heading2"/>
      </w:pPr>
      <w:r>
        <w:t xml:space="preserve">3.1 Competitive Gap Analysis</w:t>
      </w:r>
    </w:p>
    <w:p>
      <w:pPr>
        <w:spacing w:after="200"/>
      </w:pPr>
      <w:r>
        <w:t xml:space="preserve">The analysis reveals a significant gap in the market: no existing tool combines Homebrew management with application inventory in a single, cohesive CLI interface. Most tools specialize in either package management or app cleaning, requiring users to maintain separate workflows. Additionally, none of the surveyed tools offer configuration export to files or direct GitHub integration, which represents a unique differentiating feature for BrewStanza.</w:t>
      </w:r>
    </w:p>
    <w:p>
      <w:pPr>
        <w:pStyle w:val="Heading1"/>
      </w:pPr>
      <w:r>
        <w:t xml:space="preserve">4. Feature Requirements</w:t>
      </w:r>
    </w:p>
    <w:p>
      <w:pPr>
        <w:pStyle w:val="Heading2"/>
      </w:pPr>
      <w:r>
        <w:t xml:space="preserve">4.1 Homebrew Management (MVP)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560"/>
        <w:gridCol w:w="4680"/>
      </w:tblGrid>
      <w:tr>
        <w:trPr>
          <w:tblHeader/>
        </w:trPr>
        <w:tc>
          <w:tcPr>
            <w:tcW w:type="dxa" w:w="3120"/>
            <w:tcBorders>
              <w:top w:val="single" w:color="020617" w:sz="12"/>
              <w:left w:val="none"/>
              <w:bottom w:val="single" w:color="020617" w:sz="12"/>
              <w:right w:val="none"/>
            </w:tcBorders>
            <w:shd w:fill="E2E8F0" w:val="clear"/>
          </w:tcPr>
          <w:p>
            <w:pPr>
              <w:jc w:val="center"/>
            </w:pPr>
            <w:r>
              <w:rPr>
                <w:b/>
                <w:bCs/>
                <w:sz w:val="20"/>
                <w:szCs w:val="20"/>
              </w:rPr>
              <w:t xml:space="preserve">Feature</w:t>
            </w:r>
          </w:p>
        </w:tc>
        <w:tc>
          <w:tcPr>
            <w:tcW w:type="dxa" w:w="1560"/>
            <w:tcBorders>
              <w:top w:val="single" w:color="020617" w:sz="12"/>
              <w:left w:val="none"/>
              <w:bottom w:val="single" w:color="020617" w:sz="12"/>
              <w:right w:val="none"/>
            </w:tcBorders>
            <w:shd w:fill="E2E8F0" w:val="clear"/>
          </w:tcPr>
          <w:p>
            <w:pPr>
              <w:jc w:val="center"/>
            </w:pPr>
            <w:r>
              <w:rPr>
                <w:b/>
                <w:bCs/>
                <w:sz w:val="20"/>
                <w:szCs w:val="20"/>
              </w:rPr>
              <w:t xml:space="preserve">Priority</w:t>
            </w:r>
          </w:p>
        </w:tc>
        <w:tc>
          <w:tcPr>
            <w:tcW w:type="dxa" w:w="4680"/>
            <w:tcBorders>
              <w:top w:val="single" w:color="020617" w:sz="12"/>
              <w:left w:val="none"/>
              <w:bottom w:val="single" w:color="020617" w:sz="12"/>
              <w:right w:val="none"/>
            </w:tcBorders>
            <w:shd w:fill="E2E8F0" w:val="clear"/>
          </w:tcPr>
          <w:p>
            <w:pPr>
              <w:jc w:val="center"/>
            </w:pPr>
            <w:r>
              <w:rPr>
                <w:b/>
                <w:bCs/>
                <w:sz w:val="20"/>
                <w:szCs w:val="20"/>
              </w:rPr>
              <w:t xml:space="preserve">Technical Approach</w:t>
            </w:r>
          </w:p>
        </w:tc>
      </w:tr>
      <w:tr>
        <w:tc>
          <w:tcPr>
            <w:tcW w:type="dxa" w:w="3120"/>
            <w:tcBorders>
              <w:top w:val="single" w:color="020617" w:sz="12"/>
              <w:left w:val="none"/>
              <w:bottom w:val="single" w:color="020617" w:sz="12"/>
              <w:right w:val="none"/>
            </w:tcBorders>
          </w:tcPr>
          <w:p>
            <w:r>
              <w:rPr>
                <w:sz w:val="20"/>
                <w:szCs w:val="20"/>
              </w:rPr>
              <w:t xml:space="preserve">List installed formulae</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subprocess + brew list --formula</w:t>
            </w:r>
          </w:p>
        </w:tc>
      </w:tr>
      <w:tr>
        <w:tc>
          <w:tcPr>
            <w:tcW w:type="dxa" w:w="3120"/>
            <w:tcBorders>
              <w:top w:val="single" w:color="020617" w:sz="12"/>
              <w:left w:val="none"/>
              <w:bottom w:val="single" w:color="020617" w:sz="12"/>
              <w:right w:val="none"/>
            </w:tcBorders>
          </w:tcPr>
          <w:p>
            <w:r>
              <w:rPr>
                <w:sz w:val="20"/>
                <w:szCs w:val="20"/>
              </w:rPr>
              <w:t xml:space="preserve">List installed casks</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subprocess + brew list --cask</w:t>
            </w:r>
          </w:p>
        </w:tc>
      </w:tr>
      <w:tr>
        <w:tc>
          <w:tcPr>
            <w:tcW w:type="dxa" w:w="3120"/>
            <w:tcBorders>
              <w:top w:val="single" w:color="020617" w:sz="12"/>
              <w:left w:val="none"/>
              <w:bottom w:val="single" w:color="020617" w:sz="12"/>
              <w:right w:val="none"/>
            </w:tcBorders>
          </w:tcPr>
          <w:p>
            <w:r>
              <w:rPr>
                <w:sz w:val="20"/>
                <w:szCs w:val="20"/>
              </w:rPr>
              <w:t xml:space="preserve">Show package descriptions</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subprocess + brew desc &lt;package&gt;</w:t>
            </w:r>
          </w:p>
        </w:tc>
      </w:tr>
      <w:tr>
        <w:tc>
          <w:tcPr>
            <w:tcW w:type="dxa" w:w="3120"/>
            <w:tcBorders>
              <w:top w:val="single" w:color="020617" w:sz="12"/>
              <w:left w:val="none"/>
              <w:bottom w:val="single" w:color="020617" w:sz="12"/>
              <w:right w:val="none"/>
            </w:tcBorders>
          </w:tcPr>
          <w:p>
            <w:r>
              <w:rPr>
                <w:sz w:val="20"/>
                <w:szCs w:val="20"/>
              </w:rPr>
              <w:t xml:space="preserve">Show disk space per package</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brew info JSON output + du -sh</w:t>
            </w:r>
          </w:p>
        </w:tc>
      </w:tr>
      <w:tr>
        <w:tc>
          <w:tcPr>
            <w:tcW w:type="dxa" w:w="3120"/>
            <w:tcBorders>
              <w:top w:val="single" w:color="020617" w:sz="12"/>
              <w:left w:val="none"/>
              <w:bottom w:val="single" w:color="020617" w:sz="12"/>
              <w:right w:val="none"/>
            </w:tcBorders>
          </w:tcPr>
          <w:p>
            <w:r>
              <w:rPr>
                <w:sz w:val="20"/>
                <w:szCs w:val="20"/>
              </w:rPr>
              <w:t xml:space="preserve">Display uninstall commands</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Generate brew uninstall commands</w:t>
            </w:r>
          </w:p>
        </w:tc>
      </w:tr>
      <w:tr>
        <w:tc>
          <w:tcPr>
            <w:tcW w:type="dxa" w:w="3120"/>
            <w:tcBorders>
              <w:top w:val="single" w:color="020617" w:sz="12"/>
              <w:left w:val="none"/>
              <w:bottom w:val="single" w:color="020617" w:sz="12"/>
              <w:right w:val="none"/>
            </w:tcBorders>
          </w:tcPr>
          <w:p>
            <w:r>
              <w:rPr>
                <w:sz w:val="20"/>
                <w:szCs w:val="20"/>
              </w:rPr>
              <w:t xml:space="preserve">Detect outdated packages</w:t>
            </w:r>
          </w:p>
        </w:tc>
        <w:tc>
          <w:tcPr>
            <w:tcW w:type="dxa" w:w="1560"/>
            <w:tcBorders>
              <w:top w:val="single" w:color="020617" w:sz="12"/>
              <w:left w:val="none"/>
              <w:bottom w:val="single" w:color="020617" w:sz="12"/>
              <w:right w:val="none"/>
            </w:tcBorders>
          </w:tcPr>
          <w:p>
            <w:pPr>
              <w:jc w:val="center"/>
            </w:pPr>
            <w:r>
              <w:rPr>
                <w:sz w:val="20"/>
                <w:szCs w:val="20"/>
              </w:rPr>
              <w:t xml:space="preserve">Medium</w:t>
            </w:r>
          </w:p>
        </w:tc>
        <w:tc>
          <w:tcPr>
            <w:tcW w:type="dxa" w:w="4680"/>
            <w:tcBorders>
              <w:top w:val="single" w:color="020617" w:sz="12"/>
              <w:left w:val="none"/>
              <w:bottom w:val="single" w:color="020617" w:sz="12"/>
              <w:right w:val="none"/>
            </w:tcBorders>
          </w:tcPr>
          <w:p>
            <w:r>
              <w:rPr>
                <w:sz w:val="20"/>
                <w:szCs w:val="20"/>
              </w:rPr>
              <w:t xml:space="preserve">subprocess + brew outdated</w:t>
            </w:r>
          </w:p>
        </w:tc>
      </w:tr>
    </w:tbl>
    <w:p>
      <w:pPr>
        <w:spacing w:after="200" w:before="100"/>
        <w:jc w:val="center"/>
      </w:pPr>
      <w:r>
        <w:rPr>
          <w:i/>
          <w:iCs/>
          <w:color w:val="64748B"/>
          <w:sz w:val="18"/>
          <w:szCs w:val="18"/>
        </w:rPr>
        <w:t xml:space="preserve">Table 2: Homebrew MVP Features</w:t>
      </w:r>
    </w:p>
    <w:p>
      <w:pPr>
        <w:pStyle w:val="Heading2"/>
      </w:pPr>
      <w:r>
        <w:t xml:space="preserve">4.2 Application Scanning (MVP)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560"/>
        <w:gridCol w:w="4680"/>
      </w:tblGrid>
      <w:tr>
        <w:trPr>
          <w:tblHeader/>
        </w:trPr>
        <w:tc>
          <w:tcPr>
            <w:tcW w:type="dxa" w:w="3120"/>
            <w:tcBorders>
              <w:top w:val="single" w:color="020617" w:sz="12"/>
              <w:left w:val="none"/>
              <w:bottom w:val="single" w:color="020617" w:sz="12"/>
              <w:right w:val="none"/>
            </w:tcBorders>
            <w:shd w:fill="E2E8F0" w:val="clear"/>
          </w:tcPr>
          <w:p>
            <w:pPr>
              <w:jc w:val="center"/>
            </w:pPr>
            <w:r>
              <w:rPr>
                <w:b/>
                <w:bCs/>
                <w:sz w:val="20"/>
                <w:szCs w:val="20"/>
              </w:rPr>
              <w:t xml:space="preserve">Feature</w:t>
            </w:r>
          </w:p>
        </w:tc>
        <w:tc>
          <w:tcPr>
            <w:tcW w:type="dxa" w:w="1560"/>
            <w:tcBorders>
              <w:top w:val="single" w:color="020617" w:sz="12"/>
              <w:left w:val="none"/>
              <w:bottom w:val="single" w:color="020617" w:sz="12"/>
              <w:right w:val="none"/>
            </w:tcBorders>
            <w:shd w:fill="E2E8F0" w:val="clear"/>
          </w:tcPr>
          <w:p>
            <w:pPr>
              <w:jc w:val="center"/>
            </w:pPr>
            <w:r>
              <w:rPr>
                <w:b/>
                <w:bCs/>
                <w:sz w:val="20"/>
                <w:szCs w:val="20"/>
              </w:rPr>
              <w:t xml:space="preserve">Priority</w:t>
            </w:r>
          </w:p>
        </w:tc>
        <w:tc>
          <w:tcPr>
            <w:tcW w:type="dxa" w:w="4680"/>
            <w:tcBorders>
              <w:top w:val="single" w:color="020617" w:sz="12"/>
              <w:left w:val="none"/>
              <w:bottom w:val="single" w:color="020617" w:sz="12"/>
              <w:right w:val="none"/>
            </w:tcBorders>
            <w:shd w:fill="E2E8F0" w:val="clear"/>
          </w:tcPr>
          <w:p>
            <w:pPr>
              <w:jc w:val="center"/>
            </w:pPr>
            <w:r>
              <w:rPr>
                <w:b/>
                <w:bCs/>
                <w:sz w:val="20"/>
                <w:szCs w:val="20"/>
              </w:rPr>
              <w:t xml:space="preserve">Technical Approach</w:t>
            </w:r>
          </w:p>
        </w:tc>
      </w:tr>
      <w:tr>
        <w:tc>
          <w:tcPr>
            <w:tcW w:type="dxa" w:w="3120"/>
            <w:tcBorders>
              <w:top w:val="single" w:color="020617" w:sz="12"/>
              <w:left w:val="none"/>
              <w:bottom w:val="single" w:color="020617" w:sz="12"/>
              <w:right w:val="none"/>
            </w:tcBorders>
          </w:tcPr>
          <w:p>
            <w:r>
              <w:rPr>
                <w:sz w:val="20"/>
                <w:szCs w:val="20"/>
              </w:rPr>
              <w:t xml:space="preserve">Scan /Applications folder</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os.listdir + pathlib glob for .app bundles</w:t>
            </w:r>
          </w:p>
        </w:tc>
      </w:tr>
      <w:tr>
        <w:tc>
          <w:tcPr>
            <w:tcW w:type="dxa" w:w="3120"/>
            <w:tcBorders>
              <w:top w:val="single" w:color="020617" w:sz="12"/>
              <w:left w:val="none"/>
              <w:bottom w:val="single" w:color="020617" w:sz="12"/>
              <w:right w:val="none"/>
            </w:tcBorders>
          </w:tcPr>
          <w:p>
            <w:r>
              <w:rPr>
                <w:sz w:val="20"/>
                <w:szCs w:val="20"/>
              </w:rPr>
              <w:t xml:space="preserve">Scan ~/Applications folder</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Path.home() / 'Applications'</w:t>
            </w:r>
          </w:p>
        </w:tc>
      </w:tr>
      <w:tr>
        <w:tc>
          <w:tcPr>
            <w:tcW w:type="dxa" w:w="3120"/>
            <w:tcBorders>
              <w:top w:val="single" w:color="020617" w:sz="12"/>
              <w:left w:val="none"/>
              <w:bottom w:val="single" w:color="020617" w:sz="12"/>
              <w:right w:val="none"/>
            </w:tcBorders>
          </w:tcPr>
          <w:p>
            <w:r>
              <w:rPr>
                <w:sz w:val="20"/>
                <w:szCs w:val="20"/>
              </w:rPr>
              <w:t xml:space="preserve">Calculate app sizes on demand</w:t>
            </w:r>
          </w:p>
        </w:tc>
        <w:tc>
          <w:tcPr>
            <w:tcW w:type="dxa" w:w="1560"/>
            <w:tcBorders>
              <w:top w:val="single" w:color="020617" w:sz="12"/>
              <w:left w:val="none"/>
              <w:bottom w:val="single" w:color="020617" w:sz="12"/>
              <w:right w:val="none"/>
            </w:tcBorders>
          </w:tcPr>
          <w:p>
            <w:pPr>
              <w:jc w:val="center"/>
            </w:pPr>
            <w:r>
              <w:rPr>
                <w:sz w:val="20"/>
                <w:szCs w:val="20"/>
              </w:rPr>
              <w:t xml:space="preserve">High</w:t>
            </w:r>
          </w:p>
        </w:tc>
        <w:tc>
          <w:tcPr>
            <w:tcW w:type="dxa" w:w="4680"/>
            <w:tcBorders>
              <w:top w:val="single" w:color="020617" w:sz="12"/>
              <w:left w:val="none"/>
              <w:bottom w:val="single" w:color="020617" w:sz="12"/>
              <w:right w:val="none"/>
            </w:tcBorders>
          </w:tcPr>
          <w:p>
            <w:r>
              <w:rPr>
                <w:sz w:val="20"/>
                <w:szCs w:val="20"/>
              </w:rPr>
              <w:t xml:space="preserve">subprocess + du -sh on .app bundles</w:t>
            </w:r>
          </w:p>
        </w:tc>
      </w:tr>
      <w:tr>
        <w:tc>
          <w:tcPr>
            <w:tcW w:type="dxa" w:w="3120"/>
            <w:tcBorders>
              <w:top w:val="single" w:color="020617" w:sz="12"/>
              <w:left w:val="none"/>
              <w:bottom w:val="single" w:color="020617" w:sz="12"/>
              <w:right w:val="none"/>
            </w:tcBorders>
          </w:tcPr>
          <w:p>
            <w:r>
              <w:rPr>
                <w:sz w:val="20"/>
                <w:szCs w:val="20"/>
              </w:rPr>
              <w:t xml:space="preserve">Auto-categorize apps</w:t>
            </w:r>
          </w:p>
        </w:tc>
        <w:tc>
          <w:tcPr>
            <w:tcW w:type="dxa" w:w="1560"/>
            <w:tcBorders>
              <w:top w:val="single" w:color="020617" w:sz="12"/>
              <w:left w:val="none"/>
              <w:bottom w:val="single" w:color="020617" w:sz="12"/>
              <w:right w:val="none"/>
            </w:tcBorders>
          </w:tcPr>
          <w:p>
            <w:pPr>
              <w:jc w:val="center"/>
            </w:pPr>
            <w:r>
              <w:rPr>
                <w:sz w:val="20"/>
                <w:szCs w:val="20"/>
              </w:rPr>
              <w:t xml:space="preserve">Medium</w:t>
            </w:r>
          </w:p>
        </w:tc>
        <w:tc>
          <w:tcPr>
            <w:tcW w:type="dxa" w:w="4680"/>
            <w:tcBorders>
              <w:top w:val="single" w:color="020617" w:sz="12"/>
              <w:left w:val="none"/>
              <w:bottom w:val="single" w:color="020617" w:sz="12"/>
              <w:right w:val="none"/>
            </w:tcBorders>
          </w:tcPr>
          <w:p>
            <w:r>
              <w:rPr>
                <w:sz w:val="20"/>
                <w:szCs w:val="20"/>
              </w:rPr>
              <w:t xml:space="preserve">plistlib + Info.plist LSApplicationCategoryType</w:t>
            </w:r>
          </w:p>
        </w:tc>
      </w:tr>
      <w:tr>
        <w:tc>
          <w:tcPr>
            <w:tcW w:type="dxa" w:w="3120"/>
            <w:tcBorders>
              <w:top w:val="single" w:color="020617" w:sz="12"/>
              <w:left w:val="none"/>
              <w:bottom w:val="single" w:color="020617" w:sz="12"/>
              <w:right w:val="none"/>
            </w:tcBorders>
          </w:tcPr>
          <w:p>
            <w:r>
              <w:rPr>
                <w:sz w:val="20"/>
                <w:szCs w:val="20"/>
              </w:rPr>
              <w:t xml:space="preserve">Show manual removal steps</w:t>
            </w:r>
          </w:p>
        </w:tc>
        <w:tc>
          <w:tcPr>
            <w:tcW w:type="dxa" w:w="1560"/>
            <w:tcBorders>
              <w:top w:val="single" w:color="020617" w:sz="12"/>
              <w:left w:val="none"/>
              <w:bottom w:val="single" w:color="020617" w:sz="12"/>
              <w:right w:val="none"/>
            </w:tcBorders>
          </w:tcPr>
          <w:p>
            <w:pPr>
              <w:jc w:val="center"/>
            </w:pPr>
            <w:r>
              <w:rPr>
                <w:sz w:val="20"/>
                <w:szCs w:val="20"/>
              </w:rPr>
              <w:t xml:space="preserve">Medium</w:t>
            </w:r>
          </w:p>
        </w:tc>
        <w:tc>
          <w:tcPr>
            <w:tcW w:type="dxa" w:w="4680"/>
            <w:tcBorders>
              <w:top w:val="single" w:color="020617" w:sz="12"/>
              <w:left w:val="none"/>
              <w:bottom w:val="single" w:color="020617" w:sz="12"/>
              <w:right w:val="none"/>
            </w:tcBorders>
          </w:tcPr>
          <w:p>
            <w:r>
              <w:rPr>
                <w:sz w:val="20"/>
                <w:szCs w:val="20"/>
              </w:rPr>
              <w:t xml:space="preserve">Generate rm -rf commands with safety checks</w:t>
            </w:r>
          </w:p>
        </w:tc>
      </w:tr>
    </w:tbl>
    <w:p>
      <w:pPr>
        <w:spacing w:after="200" w:before="100"/>
        <w:jc w:val="center"/>
      </w:pPr>
      <w:r>
        <w:rPr>
          <w:i/>
          <w:iCs/>
          <w:color w:val="64748B"/>
          <w:sz w:val="18"/>
          <w:szCs w:val="18"/>
        </w:rPr>
        <w:t xml:space="preserve">Table 3: Application Scanning MVP Features</w:t>
      </w:r>
    </w:p>
    <w:p>
      <w:pPr>
        <w:pStyle w:val="Heading2"/>
      </w:pPr>
      <w:r>
        <w:t xml:space="preserve">4.3 Storage Analytics (MVP)</w:t>
      </w:r>
    </w:p>
    <w:p>
      <w:pPr>
        <w:pStyle w:val="ListParagraph"/>
        <w:numPr>
          <w:ilvl w:val="0"/>
          <w:numId w:val="3"/>
        </w:numPr>
      </w:pPr>
      <w:r>
        <w:rPr>
          <w:b/>
          <w:bCs/>
        </w:rPr>
        <w:t xml:space="preserve">Total Homebrew Storage: </w:t>
      </w:r>
      <w:r>
        <w:t xml:space="preserve">Aggregate size of all installed formulae and casks</w:t>
      </w:r>
    </w:p>
    <w:p>
      <w:pPr>
        <w:pStyle w:val="ListParagraph"/>
        <w:numPr>
          <w:ilvl w:val="0"/>
          <w:numId w:val="3"/>
        </w:numPr>
      </w:pPr>
      <w:r>
        <w:rPr>
          <w:b/>
          <w:bCs/>
        </w:rPr>
        <w:t xml:space="preserve">Total Application Storage: </w:t>
      </w:r>
      <w:r>
        <w:t xml:space="preserve">Aggregate size of all scanned applications</w:t>
      </w:r>
    </w:p>
    <w:p>
      <w:pPr>
        <w:pStyle w:val="ListParagraph"/>
        <w:numPr>
          <w:ilvl w:val="0"/>
          <w:numId w:val="3"/>
        </w:numPr>
      </w:pPr>
      <w:r>
        <w:rPr>
          <w:b/>
          <w:bCs/>
        </w:rPr>
        <w:t xml:space="preserve">Category Breakdown: </w:t>
      </w:r>
      <w:r>
        <w:t xml:space="preserve">Storage grouped by application category</w:t>
      </w:r>
    </w:p>
    <w:p>
      <w:pPr>
        <w:pStyle w:val="ListParagraph"/>
        <w:numPr>
          <w:ilvl w:val="0"/>
          <w:numId w:val="3"/>
        </w:numPr>
      </w:pPr>
      <w:r>
        <w:rPr>
          <w:b/>
          <w:bCs/>
        </w:rPr>
        <w:t xml:space="preserve">Top Storage Consumers: </w:t>
      </w:r>
      <w:r>
        <w:t xml:space="preserve">List of top 10 largest packages/applications by size</w:t>
      </w:r>
    </w:p>
    <w:p>
      <w:pPr>
        <w:pStyle w:val="ListParagraph"/>
        <w:numPr>
          <w:ilvl w:val="0"/>
          <w:numId w:val="3"/>
        </w:numPr>
        <w:spacing w:after="200"/>
      </w:pPr>
      <w:r>
        <w:rPr>
          <w:b/>
          <w:bCs/>
        </w:rPr>
        <w:t xml:space="preserve">Percentage Distribution: </w:t>
      </w:r>
      <w:r>
        <w:t xml:space="preserve">Relative storage share per category</w:t>
      </w:r>
    </w:p>
    <w:p>
      <w:pPr>
        <w:pStyle w:val="Heading2"/>
      </w:pPr>
      <w:r>
        <w:t xml:space="preserve">4.4 Export &amp; GitHub Integration (MVP)</w:t>
      </w:r>
    </w:p>
    <w:p>
      <w:pPr>
        <w:spacing w:after="100"/>
      </w:pPr>
      <w:r>
        <w:t xml:space="preserve">The export functionality enables users to maintain a record of their software configuration for backup, migration, or sharing purposes.</w:t>
      </w:r>
    </w:p>
    <w:p>
      <w:pPr>
        <w:pStyle w:val="Heading3"/>
      </w:pPr>
      <w:r>
        <w:t xml:space="preserve">Export Formats</w:t>
      </w:r>
    </w:p>
    <w:p>
      <w:pPr>
        <w:pStyle w:val="ListParagraph"/>
        <w:numPr>
          <w:ilvl w:val="0"/>
          <w:numId w:val="2"/>
        </w:numPr>
      </w:pPr>
      <w:r>
        <w:rPr>
          <w:b/>
          <w:bCs/>
        </w:rPr>
        <w:t xml:space="preserve">JSON: </w:t>
      </w:r>
      <w:r>
        <w:t xml:space="preserve">Structured data format for programmatic processing</w:t>
      </w:r>
    </w:p>
    <w:p>
      <w:pPr>
        <w:pStyle w:val="ListParagraph"/>
        <w:numPr>
          <w:ilvl w:val="0"/>
          <w:numId w:val="2"/>
        </w:numPr>
      </w:pPr>
      <w:r>
        <w:rPr>
          <w:b/>
          <w:bCs/>
        </w:rPr>
        <w:t xml:space="preserve">Markdown: </w:t>
      </w:r>
      <w:r>
        <w:t xml:space="preserve">Human-readable format for documentation</w:t>
      </w:r>
    </w:p>
    <w:p>
      <w:pPr>
        <w:pStyle w:val="ListParagraph"/>
        <w:numPr>
          <w:ilvl w:val="0"/>
          <w:numId w:val="2"/>
        </w:numPr>
        <w:spacing w:after="200"/>
      </w:pPr>
      <w:r>
        <w:rPr>
          <w:b/>
          <w:bCs/>
        </w:rPr>
        <w:t xml:space="preserve">Brewfile: </w:t>
      </w:r>
      <w:r>
        <w:t xml:space="preserve">Standard Homebrew bundle format</w:t>
      </w:r>
    </w:p>
    <w:p>
      <w:pPr>
        <w:pStyle w:val="Heading3"/>
      </w:pPr>
      <w:r>
        <w:t xml:space="preserve">GitHub Integration</w:t>
      </w:r>
    </w:p>
    <w:p>
      <w:pPr>
        <w:pStyle w:val="ListParagraph"/>
        <w:numPr>
          <w:ilvl w:val="0"/>
          <w:numId w:val="2"/>
        </w:numPr>
      </w:pPr>
      <w:r>
        <w:t xml:space="preserve">Create or update a designated repository</w:t>
      </w:r>
    </w:p>
    <w:p>
      <w:pPr>
        <w:pStyle w:val="ListParagraph"/>
        <w:numPr>
          <w:ilvl w:val="0"/>
          <w:numId w:val="2"/>
        </w:numPr>
      </w:pPr>
      <w:r>
        <w:t xml:space="preserve">Commit exported configuration files</w:t>
      </w:r>
    </w:p>
    <w:p>
      <w:pPr>
        <w:pStyle w:val="ListParagraph"/>
        <w:numPr>
          <w:ilvl w:val="0"/>
          <w:numId w:val="2"/>
        </w:numPr>
      </w:pPr>
      <w:r>
        <w:t xml:space="preserve">Support for private repositories with PAT</w:t>
      </w:r>
    </w:p>
    <w:p>
      <w:pPr>
        <w:pStyle w:val="ListParagraph"/>
        <w:numPr>
          <w:ilvl w:val="0"/>
          <w:numId w:val="2"/>
        </w:numPr>
        <w:spacing w:after="200"/>
      </w:pPr>
      <w:r>
        <w:t xml:space="preserve">Automatic commit messages with timestamps</w:t>
      </w:r>
    </w:p>
    <w:p>
      <w:pPr>
        <w:pStyle w:val="Heading1"/>
      </w:pPr>
      <w:r>
        <w:t xml:space="preserve">5. Technical Architecture</w:t>
      </w:r>
    </w:p>
    <w:p>
      <w:pPr>
        <w:pStyle w:val="Heading2"/>
      </w:pPr>
      <w:r>
        <w:t xml:space="preserve">5.1 Technology Stack (Confirmed)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020617" w:sz="12"/>
              <w:left w:val="none"/>
              <w:bottom w:val="single" w:color="020617" w:sz="12"/>
              <w:right w:val="none"/>
            </w:tcBorders>
            <w:shd w:fill="E2E8F0" w:val="clear"/>
          </w:tcPr>
          <w:p>
            <w:pPr>
              <w:jc w:val="center"/>
            </w:pPr>
            <w:r>
              <w:rPr>
                <w:b/>
                <w:bCs/>
                <w:sz w:val="20"/>
                <w:szCs w:val="20"/>
              </w:rPr>
              <w:t xml:space="preserve">Component</w:t>
            </w:r>
          </w:p>
        </w:tc>
        <w:tc>
          <w:tcPr>
            <w:tcW w:type="dxa" w:w="2340"/>
            <w:tcBorders>
              <w:top w:val="single" w:color="020617" w:sz="12"/>
              <w:left w:val="none"/>
              <w:bottom w:val="single" w:color="020617" w:sz="12"/>
              <w:right w:val="none"/>
            </w:tcBorders>
            <w:shd w:fill="E2E8F0" w:val="clear"/>
          </w:tcPr>
          <w:p>
            <w:pPr>
              <w:jc w:val="center"/>
            </w:pPr>
            <w:r>
              <w:rPr>
                <w:b/>
                <w:bCs/>
                <w:sz w:val="20"/>
                <w:szCs w:val="20"/>
              </w:rPr>
              <w:t xml:space="preserve">Technology</w:t>
            </w:r>
          </w:p>
        </w:tc>
        <w:tc>
          <w:tcPr>
            <w:tcW w:type="dxa" w:w="4680"/>
            <w:tcBorders>
              <w:top w:val="single" w:color="020617" w:sz="12"/>
              <w:left w:val="none"/>
              <w:bottom w:val="single" w:color="020617" w:sz="12"/>
              <w:right w:val="none"/>
            </w:tcBorders>
            <w:shd w:fill="E2E8F0" w:val="clear"/>
          </w:tcPr>
          <w:p>
            <w:pPr>
              <w:jc w:val="center"/>
            </w:pPr>
            <w:r>
              <w:rPr>
                <w:b/>
                <w:bCs/>
                <w:sz w:val="20"/>
                <w:szCs w:val="20"/>
              </w:rPr>
              <w:t xml:space="preserve">Rationale</w:t>
            </w:r>
          </w:p>
        </w:tc>
      </w:tr>
      <w:tr>
        <w:tc>
          <w:tcPr>
            <w:tcW w:type="dxa" w:w="2340"/>
            <w:tcBorders>
              <w:top w:val="single" w:color="020617" w:sz="12"/>
              <w:left w:val="none"/>
              <w:bottom w:val="single" w:color="020617" w:sz="12"/>
              <w:right w:val="none"/>
            </w:tcBorders>
          </w:tcPr>
          <w:p>
            <w:r>
              <w:rPr>
                <w:sz w:val="20"/>
                <w:szCs w:val="20"/>
              </w:rPr>
              <w:t xml:space="preserve">Language</w:t>
            </w:r>
          </w:p>
        </w:tc>
        <w:tc>
          <w:tcPr>
            <w:tcW w:type="dxa" w:w="2340"/>
            <w:tcBorders>
              <w:top w:val="single" w:color="020617" w:sz="12"/>
              <w:left w:val="none"/>
              <w:bottom w:val="single" w:color="020617" w:sz="12"/>
              <w:right w:val="none"/>
            </w:tcBorders>
          </w:tcPr>
          <w:p>
            <w:r>
              <w:rPr>
                <w:b/>
                <w:bCs/>
                <w:color w:val="22C55E"/>
                <w:sz w:val="20"/>
                <w:szCs w:val="20"/>
              </w:rPr>
              <w:t xml:space="preserve">Python 3.11+</w:t>
            </w:r>
          </w:p>
        </w:tc>
        <w:tc>
          <w:tcPr>
            <w:tcW w:type="dxa" w:w="4680"/>
            <w:tcBorders>
              <w:top w:val="single" w:color="020617" w:sz="12"/>
              <w:left w:val="none"/>
              <w:bottom w:val="single" w:color="020617" w:sz="12"/>
              <w:right w:val="none"/>
            </w:tcBorders>
          </w:tcPr>
          <w:p>
            <w:r>
              <w:rPr>
                <w:sz w:val="20"/>
                <w:szCs w:val="20"/>
              </w:rPr>
              <w:t xml:space="preserve">No Xcode required, rich ecosystem, easy distribution</w:t>
            </w:r>
          </w:p>
        </w:tc>
      </w:tr>
      <w:tr>
        <w:tc>
          <w:tcPr>
            <w:tcW w:type="dxa" w:w="2340"/>
            <w:tcBorders>
              <w:top w:val="single" w:color="020617" w:sz="12"/>
              <w:left w:val="none"/>
              <w:bottom w:val="single" w:color="020617" w:sz="12"/>
              <w:right w:val="none"/>
            </w:tcBorders>
          </w:tcPr>
          <w:p>
            <w:r>
              <w:rPr>
                <w:sz w:val="20"/>
                <w:szCs w:val="20"/>
              </w:rPr>
              <w:t xml:space="preserve">CLI Framework</w:t>
            </w:r>
          </w:p>
        </w:tc>
        <w:tc>
          <w:tcPr>
            <w:tcW w:type="dxa" w:w="2340"/>
            <w:tcBorders>
              <w:top w:val="single" w:color="020617" w:sz="12"/>
              <w:left w:val="none"/>
              <w:bottom w:val="single" w:color="020617" w:sz="12"/>
              <w:right w:val="none"/>
            </w:tcBorders>
          </w:tcPr>
          <w:p>
            <w:r>
              <w:rPr>
                <w:sz w:val="20"/>
                <w:szCs w:val="20"/>
              </w:rPr>
              <w:t xml:space="preserve">Click</w:t>
            </w:r>
          </w:p>
        </w:tc>
        <w:tc>
          <w:tcPr>
            <w:tcW w:type="dxa" w:w="4680"/>
            <w:tcBorders>
              <w:top w:val="single" w:color="020617" w:sz="12"/>
              <w:left w:val="none"/>
              <w:bottom w:val="single" w:color="020617" w:sz="12"/>
              <w:right w:val="none"/>
            </w:tcBorders>
          </w:tcPr>
          <w:p>
            <w:r>
              <w:rPr>
                <w:sz w:val="20"/>
                <w:szCs w:val="20"/>
              </w:rPr>
              <w:t xml:space="preserve">Battle-tested, extensive docs, subcommand support</w:t>
            </w:r>
          </w:p>
        </w:tc>
      </w:tr>
      <w:tr>
        <w:tc>
          <w:tcPr>
            <w:tcW w:type="dxa" w:w="2340"/>
            <w:tcBorders>
              <w:top w:val="single" w:color="020617" w:sz="12"/>
              <w:left w:val="none"/>
              <w:bottom w:val="single" w:color="020617" w:sz="12"/>
              <w:right w:val="none"/>
            </w:tcBorders>
          </w:tcPr>
          <w:p>
            <w:r>
              <w:rPr>
                <w:sz w:val="20"/>
                <w:szCs w:val="20"/>
              </w:rPr>
              <w:t xml:space="preserve">TUI Library</w:t>
            </w:r>
          </w:p>
        </w:tc>
        <w:tc>
          <w:tcPr>
            <w:tcW w:type="dxa" w:w="2340"/>
            <w:tcBorders>
              <w:top w:val="single" w:color="020617" w:sz="12"/>
              <w:left w:val="none"/>
              <w:bottom w:val="single" w:color="020617" w:sz="12"/>
              <w:right w:val="none"/>
            </w:tcBorders>
          </w:tcPr>
          <w:p>
            <w:r>
              <w:rPr>
                <w:sz w:val="20"/>
                <w:szCs w:val="20"/>
              </w:rPr>
              <w:t xml:space="preserve">Rich</w:t>
            </w:r>
          </w:p>
        </w:tc>
        <w:tc>
          <w:tcPr>
            <w:tcW w:type="dxa" w:w="4680"/>
            <w:tcBorders>
              <w:top w:val="single" w:color="020617" w:sz="12"/>
              <w:left w:val="none"/>
              <w:bottom w:val="single" w:color="020617" w:sz="12"/>
              <w:right w:val="none"/>
            </w:tcBorders>
          </w:tcPr>
          <w:p>
            <w:r>
              <w:rPr>
                <w:sz w:val="20"/>
                <w:szCs w:val="20"/>
              </w:rPr>
              <w:t xml:space="preserve">Beautiful terminal output, tables, progress bars</w:t>
            </w:r>
          </w:p>
        </w:tc>
      </w:tr>
      <w:tr>
        <w:tc>
          <w:tcPr>
            <w:tcW w:type="dxa" w:w="2340"/>
            <w:tcBorders>
              <w:top w:val="single" w:color="020617" w:sz="12"/>
              <w:left w:val="none"/>
              <w:bottom w:val="single" w:color="020617" w:sz="12"/>
              <w:right w:val="none"/>
            </w:tcBorders>
          </w:tcPr>
          <w:p>
            <w:r>
              <w:rPr>
                <w:sz w:val="20"/>
                <w:szCs w:val="20"/>
              </w:rPr>
              <w:t xml:space="preserve">Configuration</w:t>
            </w:r>
          </w:p>
        </w:tc>
        <w:tc>
          <w:tcPr>
            <w:tcW w:type="dxa" w:w="2340"/>
            <w:tcBorders>
              <w:top w:val="single" w:color="020617" w:sz="12"/>
              <w:left w:val="none"/>
              <w:bottom w:val="single" w:color="020617" w:sz="12"/>
              <w:right w:val="none"/>
            </w:tcBorders>
          </w:tcPr>
          <w:p>
            <w:r>
              <w:rPr>
                <w:sz w:val="20"/>
                <w:szCs w:val="20"/>
              </w:rPr>
              <w:t xml:space="preserve">TOML</w:t>
            </w:r>
          </w:p>
        </w:tc>
        <w:tc>
          <w:tcPr>
            <w:tcW w:type="dxa" w:w="4680"/>
            <w:tcBorders>
              <w:top w:val="single" w:color="020617" w:sz="12"/>
              <w:left w:val="none"/>
              <w:bottom w:val="single" w:color="020617" w:sz="12"/>
              <w:right w:val="none"/>
            </w:tcBorders>
          </w:tcPr>
          <w:p>
            <w:r>
              <w:rPr>
                <w:sz w:val="20"/>
                <w:szCs w:val="20"/>
              </w:rPr>
              <w:t xml:space="preserve">Human-readable, version-control friendly</w:t>
            </w:r>
          </w:p>
        </w:tc>
      </w:tr>
      <w:tr>
        <w:tc>
          <w:tcPr>
            <w:tcW w:type="dxa" w:w="2340"/>
            <w:tcBorders>
              <w:top w:val="single" w:color="020617" w:sz="12"/>
              <w:left w:val="none"/>
              <w:bottom w:val="single" w:color="020617" w:sz="12"/>
              <w:right w:val="none"/>
            </w:tcBorders>
          </w:tcPr>
          <w:p>
            <w:r>
              <w:rPr>
                <w:sz w:val="20"/>
                <w:szCs w:val="20"/>
              </w:rPr>
              <w:t xml:space="preserve">Testing</w:t>
            </w:r>
          </w:p>
        </w:tc>
        <w:tc>
          <w:tcPr>
            <w:tcW w:type="dxa" w:w="2340"/>
            <w:tcBorders>
              <w:top w:val="single" w:color="020617" w:sz="12"/>
              <w:left w:val="none"/>
              <w:bottom w:val="single" w:color="020617" w:sz="12"/>
              <w:right w:val="none"/>
            </w:tcBorders>
          </w:tcPr>
          <w:p>
            <w:r>
              <w:rPr>
                <w:sz w:val="20"/>
                <w:szCs w:val="20"/>
              </w:rPr>
              <w:t xml:space="preserve">pytest</w:t>
            </w:r>
          </w:p>
        </w:tc>
        <w:tc>
          <w:tcPr>
            <w:tcW w:type="dxa" w:w="4680"/>
            <w:tcBorders>
              <w:top w:val="single" w:color="020617" w:sz="12"/>
              <w:left w:val="none"/>
              <w:bottom w:val="single" w:color="020617" w:sz="12"/>
              <w:right w:val="none"/>
            </w:tcBorders>
          </w:tcPr>
          <w:p>
            <w:r>
              <w:rPr>
                <w:sz w:val="20"/>
                <w:szCs w:val="20"/>
              </w:rPr>
              <w:t xml:space="preserve">Industry standard, comprehensive assertions</w:t>
            </w:r>
          </w:p>
        </w:tc>
      </w:tr>
      <w:tr>
        <w:tc>
          <w:tcPr>
            <w:tcW w:type="dxa" w:w="2340"/>
            <w:tcBorders>
              <w:top w:val="single" w:color="020617" w:sz="12"/>
              <w:left w:val="none"/>
              <w:bottom w:val="single" w:color="020617" w:sz="12"/>
              <w:right w:val="none"/>
            </w:tcBorders>
          </w:tcPr>
          <w:p>
            <w:r>
              <w:rPr>
                <w:sz w:val="20"/>
                <w:szCs w:val="20"/>
              </w:rPr>
              <w:t xml:space="preserve">Distribution</w:t>
            </w:r>
          </w:p>
        </w:tc>
        <w:tc>
          <w:tcPr>
            <w:tcW w:type="dxa" w:w="2340"/>
            <w:tcBorders>
              <w:top w:val="single" w:color="020617" w:sz="12"/>
              <w:left w:val="none"/>
              <w:bottom w:val="single" w:color="020617" w:sz="12"/>
              <w:right w:val="none"/>
            </w:tcBorders>
          </w:tcPr>
          <w:p>
            <w:r>
              <w:rPr>
                <w:sz w:val="20"/>
                <w:szCs w:val="20"/>
              </w:rPr>
              <w:t xml:space="preserve">Homebrew formula / PyPI</w:t>
            </w:r>
          </w:p>
        </w:tc>
        <w:tc>
          <w:tcPr>
            <w:tcW w:type="dxa" w:w="4680"/>
            <w:tcBorders>
              <w:top w:val="single" w:color="020617" w:sz="12"/>
              <w:left w:val="none"/>
              <w:bottom w:val="single" w:color="020617" w:sz="12"/>
              <w:right w:val="none"/>
            </w:tcBorders>
          </w:tcPr>
          <w:p>
            <w:r>
              <w:rPr>
                <w:sz w:val="20"/>
                <w:szCs w:val="20"/>
              </w:rPr>
              <w:t xml:space="preserve">Native macOS installation experience</w:t>
            </w:r>
          </w:p>
        </w:tc>
      </w:tr>
    </w:tbl>
    <w:p>
      <w:pPr>
        <w:spacing w:after="200" w:before="100"/>
        <w:jc w:val="center"/>
      </w:pPr>
      <w:r>
        <w:rPr>
          <w:i/>
          <w:iCs/>
          <w:color w:val="64748B"/>
          <w:sz w:val="18"/>
          <w:szCs w:val="18"/>
        </w:rPr>
        <w:t xml:space="preserve">Table 4: Confirmed Technology Stack</w:t>
      </w:r>
    </w:p>
    <w:p>
      <w:pPr>
        <w:pStyle w:val="Heading2"/>
      </w:pPr>
      <w:r>
        <w:t xml:space="preserve">5.2 System Architecture</w:t>
      </w:r>
    </w:p>
    <w:p>
      <w:pPr>
        <w:spacing w:after="200"/>
      </w:pPr>
      <w:r>
        <w:t xml:space="preserve">BrewStanza follows a modular architecture with clear separation of concerns. The core modules handle specific domains while a central orchestrator manages command routing and user interaction.</w:t>
      </w:r>
    </w:p>
    <w:p>
      <w:pPr>
        <w:pStyle w:val="Heading3"/>
      </w:pPr>
      <w:r>
        <w:t xml:space="preserve">Core Modules</w:t>
      </w:r>
    </w:p>
    <w:p>
      <w:pPr>
        <w:pStyle w:val="ListParagraph"/>
        <w:numPr>
          <w:ilvl w:val="0"/>
          <w:numId w:val="4"/>
        </w:numPr>
      </w:pPr>
      <w:r>
        <w:rPr>
          <w:b/>
          <w:bCs/>
        </w:rPr>
        <w:t xml:space="preserve">HomebrewScanner: </w:t>
      </w:r>
      <w:r>
        <w:t xml:space="preserve">Interfaces with Homebrew CLI to extract package information</w:t>
      </w:r>
    </w:p>
    <w:p>
      <w:pPr>
        <w:pStyle w:val="ListParagraph"/>
        <w:numPr>
          <w:ilvl w:val="0"/>
          <w:numId w:val="4"/>
        </w:numPr>
      </w:pPr>
      <w:r>
        <w:rPr>
          <w:b/>
          <w:bCs/>
        </w:rPr>
        <w:t xml:space="preserve">AppScanner: </w:t>
      </w:r>
      <w:r>
        <w:t xml:space="preserve">Enumerates and analyzes installed applications</w:t>
      </w:r>
    </w:p>
    <w:p>
      <w:pPr>
        <w:pStyle w:val="ListParagraph"/>
        <w:numPr>
          <w:ilvl w:val="0"/>
          <w:numId w:val="4"/>
        </w:numPr>
      </w:pPr>
      <w:r>
        <w:rPr>
          <w:b/>
          <w:bCs/>
        </w:rPr>
        <w:t xml:space="preserve">StorageAnalyzer: </w:t>
      </w:r>
      <w:r>
        <w:t xml:space="preserve">Calculates and aggregates storage metrics</w:t>
      </w:r>
    </w:p>
    <w:p>
      <w:pPr>
        <w:pStyle w:val="ListParagraph"/>
        <w:numPr>
          <w:ilvl w:val="0"/>
          <w:numId w:val="4"/>
        </w:numPr>
      </w:pPr>
      <w:r>
        <w:rPr>
          <w:b/>
          <w:bCs/>
        </w:rPr>
        <w:t xml:space="preserve">ExportManager: </w:t>
      </w:r>
      <w:r>
        <w:t xml:space="preserve">Handles file export and GitHub integration</w:t>
      </w:r>
    </w:p>
    <w:p>
      <w:pPr>
        <w:pStyle w:val="ListParagraph"/>
        <w:numPr>
          <w:ilvl w:val="0"/>
          <w:numId w:val="4"/>
        </w:numPr>
        <w:spacing w:after="200"/>
      </w:pPr>
      <w:r>
        <w:rPr>
          <w:b/>
          <w:bCs/>
        </w:rPr>
        <w:t xml:space="preserve">UI Renderer: </w:t>
      </w:r>
      <w:r>
        <w:t xml:space="preserve">Formats and displays output using Rich library</w:t>
      </w:r>
    </w:p>
    <w:p>
      <w:pPr>
        <w:pStyle w:val="Heading1"/>
      </w:pPr>
      <w:r>
        <w:t xml:space="preserve">6. UI/UX Design Specifications</w:t>
      </w:r>
    </w:p>
    <w:p>
      <w:pPr>
        <w:pStyle w:val="Heading2"/>
      </w:pPr>
      <w:r>
        <w:t xml:space="preserve">6.1 Design Philosophy</w:t>
      </w:r>
    </w:p>
    <w:p>
      <w:pPr>
        <w:spacing w:after="200"/>
      </w:pPr>
      <w:r>
        <w:t xml:space="preserve">The interface design adheres to minimalist principles inspired by modern CLI tools like Claude Code and OpenCode. The visual language prioritizes information density without sacrificing readability, using subtle color accents to guide attention and establish hierarchy. Dark and light mode support ensures comfortable usage across different terminal configurations.</w:t>
      </w:r>
    </w:p>
    <w:p>
      <w:pPr>
        <w:pStyle w:val="Heading2"/>
      </w:pPr>
      <w:r>
        <w:t xml:space="preserve">6.2 Command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020617" w:sz="12"/>
              <w:left w:val="none"/>
              <w:bottom w:val="single" w:color="020617" w:sz="12"/>
              <w:right w:val="none"/>
            </w:tcBorders>
            <w:shd w:fill="E2E8F0" w:val="clear"/>
          </w:tcPr>
          <w:p>
            <w:pPr>
              <w:jc w:val="center"/>
            </w:pPr>
            <w:r>
              <w:rPr>
                <w:b/>
                <w:bCs/>
                <w:sz w:val="20"/>
                <w:szCs w:val="20"/>
              </w:rPr>
              <w:t xml:space="preserve">Command</w:t>
            </w:r>
          </w:p>
        </w:tc>
        <w:tc>
          <w:tcPr>
            <w:tcW w:type="dxa" w:w="6240"/>
            <w:tcBorders>
              <w:top w:val="single" w:color="020617" w:sz="12"/>
              <w:left w:val="none"/>
              <w:bottom w:val="single" w:color="020617" w:sz="12"/>
              <w:right w:val="none"/>
            </w:tcBorders>
            <w:shd w:fill="E2E8F0" w:val="clear"/>
          </w:tcPr>
          <w:p>
            <w:pPr>
              <w:jc w:val="center"/>
            </w:pPr>
            <w:r>
              <w:rPr>
                <w:b/>
                <w:bCs/>
                <w:sz w:val="20"/>
                <w:szCs w:val="20"/>
              </w:rPr>
              <w:t xml:space="preserve">Description</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brew list</w:t>
            </w:r>
          </w:p>
        </w:tc>
        <w:tc>
          <w:tcPr>
            <w:tcW w:type="dxa" w:w="6240"/>
            <w:tcBorders>
              <w:top w:val="single" w:color="020617" w:sz="12"/>
              <w:left w:val="none"/>
              <w:bottom w:val="single" w:color="020617" w:sz="12"/>
              <w:right w:val="none"/>
            </w:tcBorders>
          </w:tcPr>
          <w:p>
            <w:r>
              <w:rPr>
                <w:sz w:val="20"/>
                <w:szCs w:val="20"/>
              </w:rPr>
              <w:t xml:space="preserve">List all Homebrew packages with sizes</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brew info &lt;pkg&gt;</w:t>
            </w:r>
          </w:p>
        </w:tc>
        <w:tc>
          <w:tcPr>
            <w:tcW w:type="dxa" w:w="6240"/>
            <w:tcBorders>
              <w:top w:val="single" w:color="020617" w:sz="12"/>
              <w:left w:val="none"/>
              <w:bottom w:val="single" w:color="020617" w:sz="12"/>
              <w:right w:val="none"/>
            </w:tcBorders>
          </w:tcPr>
          <w:p>
            <w:r>
              <w:rPr>
                <w:sz w:val="20"/>
                <w:szCs w:val="20"/>
              </w:rPr>
              <w:t xml:space="preserve">Show detailed package information</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apps list</w:t>
            </w:r>
          </w:p>
        </w:tc>
        <w:tc>
          <w:tcPr>
            <w:tcW w:type="dxa" w:w="6240"/>
            <w:tcBorders>
              <w:top w:val="single" w:color="020617" w:sz="12"/>
              <w:left w:val="none"/>
              <w:bottom w:val="single" w:color="020617" w:sz="12"/>
              <w:right w:val="none"/>
            </w:tcBorders>
          </w:tcPr>
          <w:p>
            <w:r>
              <w:rPr>
                <w:sz w:val="20"/>
                <w:szCs w:val="20"/>
              </w:rPr>
              <w:t xml:space="preserve">List all installed applications</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apps info &lt;app&gt;</w:t>
            </w:r>
          </w:p>
        </w:tc>
        <w:tc>
          <w:tcPr>
            <w:tcW w:type="dxa" w:w="6240"/>
            <w:tcBorders>
              <w:top w:val="single" w:color="020617" w:sz="12"/>
              <w:left w:val="none"/>
              <w:bottom w:val="single" w:color="020617" w:sz="12"/>
              <w:right w:val="none"/>
            </w:tcBorders>
          </w:tcPr>
          <w:p>
            <w:r>
              <w:rPr>
                <w:sz w:val="20"/>
                <w:szCs w:val="20"/>
              </w:rPr>
              <w:t xml:space="preserve">Show app details with removal instructions</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storage</w:t>
            </w:r>
          </w:p>
        </w:tc>
        <w:tc>
          <w:tcPr>
            <w:tcW w:type="dxa" w:w="6240"/>
            <w:tcBorders>
              <w:top w:val="single" w:color="020617" w:sz="12"/>
              <w:left w:val="none"/>
              <w:bottom w:val="single" w:color="020617" w:sz="12"/>
              <w:right w:val="none"/>
            </w:tcBorders>
          </w:tcPr>
          <w:p>
            <w:r>
              <w:rPr>
                <w:sz w:val="20"/>
                <w:szCs w:val="20"/>
              </w:rPr>
              <w:t xml:space="preserve">Display storage breakdown by category</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export [format]</w:t>
            </w:r>
          </w:p>
        </w:tc>
        <w:tc>
          <w:tcPr>
            <w:tcW w:type="dxa" w:w="6240"/>
            <w:tcBorders>
              <w:top w:val="single" w:color="020617" w:sz="12"/>
              <w:left w:val="none"/>
              <w:bottom w:val="single" w:color="020617" w:sz="12"/>
              <w:right w:val="none"/>
            </w:tcBorders>
          </w:tcPr>
          <w:p>
            <w:r>
              <w:rPr>
                <w:sz w:val="20"/>
                <w:szCs w:val="20"/>
              </w:rPr>
              <w:t xml:space="preserve">Export configuration (json/md/brewfile)</w:t>
            </w:r>
          </w:p>
        </w:tc>
      </w:tr>
      <w:tr>
        <w:tc>
          <w:tcPr>
            <w:tcW w:type="dxa" w:w="3120"/>
            <w:tcBorders>
              <w:top w:val="single" w:color="020617" w:sz="12"/>
              <w:left w:val="none"/>
              <w:bottom w:val="single" w:color="020617" w:sz="12"/>
              <w:right w:val="none"/>
            </w:tcBorders>
          </w:tcPr>
          <w:p>
            <w:r>
              <w:rPr>
                <w:rFonts w:ascii="Courier New" w:cs="Courier New" w:eastAsia="Courier New" w:hAnsi="Courier New"/>
                <w:sz w:val="20"/>
                <w:szCs w:val="20"/>
              </w:rPr>
              <w:t xml:space="preserve">brewstanza sync</w:t>
            </w:r>
          </w:p>
        </w:tc>
        <w:tc>
          <w:tcPr>
            <w:tcW w:type="dxa" w:w="6240"/>
            <w:tcBorders>
              <w:top w:val="single" w:color="020617" w:sz="12"/>
              <w:left w:val="none"/>
              <w:bottom w:val="single" w:color="020617" w:sz="12"/>
              <w:right w:val="none"/>
            </w:tcBorders>
          </w:tcPr>
          <w:p>
            <w:r>
              <w:rPr>
                <w:sz w:val="20"/>
                <w:szCs w:val="20"/>
              </w:rPr>
              <w:t xml:space="preserve">Commit configuration to GitHub</w:t>
            </w:r>
          </w:p>
        </w:tc>
      </w:tr>
    </w:tbl>
    <w:p>
      <w:pPr>
        <w:spacing w:after="200" w:before="100"/>
        <w:jc w:val="center"/>
      </w:pPr>
      <w:r>
        <w:rPr>
          <w:i/>
          <w:iCs/>
          <w:color w:val="64748B"/>
          <w:sz w:val="18"/>
          <w:szCs w:val="18"/>
        </w:rPr>
        <w:t xml:space="preserve">Table 5: CLI Command Reference</w:t>
      </w:r>
    </w:p>
    <w:p>
      <w:pPr>
        <w:pStyle w:val="Heading1"/>
      </w:pPr>
      <w:r>
        <w:t xml:space="preserve">7. Application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020617" w:sz="12"/>
              <w:left w:val="none"/>
              <w:bottom w:val="single" w:color="020617" w:sz="12"/>
              <w:right w:val="none"/>
            </w:tcBorders>
            <w:shd w:fill="E2E8F0" w:val="clear"/>
          </w:tcPr>
          <w:p>
            <w:pPr>
              <w:jc w:val="center"/>
            </w:pPr>
            <w:r>
              <w:rPr>
                <w:b/>
                <w:bCs/>
                <w:sz w:val="20"/>
                <w:szCs w:val="20"/>
              </w:rPr>
              <w:t xml:space="preserve">Category</w:t>
            </w:r>
          </w:p>
        </w:tc>
        <w:tc>
          <w:tcPr>
            <w:tcW w:type="dxa" w:w="7020"/>
            <w:tcBorders>
              <w:top w:val="single" w:color="020617" w:sz="12"/>
              <w:left w:val="none"/>
              <w:bottom w:val="single" w:color="020617" w:sz="12"/>
              <w:right w:val="none"/>
            </w:tcBorders>
            <w:shd w:fill="E2E8F0" w:val="clear"/>
          </w:tcPr>
          <w:p>
            <w:pPr>
              <w:jc w:val="center"/>
            </w:pPr>
            <w:r>
              <w:rPr>
                <w:b/>
                <w:bCs/>
                <w:sz w:val="20"/>
                <w:szCs w:val="20"/>
              </w:rPr>
              <w:t xml:space="preserve">Example Applications</w:t>
            </w:r>
          </w:p>
        </w:tc>
      </w:tr>
      <w:tr>
        <w:tc>
          <w:tcPr>
            <w:tcW w:type="dxa" w:w="2340"/>
            <w:tcBorders>
              <w:top w:val="single" w:color="020617" w:sz="12"/>
              <w:left w:val="none"/>
              <w:bottom w:val="single" w:color="020617" w:sz="12"/>
              <w:right w:val="none"/>
            </w:tcBorders>
          </w:tcPr>
          <w:p>
            <w:r>
              <w:rPr>
                <w:sz w:val="20"/>
                <w:szCs w:val="20"/>
              </w:rPr>
              <w:t xml:space="preserve">Development</w:t>
            </w:r>
          </w:p>
        </w:tc>
        <w:tc>
          <w:tcPr>
            <w:tcW w:type="dxa" w:w="7020"/>
            <w:tcBorders>
              <w:top w:val="single" w:color="020617" w:sz="12"/>
              <w:left w:val="none"/>
              <w:bottom w:val="single" w:color="020617" w:sz="12"/>
              <w:right w:val="none"/>
            </w:tcBorders>
          </w:tcPr>
          <w:p>
            <w:r>
              <w:rPr>
                <w:sz w:val="20"/>
                <w:szCs w:val="20"/>
              </w:rPr>
              <w:t xml:space="preserve">Xcode, VS Code, JetBrains IDEs, Docker, Terminal, Git clients</w:t>
            </w:r>
          </w:p>
        </w:tc>
      </w:tr>
      <w:tr>
        <w:tc>
          <w:tcPr>
            <w:tcW w:type="dxa" w:w="2340"/>
            <w:tcBorders>
              <w:top w:val="single" w:color="020617" w:sz="12"/>
              <w:left w:val="none"/>
              <w:bottom w:val="single" w:color="020617" w:sz="12"/>
              <w:right w:val="none"/>
            </w:tcBorders>
          </w:tcPr>
          <w:p>
            <w:r>
              <w:rPr>
                <w:sz w:val="20"/>
                <w:szCs w:val="20"/>
              </w:rPr>
              <w:t xml:space="preserve">Productivity</w:t>
            </w:r>
          </w:p>
        </w:tc>
        <w:tc>
          <w:tcPr>
            <w:tcW w:type="dxa" w:w="7020"/>
            <w:tcBorders>
              <w:top w:val="single" w:color="020617" w:sz="12"/>
              <w:left w:val="none"/>
              <w:bottom w:val="single" w:color="020617" w:sz="12"/>
              <w:right w:val="none"/>
            </w:tcBorders>
          </w:tcPr>
          <w:p>
            <w:r>
              <w:rPr>
                <w:sz w:val="20"/>
                <w:szCs w:val="20"/>
              </w:rPr>
              <w:t xml:space="preserve">Microsoft Office, Notion, Slack, Zoom, Calendar, Email clients</w:t>
            </w:r>
          </w:p>
        </w:tc>
      </w:tr>
      <w:tr>
        <w:tc>
          <w:tcPr>
            <w:tcW w:type="dxa" w:w="2340"/>
            <w:tcBorders>
              <w:top w:val="single" w:color="020617" w:sz="12"/>
              <w:left w:val="none"/>
              <w:bottom w:val="single" w:color="020617" w:sz="12"/>
              <w:right w:val="none"/>
            </w:tcBorders>
          </w:tcPr>
          <w:p>
            <w:r>
              <w:rPr>
                <w:sz w:val="20"/>
                <w:szCs w:val="20"/>
              </w:rPr>
              <w:t xml:space="preserve">Media</w:t>
            </w:r>
          </w:p>
        </w:tc>
        <w:tc>
          <w:tcPr>
            <w:tcW w:type="dxa" w:w="7020"/>
            <w:tcBorders>
              <w:top w:val="single" w:color="020617" w:sz="12"/>
              <w:left w:val="none"/>
              <w:bottom w:val="single" w:color="020617" w:sz="12"/>
              <w:right w:val="none"/>
            </w:tcBorders>
          </w:tcPr>
          <w:p>
            <w:r>
              <w:rPr>
                <w:sz w:val="20"/>
                <w:szCs w:val="20"/>
              </w:rPr>
              <w:t xml:space="preserve">Spotify, VLC, Adobe Creative Suite, Final Cut, Photos</w:t>
            </w:r>
          </w:p>
        </w:tc>
      </w:tr>
      <w:tr>
        <w:tc>
          <w:tcPr>
            <w:tcW w:type="dxa" w:w="2340"/>
            <w:tcBorders>
              <w:top w:val="single" w:color="020617" w:sz="12"/>
              <w:left w:val="none"/>
              <w:bottom w:val="single" w:color="020617" w:sz="12"/>
              <w:right w:val="none"/>
            </w:tcBorders>
          </w:tcPr>
          <w:p>
            <w:r>
              <w:rPr>
                <w:sz w:val="20"/>
                <w:szCs w:val="20"/>
              </w:rPr>
              <w:t xml:space="preserve">Utilities</w:t>
            </w:r>
          </w:p>
        </w:tc>
        <w:tc>
          <w:tcPr>
            <w:tcW w:type="dxa" w:w="7020"/>
            <w:tcBorders>
              <w:top w:val="single" w:color="020617" w:sz="12"/>
              <w:left w:val="none"/>
              <w:bottom w:val="single" w:color="020617" w:sz="12"/>
              <w:right w:val="none"/>
            </w:tcBorders>
          </w:tcPr>
          <w:p>
            <w:r>
              <w:rPr>
                <w:sz w:val="20"/>
                <w:szCs w:val="20"/>
              </w:rPr>
              <w:t xml:space="preserve">Alfred, Rectangle, 1Password, Dropbox, VPN clients</w:t>
            </w:r>
          </w:p>
        </w:tc>
      </w:tr>
      <w:tr>
        <w:tc>
          <w:tcPr>
            <w:tcW w:type="dxa" w:w="2340"/>
            <w:tcBorders>
              <w:top w:val="single" w:color="020617" w:sz="12"/>
              <w:left w:val="none"/>
              <w:bottom w:val="single" w:color="020617" w:sz="12"/>
              <w:right w:val="none"/>
            </w:tcBorders>
          </w:tcPr>
          <w:p>
            <w:r>
              <w:rPr>
                <w:b/>
                <w:bCs/>
                <w:color w:val="22C55E"/>
                <w:sz w:val="20"/>
                <w:szCs w:val="20"/>
              </w:rPr>
              <w:t xml:space="preserve">Browser Apps</w:t>
            </w:r>
          </w:p>
        </w:tc>
        <w:tc>
          <w:tcPr>
            <w:tcW w:type="dxa" w:w="7020"/>
            <w:tcBorders>
              <w:top w:val="single" w:color="020617" w:sz="12"/>
              <w:left w:val="none"/>
              <w:bottom w:val="single" w:color="020617" w:sz="12"/>
              <w:right w:val="none"/>
            </w:tcBorders>
          </w:tcPr>
          <w:p>
            <w:r>
              <w:rPr>
                <w:sz w:val="20"/>
                <w:szCs w:val="20"/>
              </w:rPr>
              <w:t xml:space="preserve">Chrome Apps, Edge Apps, PWAs, Web Shortcuts (Gmail, YouTube, etc.)</w:t>
            </w:r>
          </w:p>
        </w:tc>
      </w:tr>
      <w:tr>
        <w:tc>
          <w:tcPr>
            <w:tcW w:type="dxa" w:w="2340"/>
            <w:tcBorders>
              <w:top w:val="single" w:color="020617" w:sz="12"/>
              <w:left w:val="none"/>
              <w:bottom w:val="single" w:color="020617" w:sz="12"/>
              <w:right w:val="none"/>
            </w:tcBorders>
          </w:tcPr>
          <w:p>
            <w:r>
              <w:rPr>
                <w:sz w:val="20"/>
                <w:szCs w:val="20"/>
              </w:rPr>
              <w:t xml:space="preserve">Games</w:t>
            </w:r>
          </w:p>
        </w:tc>
        <w:tc>
          <w:tcPr>
            <w:tcW w:type="dxa" w:w="7020"/>
            <w:tcBorders>
              <w:top w:val="single" w:color="020617" w:sz="12"/>
              <w:left w:val="none"/>
              <w:bottom w:val="single" w:color="020617" w:sz="12"/>
              <w:right w:val="none"/>
            </w:tcBorders>
          </w:tcPr>
          <w:p>
            <w:r>
              <w:rPr>
                <w:sz w:val="20"/>
                <w:szCs w:val="20"/>
              </w:rPr>
              <w:t xml:space="preserve">Steam, Epic Games, Native Mac games</w:t>
            </w:r>
          </w:p>
        </w:tc>
      </w:tr>
      <w:tr>
        <w:tc>
          <w:tcPr>
            <w:tcW w:type="dxa" w:w="2340"/>
            <w:tcBorders>
              <w:top w:val="single" w:color="020617" w:sz="12"/>
              <w:left w:val="none"/>
              <w:bottom w:val="single" w:color="020617" w:sz="12"/>
              <w:right w:val="none"/>
            </w:tcBorders>
          </w:tcPr>
          <w:p>
            <w:r>
              <w:rPr>
                <w:sz w:val="20"/>
                <w:szCs w:val="20"/>
              </w:rPr>
              <w:t xml:space="preserve">Other</w:t>
            </w:r>
          </w:p>
        </w:tc>
        <w:tc>
          <w:tcPr>
            <w:tcW w:type="dxa" w:w="7020"/>
            <w:tcBorders>
              <w:top w:val="single" w:color="020617" w:sz="12"/>
              <w:left w:val="none"/>
              <w:bottom w:val="single" w:color="020617" w:sz="12"/>
              <w:right w:val="none"/>
            </w:tcBorders>
          </w:tcPr>
          <w:p>
            <w:r>
              <w:rPr>
                <w:sz w:val="20"/>
                <w:szCs w:val="20"/>
              </w:rPr>
              <w:t xml:space="preserve">Applications not matching above categories</w:t>
            </w:r>
          </w:p>
        </w:tc>
      </w:tr>
    </w:tbl>
    <w:p>
      <w:pPr>
        <w:spacing w:after="200" w:before="100"/>
        <w:jc w:val="center"/>
      </w:pPr>
      <w:r>
        <w:rPr>
          <w:i/>
          <w:iCs/>
          <w:color w:val="64748B"/>
          <w:sz w:val="18"/>
          <w:szCs w:val="18"/>
        </w:rPr>
        <w:t xml:space="preserve">Table 6: Application Category Definitions</w:t>
      </w:r>
    </w:p>
    <w:p>
      <w:pPr>
        <w:pStyle w:val="Heading1"/>
      </w:pPr>
      <w:r>
        <w:t xml:space="preserve">8. Development Timeline</w:t>
      </w:r>
    </w:p>
    <w:p>
      <w:pPr>
        <w:pStyle w:val="Heading2"/>
      </w:pPr>
      <w:r>
        <w:t xml:space="preserve">8.1 MVP Development (3 Weeks)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020617" w:sz="12"/>
              <w:left w:val="none"/>
              <w:bottom w:val="single" w:color="020617" w:sz="12"/>
              <w:right w:val="none"/>
            </w:tcBorders>
            <w:shd w:fill="E2E8F0" w:val="clear"/>
          </w:tcPr>
          <w:p>
            <w:pPr>
              <w:jc w:val="center"/>
            </w:pPr>
            <w:r>
              <w:rPr>
                <w:b/>
                <w:bCs/>
                <w:sz w:val="20"/>
                <w:szCs w:val="20"/>
              </w:rPr>
              <w:t xml:space="preserve">Week</w:t>
            </w:r>
          </w:p>
        </w:tc>
        <w:tc>
          <w:tcPr>
            <w:tcW w:type="dxa" w:w="2340"/>
            <w:tcBorders>
              <w:top w:val="single" w:color="020617" w:sz="12"/>
              <w:left w:val="none"/>
              <w:bottom w:val="single" w:color="020617" w:sz="12"/>
              <w:right w:val="none"/>
            </w:tcBorders>
            <w:shd w:fill="E2E8F0" w:val="clear"/>
          </w:tcPr>
          <w:p>
            <w:pPr>
              <w:jc w:val="center"/>
            </w:pPr>
            <w:r>
              <w:rPr>
                <w:b/>
                <w:bCs/>
                <w:sz w:val="20"/>
                <w:szCs w:val="20"/>
              </w:rPr>
              <w:t xml:space="preserve">Focus</w:t>
            </w:r>
          </w:p>
        </w:tc>
        <w:tc>
          <w:tcPr>
            <w:tcW w:type="dxa" w:w="5460"/>
            <w:tcBorders>
              <w:top w:val="single" w:color="020617" w:sz="12"/>
              <w:left w:val="none"/>
              <w:bottom w:val="single" w:color="020617" w:sz="12"/>
              <w:right w:val="none"/>
            </w:tcBorders>
            <w:shd w:fill="E2E8F0" w:val="clear"/>
          </w:tcPr>
          <w:p>
            <w:pPr>
              <w:jc w:val="center"/>
            </w:pPr>
            <w:r>
              <w:rPr>
                <w:b/>
                <w:bCs/>
                <w:sz w:val="20"/>
                <w:szCs w:val="20"/>
              </w:rPr>
              <w:t xml:space="preserve">Deliverables</w:t>
            </w:r>
          </w:p>
        </w:tc>
      </w:tr>
      <w:tr>
        <w:tc>
          <w:tcPr>
            <w:tcW w:type="dxa" w:w="1560"/>
            <w:tcBorders>
              <w:top w:val="single" w:color="020617" w:sz="12"/>
              <w:left w:val="none"/>
              <w:bottom w:val="single" w:color="020617" w:sz="12"/>
              <w:right w:val="none"/>
            </w:tcBorders>
          </w:tcPr>
          <w:p>
            <w:pPr>
              <w:jc w:val="center"/>
            </w:pPr>
            <w:r>
              <w:rPr>
                <w:sz w:val="20"/>
                <w:szCs w:val="20"/>
              </w:rPr>
              <w:t xml:space="preserve">Week 1</w:t>
            </w:r>
          </w:p>
        </w:tc>
        <w:tc>
          <w:tcPr>
            <w:tcW w:type="dxa" w:w="2340"/>
            <w:tcBorders>
              <w:top w:val="single" w:color="020617" w:sz="12"/>
              <w:left w:val="none"/>
              <w:bottom w:val="single" w:color="020617" w:sz="12"/>
              <w:right w:val="none"/>
            </w:tcBorders>
          </w:tcPr>
          <w:p>
            <w:r>
              <w:rPr>
                <w:sz w:val="20"/>
                <w:szCs w:val="20"/>
              </w:rPr>
              <w:t xml:space="preserve">Foundation</w:t>
            </w:r>
          </w:p>
        </w:tc>
        <w:tc>
          <w:tcPr>
            <w:tcW w:type="dxa" w:w="5460"/>
            <w:tcBorders>
              <w:top w:val="single" w:color="020617" w:sz="12"/>
              <w:left w:val="none"/>
              <w:bottom w:val="single" w:color="020617" w:sz="12"/>
              <w:right w:val="none"/>
            </w:tcBorders>
          </w:tcPr>
          <w:p>
            <w:r>
              <w:rPr>
                <w:sz w:val="20"/>
                <w:szCs w:val="20"/>
              </w:rPr>
              <w:t xml:space="preserve">Project setup, Click CLI scaffold, Homebrew list/info commands</w:t>
            </w:r>
          </w:p>
        </w:tc>
      </w:tr>
      <w:tr>
        <w:tc>
          <w:tcPr>
            <w:tcW w:type="dxa" w:w="1560"/>
            <w:tcBorders>
              <w:top w:val="single" w:color="020617" w:sz="12"/>
              <w:left w:val="none"/>
              <w:bottom w:val="single" w:color="020617" w:sz="12"/>
              <w:right w:val="none"/>
            </w:tcBorders>
          </w:tcPr>
          <w:p>
            <w:pPr>
              <w:jc w:val="center"/>
            </w:pPr>
            <w:r>
              <w:rPr>
                <w:sz w:val="20"/>
                <w:szCs w:val="20"/>
              </w:rPr>
              <w:t xml:space="preserve">Week 2</w:t>
            </w:r>
          </w:p>
        </w:tc>
        <w:tc>
          <w:tcPr>
            <w:tcW w:type="dxa" w:w="2340"/>
            <w:tcBorders>
              <w:top w:val="single" w:color="020617" w:sz="12"/>
              <w:left w:val="none"/>
              <w:bottom w:val="single" w:color="020617" w:sz="12"/>
              <w:right w:val="none"/>
            </w:tcBorders>
          </w:tcPr>
          <w:p>
            <w:r>
              <w:rPr>
                <w:sz w:val="20"/>
                <w:szCs w:val="20"/>
              </w:rPr>
              <w:t xml:space="preserve">Core Features</w:t>
            </w:r>
          </w:p>
        </w:tc>
        <w:tc>
          <w:tcPr>
            <w:tcW w:type="dxa" w:w="5460"/>
            <w:tcBorders>
              <w:top w:val="single" w:color="020617" w:sz="12"/>
              <w:left w:val="none"/>
              <w:bottom w:val="single" w:color="020617" w:sz="12"/>
              <w:right w:val="none"/>
            </w:tcBorders>
          </w:tcPr>
          <w:p>
            <w:r>
              <w:rPr>
                <w:sz w:val="20"/>
                <w:szCs w:val="20"/>
              </w:rPr>
              <w:t xml:space="preserve">App scanning, storage calculation, categorization with Rich output</w:t>
            </w:r>
          </w:p>
        </w:tc>
      </w:tr>
      <w:tr>
        <w:tc>
          <w:tcPr>
            <w:tcW w:type="dxa" w:w="1560"/>
            <w:tcBorders>
              <w:top w:val="single" w:color="020617" w:sz="12"/>
              <w:left w:val="none"/>
              <w:bottom w:val="single" w:color="020617" w:sz="12"/>
              <w:right w:val="none"/>
            </w:tcBorders>
          </w:tcPr>
          <w:p>
            <w:pPr>
              <w:jc w:val="center"/>
            </w:pPr>
            <w:r>
              <w:rPr>
                <w:sz w:val="20"/>
                <w:szCs w:val="20"/>
              </w:rPr>
              <w:t xml:space="preserve">Week 3</w:t>
            </w:r>
          </w:p>
        </w:tc>
        <w:tc>
          <w:tcPr>
            <w:tcW w:type="dxa" w:w="2340"/>
            <w:tcBorders>
              <w:top w:val="single" w:color="020617" w:sz="12"/>
              <w:left w:val="none"/>
              <w:bottom w:val="single" w:color="020617" w:sz="12"/>
              <w:right w:val="none"/>
            </w:tcBorders>
          </w:tcPr>
          <w:p>
            <w:r>
              <w:rPr>
                <w:sz w:val="20"/>
                <w:szCs w:val="20"/>
              </w:rPr>
              <w:t xml:space="preserve">Integration</w:t>
            </w:r>
          </w:p>
        </w:tc>
        <w:tc>
          <w:tcPr>
            <w:tcW w:type="dxa" w:w="5460"/>
            <w:tcBorders>
              <w:top w:val="single" w:color="020617" w:sz="12"/>
              <w:left w:val="none"/>
              <w:bottom w:val="single" w:color="020617" w:sz="12"/>
              <w:right w:val="none"/>
            </w:tcBorders>
          </w:tcPr>
          <w:p>
            <w:r>
              <w:rPr>
                <w:sz w:val="20"/>
                <w:szCs w:val="20"/>
              </w:rPr>
              <w:t xml:space="preserve">Export functionality, GitHub sync, README documentation</w:t>
            </w:r>
          </w:p>
        </w:tc>
      </w:tr>
    </w:tbl>
    <w:p>
      <w:pPr>
        <w:spacing w:after="200" w:before="100"/>
        <w:jc w:val="center"/>
      </w:pPr>
      <w:r>
        <w:rPr>
          <w:i/>
          <w:iCs/>
          <w:color w:val="64748B"/>
          <w:sz w:val="18"/>
          <w:szCs w:val="18"/>
        </w:rPr>
        <w:t xml:space="preserve">Table 7: MVP Development Schedule</w:t>
      </w:r>
    </w:p>
    <w:p>
      <w:pPr>
        <w:pStyle w:val="Heading1"/>
      </w:pPr>
      <w:r>
        <w:t xml:space="preserve">9. Success Metrics</w:t>
      </w:r>
    </w:p>
    <w:p>
      <w:pPr>
        <w:spacing w:after="200"/>
      </w:pPr>
      <w:r>
        <w:t xml:space="preserve">The success of BrewStanza MVP will be measured against the following criteria: functional completeness of all MVP features within the three-week timeline, successful execution on macOS Tahoe with Apple Silicon, accurate storage calculations within 5% margin of error, GitHub repository with comprehensive README and installation instructions, and personal satisfaction with portfolio presentation quality.</w:t>
      </w:r>
    </w:p>
    <w:p>
      <w:pPr>
        <w:pStyle w:val="Heading1"/>
      </w:pPr>
      <w:r>
        <w:t xml:space="preserve">10. Appendix</w:t>
      </w:r>
    </w:p>
    <w:p>
      <w:pPr>
        <w:pStyle w:val="Heading2"/>
      </w:pPr>
      <w:r>
        <w:t xml:space="preserve">10.1 File Locations Reference</w:t>
      </w:r>
    </w:p>
    <w:p>
      <w:pPr>
        <w:spacing w:after="200"/>
      </w:pPr>
      <w:r>
        <w:t xml:space="preserve">Key file system locations relevant to BrewStanza: /Applications (system-wide apps), ~/Applications (user apps), /opt/homebrew/Cellar (Apple Silicon Homebrew packages), /opt/homebrew/Caskroom (Homebrew casks), ~/Library/Application Support (app support files), ~/Library/Preferences (app preferences), ~/Library/Caches (app caches).</w:t>
      </w:r>
    </w:p>
    <w:p>
      <w:pPr>
        <w:pStyle w:val="Heading2"/>
      </w:pPr>
      <w:r>
        <w:t xml:space="preserve">10.2 Project Structure</w:t>
      </w:r>
    </w:p>
    <w:p>
      <w:pPr>
        <w:spacing w:after="200"/>
      </w:pPr>
      <w:r>
        <w:rPr>
          <w:rFonts w:ascii="Courier New" w:cs="Courier New" w:eastAsia="Courier New" w:hAnsi="Courier New"/>
          <w:sz w:val="16"/>
          <w:szCs w:val="16"/>
        </w:rPr>
        <w:t xml:space="preserve">brewstanza/
├── src/
│   ├── __init__.py
│   ├── cli.py           # Click CLI entry point
│   ├── scanner/
│   │   ├── homebrew.py  # Homebrew package scanner
│   │   └── apps.py      # Application scanner
│   ├── analyzer/
│   │   └── storage.py   # Storage calculation
│   ├── exporter/
│   │   ├── json_export.py
│   │   ├── markdown.py
│   │   └── github.py
│   └── ui/
│       └── renderer.py  # Rich terminal output
├── tests/
├── pyproject.toml
├── README.md
└── LICENSE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BrewStanza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2026-03-27T00:04:36.959Z</dcterms:created>
  <dcterms:modified xsi:type="dcterms:W3CDTF">2026-03-27T00:04:36.959Z</dcterms:modified>
</cp:coreProperties>
</file>

<file path=docProps/custom.xml><?xml version="1.0" encoding="utf-8"?>
<Properties xmlns="http://schemas.openxmlformats.org/officeDocument/2006/custom-properties" xmlns:vt="http://schemas.openxmlformats.org/officeDocument/2006/docPropsVTypes"/>
</file>