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
        <w:jc w:val="center"/>
      </w:pPr>
      <w:r>
        <w:drawing>
          <wp:inline distT="0" distB="0" distL="0" distR="0">
            <wp:extent cx="2381250" cy="1009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381250" cy="1009650"/>
                    </a:xfrm>
                    <a:prstGeom prst="rect">
                      <a:avLst/>
                    </a:prstGeom>
                  </pic:spPr>
                </pic:pic>
              </a:graphicData>
            </a:graphic>
          </wp:inline>
        </w:drawing>
      </w:r>
    </w:p>
    <w:p>
      <w:pPr>
        <w:spacing w:after="360" w:line="240"/>
        <w:jc w:val="center"/>
      </w:pPr>
      <w:r>
        <w:rPr>
          <w:rFonts w:ascii="Arial" w:cs="Arial" w:eastAsia="Arial" w:hAnsi="Arial"/>
          <w:b/>
          <w:bCs/>
          <w:color w:val="000000"/>
          <w:sz w:val="36"/>
          <w:szCs w:val="36"/>
        </w:rPr>
        <w:t xml:space="preserve">Universidad Abierta Para Adultos</w:t>
      </w:r>
    </w:p>
    <w:p>
      <w:pPr>
        <w:spacing w:after="40" w:line="240"/>
        <w:jc w:val="center"/>
      </w:pPr>
      <w:r>
        <w:rPr>
          <w:rFonts w:ascii="Arial" w:cs="Arial" w:eastAsia="Arial" w:hAnsi="Arial"/>
          <w:b/>
          <w:bCs/>
          <w:color w:val="000000"/>
          <w:sz w:val="24"/>
          <w:szCs w:val="24"/>
        </w:rPr>
        <w:t xml:space="preserve">ESCUELA</w:t>
      </w:r>
    </w:p>
    <w:p>
      <w:pPr>
        <w:spacing w:after="260" w:line="240"/>
        <w:jc w:val="center"/>
      </w:pPr>
      <w:r>
        <w:rPr>
          <w:rFonts w:ascii="Arial" w:cs="Arial" w:eastAsia="Arial" w:hAnsi="Arial"/>
          <w:b w:val="false"/>
          <w:bCs w:val="false"/>
          <w:color w:val="000000"/>
          <w:sz w:val="28"/>
          <w:szCs w:val="28"/>
        </w:rPr>
        <w:t xml:space="preserve">Ingeniería y Tecnología</w:t>
      </w:r>
    </w:p>
    <w:p>
      <w:pPr>
        <w:spacing w:after="40" w:line="240"/>
        <w:jc w:val="center"/>
      </w:pPr>
      <w:r>
        <w:rPr>
          <w:rFonts w:ascii="Arial" w:cs="Arial" w:eastAsia="Arial" w:hAnsi="Arial"/>
          <w:b/>
          <w:bCs/>
          <w:color w:val="000000"/>
          <w:sz w:val="24"/>
          <w:szCs w:val="24"/>
        </w:rPr>
        <w:t xml:space="preserve">ASIGNATURA</w:t>
      </w:r>
    </w:p>
    <w:p>
      <w:pPr>
        <w:spacing w:after="260" w:line="240"/>
        <w:jc w:val="center"/>
      </w:pPr>
      <w:r>
        <w:rPr>
          <w:rFonts w:ascii="Arial" w:cs="Arial" w:eastAsia="Arial" w:hAnsi="Arial"/>
          <w:b w:val="false"/>
          <w:bCs w:val="false"/>
          <w:color w:val="000000"/>
          <w:sz w:val="28"/>
          <w:szCs w:val="28"/>
        </w:rPr>
        <w:t xml:space="preserve">Seminario De Proyecto II</w:t>
      </w:r>
    </w:p>
    <w:p>
      <w:pPr>
        <w:spacing w:after="40" w:line="240"/>
        <w:jc w:val="center"/>
      </w:pPr>
      <w:r>
        <w:rPr>
          <w:rFonts w:ascii="Arial" w:cs="Arial" w:eastAsia="Arial" w:hAnsi="Arial"/>
          <w:b/>
          <w:bCs/>
          <w:color w:val="000000"/>
          <w:sz w:val="24"/>
          <w:szCs w:val="24"/>
        </w:rPr>
        <w:t xml:space="preserve">FACILITADOR</w:t>
      </w:r>
    </w:p>
    <w:p>
      <w:pPr>
        <w:spacing w:after="260" w:line="240"/>
        <w:jc w:val="center"/>
      </w:pPr>
      <w:r>
        <w:rPr>
          <w:rFonts w:ascii="Arial" w:cs="Arial" w:eastAsia="Arial" w:hAnsi="Arial"/>
          <w:b w:val="false"/>
          <w:bCs w:val="false"/>
          <w:color w:val="000000"/>
          <w:sz w:val="28"/>
          <w:szCs w:val="28"/>
        </w:rPr>
        <w:t xml:space="preserve">Henry Candelario</w:t>
      </w:r>
    </w:p>
    <w:p>
      <w:pPr>
        <w:spacing w:after="40" w:line="240"/>
        <w:jc w:val="center"/>
      </w:pPr>
      <w:r>
        <w:rPr>
          <w:rFonts w:ascii="Arial" w:cs="Arial" w:eastAsia="Arial" w:hAnsi="Arial"/>
          <w:b/>
          <w:bCs/>
          <w:color w:val="000000"/>
          <w:sz w:val="24"/>
          <w:szCs w:val="24"/>
        </w:rPr>
        <w:t xml:space="preserve">PARTICIPANTE</w:t>
      </w:r>
    </w:p>
    <w:p>
      <w:pPr>
        <w:spacing w:after="260" w:line="240"/>
        <w:jc w:val="center"/>
      </w:pPr>
      <w:r>
        <w:rPr>
          <w:rFonts w:ascii="Arial" w:cs="Arial" w:eastAsia="Arial" w:hAnsi="Arial"/>
          <w:b w:val="false"/>
          <w:bCs w:val="false"/>
          <w:color w:val="000000"/>
          <w:sz w:val="28"/>
          <w:szCs w:val="28"/>
        </w:rPr>
        <w:t xml:space="preserve">Edwin De Jesús Tavarez Minaya</w:t>
      </w:r>
    </w:p>
    <w:p>
      <w:pPr>
        <w:spacing w:after="40" w:line="240"/>
        <w:jc w:val="center"/>
      </w:pPr>
      <w:r>
        <w:rPr>
          <w:rFonts w:ascii="Arial" w:cs="Arial" w:eastAsia="Arial" w:hAnsi="Arial"/>
          <w:b/>
          <w:bCs/>
          <w:color w:val="000000"/>
          <w:sz w:val="24"/>
          <w:szCs w:val="24"/>
        </w:rPr>
        <w:t xml:space="preserve">MATRICULA</w:t>
      </w:r>
    </w:p>
    <w:p>
      <w:pPr>
        <w:spacing w:after="260" w:line="240"/>
        <w:jc w:val="center"/>
      </w:pPr>
      <w:r>
        <w:rPr>
          <w:rFonts w:ascii="Arial" w:cs="Arial" w:eastAsia="Arial" w:hAnsi="Arial"/>
          <w:b w:val="false"/>
          <w:bCs w:val="false"/>
          <w:color w:val="000000"/>
          <w:sz w:val="28"/>
          <w:szCs w:val="28"/>
        </w:rPr>
        <w:t xml:space="preserve">100053122</w:t>
      </w:r>
    </w:p>
    <w:p>
      <w:pPr>
        <w:spacing w:after="40" w:line="240"/>
        <w:jc w:val="center"/>
      </w:pPr>
      <w:r>
        <w:rPr>
          <w:rFonts w:ascii="Arial" w:cs="Arial" w:eastAsia="Arial" w:hAnsi="Arial"/>
          <w:b/>
          <w:bCs/>
          <w:color w:val="000000"/>
          <w:sz w:val="24"/>
          <w:szCs w:val="24"/>
        </w:rPr>
        <w:t xml:space="preserve">TEMA</w:t>
      </w:r>
    </w:p>
    <w:p>
      <w:pPr>
        <w:spacing w:after="260" w:line="240"/>
        <w:jc w:val="center"/>
      </w:pPr>
      <w:r>
        <w:rPr>
          <w:rFonts w:ascii="Arial" w:cs="Arial" w:eastAsia="Arial" w:hAnsi="Arial"/>
          <w:b w:val="false"/>
          <w:bCs w:val="false"/>
          <w:color w:val="000000"/>
          <w:sz w:val="28"/>
          <w:szCs w:val="28"/>
        </w:rPr>
        <w:t xml:space="preserve">Fase 6. Implementación y puesta en funcionamiento</w:t>
      </w:r>
    </w:p>
    <w:p>
      <w:pPr>
        <w:spacing w:after="40" w:line="240"/>
        <w:jc w:val="center"/>
      </w:pPr>
      <w:r>
        <w:rPr>
          <w:rFonts w:ascii="Arial" w:cs="Arial" w:eastAsia="Arial" w:hAnsi="Arial"/>
          <w:b/>
          <w:bCs/>
          <w:color w:val="000000"/>
          <w:sz w:val="24"/>
          <w:szCs w:val="24"/>
        </w:rPr>
        <w:t xml:space="preserve">FECHA</w:t>
      </w:r>
    </w:p>
    <w:p>
      <w:pPr>
        <w:spacing w:after="260" w:line="240"/>
        <w:jc w:val="center"/>
      </w:pPr>
      <w:r>
        <w:rPr>
          <w:rFonts w:ascii="Arial" w:cs="Arial" w:eastAsia="Arial" w:hAnsi="Arial"/>
          <w:b w:val="false"/>
          <w:bCs w:val="false"/>
          <w:color w:val="000000"/>
          <w:sz w:val="28"/>
          <w:szCs w:val="28"/>
        </w:rPr>
        <w:t xml:space="preserve">28-09-2026</w:t>
      </w:r>
    </w:p>
    <w:p>
      <w:r>
        <w:br w:type="page"/>
      </w:r>
    </w:p>
    <w:p>
      <w:pPr>
        <w:sectPr>
          <w:pgSz w:w="12240" w:h="15840" w:orient="portrait"/>
          <w:pgMar w:top="1200" w:right="1250" w:bottom="1200" w:left="1250" w:header="708" w:footer="708" w:gutter="0"/>
          <w:pgNumType/>
          <w:docGrid w:linePitch="360"/>
        </w:sectPr>
      </w:pPr>
    </w:p>
    <w:p>
      <w:pPr>
        <w:spacing w:after="240" w:before="120"/>
      </w:pPr>
      <w:r>
        <w:rPr>
          <w:rFonts w:ascii="Arial" w:cs="Arial" w:eastAsia="Arial" w:hAnsi="Arial"/>
          <w:b/>
          <w:bCs/>
          <w:color w:val="000000"/>
          <w:sz w:val="32"/>
          <w:szCs w:val="32"/>
        </w:rPr>
        <w:t xml:space="preserve">Contenido</w:t>
      </w:r>
    </w:p>
    <w:sdt>
      <w:sdtPr>
        <w:alias w:val="Contenido"/>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000000" w:sz="10"/>
        </w:pBdr>
        <w:spacing w:after="200" w:before="360"/>
      </w:pPr>
      <w:r>
        <w:rPr>
          <w:rFonts w:ascii="Arial" w:cs="Arial" w:eastAsia="Arial" w:hAnsi="Arial"/>
          <w:b/>
          <w:bCs/>
          <w:color w:val="000000"/>
          <w:sz w:val="28"/>
          <w:szCs w:val="28"/>
        </w:rPr>
        <w:t xml:space="preserve">Ficha del Proyecto</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2900"/>
        <w:gridCol w:w="6840"/>
      </w:tblGrid>
      <w:tr>
        <w:trPr>
          <w:tblHeader/>
        </w:trPr>
        <w:tc>
          <w:tcPr>
            <w:tcW w:type="dxa" w:w="2900"/>
            <w:tcBorders>
              <w:top w:val="single" w:color="C7D0E0" w:sz="4"/>
              <w:left w:val="single" w:color="C7D0E0" w:sz="4"/>
              <w:bottom w:val="single" w:color="C7D0E0" w:sz="4"/>
              <w:right w:val="single" w:color="C7D0E0" w:sz="4"/>
            </w:tcBorders>
            <w:shd w:fill="1F3864" w:color="auto" w:val="clear"/>
            <w:tcMar>
              <w:top w:type="dxa" w:w="60"/>
              <w:left w:type="dxa" w:w="110"/>
              <w:bottom w:type="dxa" w:w="60"/>
              <w:right w:type="dxa" w:w="110"/>
            </w:tcMar>
          </w:tcPr>
          <w:p>
            <w:pPr>
              <w:spacing w:after="50" w:before="50" w:line="252"/>
              <w:jc w:val="left"/>
            </w:pPr>
            <w:r>
              <w:rPr>
                <w:rFonts w:ascii="Arial" w:cs="Arial" w:eastAsia="Arial" w:hAnsi="Arial"/>
                <w:b/>
                <w:bCs/>
                <w:color w:val="FFFFFF"/>
                <w:sz w:val="20"/>
                <w:szCs w:val="20"/>
              </w:rPr>
              <w:t xml:space="preserve">Campo</w:t>
            </w:r>
          </w:p>
        </w:tc>
        <w:tc>
          <w:tcPr>
            <w:tcW w:type="dxa" w:w="6840"/>
            <w:tcBorders>
              <w:top w:val="single" w:color="C7D0E0" w:sz="4"/>
              <w:left w:val="single" w:color="C7D0E0" w:sz="4"/>
              <w:bottom w:val="single" w:color="C7D0E0" w:sz="4"/>
              <w:right w:val="single" w:color="C7D0E0" w:sz="4"/>
            </w:tcBorders>
            <w:shd w:fill="1F3864" w:color="auto" w:val="clear"/>
            <w:tcMar>
              <w:top w:type="dxa" w:w="60"/>
              <w:left w:type="dxa" w:w="110"/>
              <w:bottom w:type="dxa" w:w="60"/>
              <w:right w:type="dxa" w:w="110"/>
            </w:tcMar>
          </w:tcPr>
          <w:p>
            <w:pPr>
              <w:spacing w:after="50" w:before="50" w:line="252"/>
              <w:jc w:val="left"/>
            </w:pPr>
            <w:r>
              <w:rPr>
                <w:rFonts w:ascii="Arial" w:cs="Arial" w:eastAsia="Arial" w:hAnsi="Arial"/>
                <w:b/>
                <w:bCs/>
                <w:color w:val="FFFFFF"/>
                <w:sz w:val="20"/>
                <w:szCs w:val="20"/>
              </w:rPr>
              <w:t xml:space="preserve">Descripción</w:t>
            </w:r>
          </w:p>
        </w:tc>
      </w:tr>
      <w:tr>
        <w:trPr>
          <w:cantSplit/>
        </w:trPr>
        <w:tc>
          <w:tcPr>
            <w:tcW w:type="dxa" w:w="29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Tema asignado</w:t>
            </w:r>
          </w:p>
        </w:tc>
        <w:tc>
          <w:tcPr>
            <w:tcW w:type="dxa" w:w="684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Implementación y puesta en funcionamiento del sistema</w:t>
            </w:r>
          </w:p>
        </w:tc>
      </w:tr>
      <w:tr>
        <w:trPr>
          <w:cantSplit/>
        </w:trPr>
        <w:tc>
          <w:tcPr>
            <w:tcW w:type="dxa" w:w="29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Materia</w:t>
            </w:r>
          </w:p>
        </w:tc>
        <w:tc>
          <w:tcPr>
            <w:tcW w:type="dxa" w:w="684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Seminario de Proyecto II</w:t>
            </w:r>
          </w:p>
        </w:tc>
      </w:tr>
      <w:tr>
        <w:trPr>
          <w:cantSplit/>
        </w:trPr>
        <w:tc>
          <w:tcPr>
            <w:tcW w:type="dxa" w:w="29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Nombre del proyecto</w:t>
            </w:r>
          </w:p>
        </w:tc>
        <w:tc>
          <w:tcPr>
            <w:tcW w:type="dxa" w:w="684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FotoGest Pro</w:t>
            </w:r>
          </w:p>
        </w:tc>
      </w:tr>
      <w:tr>
        <w:trPr>
          <w:cantSplit/>
        </w:trPr>
        <w:tc>
          <w:tcPr>
            <w:tcW w:type="dxa" w:w="29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Tipo de proyecto</w:t>
            </w:r>
          </w:p>
        </w:tc>
        <w:tc>
          <w:tcPr>
            <w:tcW w:type="dxa" w:w="684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Aplicación móvil</w:t>
            </w:r>
          </w:p>
        </w:tc>
      </w:tr>
      <w:tr>
        <w:trPr>
          <w:cantSplit/>
        </w:trPr>
        <w:tc>
          <w:tcPr>
            <w:tcW w:type="dxa" w:w="29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Version entregada</w:t>
            </w:r>
          </w:p>
        </w:tc>
        <w:tc>
          <w:tcPr>
            <w:tcW w:type="dxa" w:w="684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1.0.0 (APK de produccion, 67.0 MB)</w:t>
            </w:r>
          </w:p>
        </w:tc>
      </w:tr>
      <w:tr>
        <w:trPr>
          <w:cantSplit/>
        </w:trPr>
        <w:tc>
          <w:tcPr>
            <w:tcW w:type="dxa" w:w="29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Plataforma</w:t>
            </w:r>
          </w:p>
        </w:tc>
        <w:tc>
          <w:tcPr>
            <w:tcW w:type="dxa" w:w="684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Android 8.0 o superior</w:t>
            </w:r>
          </w:p>
        </w:tc>
      </w:tr>
      <w:tr>
        <w:trPr>
          <w:cantSplit/>
        </w:trPr>
        <w:tc>
          <w:tcPr>
            <w:tcW w:type="dxa" w:w="29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Tecnologías principales</w:t>
            </w:r>
          </w:p>
        </w:tc>
        <w:tc>
          <w:tcPr>
            <w:tcW w:type="dxa" w:w="684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Flutter, Dart, Firebase Authentication y Cloud Firestore</w:t>
            </w:r>
          </w:p>
        </w:tc>
      </w:tr>
      <w:tr>
        <w:trPr>
          <w:cantSplit/>
        </w:trPr>
        <w:tc>
          <w:tcPr>
            <w:tcW w:type="dxa" w:w="29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Dispositivo de prueba</w:t>
            </w:r>
          </w:p>
        </w:tc>
        <w:tc>
          <w:tcPr>
            <w:tcW w:type="dxa" w:w="684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Teléfono Android físico del participante</w:t>
            </w:r>
          </w:p>
        </w:tc>
      </w:tr>
      <w:tr>
        <w:trPr>
          <w:cantSplit/>
        </w:trPr>
        <w:tc>
          <w:tcPr>
            <w:tcW w:type="dxa" w:w="29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Fecha de la demostración</w:t>
            </w:r>
          </w:p>
        </w:tc>
        <w:tc>
          <w:tcPr>
            <w:tcW w:type="dxa" w:w="684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28 y 29 de septiembre de 2026</w:t>
            </w:r>
          </w:p>
        </w:tc>
      </w:tr>
      <w:tr>
        <w:trPr>
          <w:cantSplit/>
        </w:trPr>
        <w:tc>
          <w:tcPr>
            <w:tcW w:type="dxa" w:w="29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Repositorio</w:t>
            </w:r>
          </w:p>
        </w:tc>
        <w:tc>
          <w:tcPr>
            <w:tcW w:type="dxa" w:w="684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https://github.com/wdwintavarez01-lang/fotogest-pro</w:t>
            </w:r>
          </w:p>
        </w:tc>
      </w:tr>
    </w:tbl>
    <w:p>
      <w:r>
        <w:br w:type="page"/>
      </w:r>
    </w:p>
    <w:p>
      <w:pPr>
        <w:pStyle w:val="Heading1"/>
        <w:pBdr>
          <w:bottom w:val="single" w:color="000000" w:sz="10"/>
        </w:pBdr>
        <w:spacing w:after="200" w:before="360"/>
      </w:pPr>
      <w:r>
        <w:rPr>
          <w:rFonts w:ascii="Arial" w:cs="Arial" w:eastAsia="Arial" w:hAnsi="Arial"/>
          <w:b/>
          <w:bCs/>
          <w:color w:val="000000"/>
          <w:sz w:val="28"/>
          <w:szCs w:val="28"/>
        </w:rPr>
        <w:t xml:space="preserve">Introducción</w:t>
      </w:r>
    </w:p>
    <w:p>
      <w:pPr>
        <w:spacing w:after="160" w:before="0" w:line="360"/>
        <w:jc w:val="both"/>
      </w:pPr>
      <w:r>
        <w:rPr>
          <w:rFonts w:ascii="Arial" w:cs="Arial" w:eastAsia="Arial" w:hAnsi="Arial"/>
          <w:b w:val="false"/>
          <w:bCs w:val="false"/>
          <w:i w:val="false"/>
          <w:iCs w:val="false"/>
          <w:sz w:val="24"/>
          <w:szCs w:val="24"/>
        </w:rPr>
        <w:t xml:space="preserve">Este documento presenta las evidencias de la implementación y puesta en funcionamiento de la versión final de FotoGest Pro, la aplicación móvil desarrollada durante la asignatura para la gestión de clientes, servicios fotográficos, eventos, ventas y cobros de un fotógrafo independiente.</w:t>
      </w:r>
    </w:p>
    <w:p>
      <w:pPr>
        <w:spacing w:after="160" w:before="0" w:line="360"/>
        <w:jc w:val="both"/>
      </w:pPr>
      <w:r>
        <w:rPr>
          <w:rFonts w:ascii="Arial" w:cs="Arial" w:eastAsia="Arial" w:hAnsi="Arial"/>
          <w:b w:val="false"/>
          <w:bCs w:val="false"/>
          <w:i w:val="false"/>
          <w:iCs w:val="false"/>
          <w:sz w:val="24"/>
          <w:szCs w:val="24"/>
        </w:rPr>
        <w:t xml:space="preserve">A diferencia de las fases anteriores, que documentaron la concepción, la construcción y la documentación técnica del sistema, esta fase no describe lo que el software debería hacer, sino lo que efectivamente hace. Todas las capturas incluidas fueron tomadas sobre el APK de producción instalado en un teléfono Android real, conectado al proyecto Firebase de producción, con datos creados durante la propia demostración.</w:t>
      </w:r>
    </w:p>
    <w:p>
      <w:pPr>
        <w:spacing w:after="160" w:before="0" w:line="360"/>
        <w:jc w:val="both"/>
      </w:pPr>
      <w:r>
        <w:rPr>
          <w:rFonts w:ascii="Arial" w:cs="Arial" w:eastAsia="Arial" w:hAnsi="Arial"/>
          <w:b w:val="false"/>
          <w:bCs w:val="false"/>
          <w:i w:val="false"/>
          <w:iCs w:val="false"/>
          <w:sz w:val="24"/>
          <w:szCs w:val="24"/>
        </w:rPr>
        <w:t xml:space="preserve">El documento se organiza en los cuatro bloques de evidencia solicitados: el sistema instalado y funcionando, la base de datos configurada, los principales módulos operativos y el usuario realizando operaciones en el sistema. Cada bloque cierra con una tabla de verificación que relaciona la evidencia con el resultado observado.</w:t>
      </w:r>
    </w:p>
    <w:p>
      <w:r>
        <w:br w:type="page"/>
      </w:r>
    </w:p>
    <w:p>
      <w:pPr>
        <w:pStyle w:val="Heading1"/>
        <w:pBdr>
          <w:bottom w:val="single" w:color="000000" w:sz="10"/>
        </w:pBdr>
        <w:spacing w:after="200" w:before="360"/>
      </w:pPr>
      <w:r>
        <w:rPr>
          <w:rFonts w:ascii="Arial" w:cs="Arial" w:eastAsia="Arial" w:hAnsi="Arial"/>
          <w:b/>
          <w:bCs/>
          <w:color w:val="000000"/>
          <w:sz w:val="28"/>
          <w:szCs w:val="28"/>
        </w:rPr>
        <w:t xml:space="preserve">1. Sistema instalado y funcionando</w:t>
      </w:r>
    </w:p>
    <w:p>
      <w:pPr>
        <w:spacing w:after="160" w:before="0" w:line="360"/>
        <w:jc w:val="both"/>
      </w:pPr>
      <w:r>
        <w:rPr>
          <w:rFonts w:ascii="Arial" w:cs="Arial" w:eastAsia="Arial" w:hAnsi="Arial"/>
          <w:b w:val="false"/>
          <w:bCs w:val="false"/>
          <w:i w:val="false"/>
          <w:iCs w:val="false"/>
          <w:sz w:val="24"/>
          <w:szCs w:val="24"/>
        </w:rPr>
        <w:t xml:space="preserve">La aplicación se compiló en modo release con el comando flutter build apk --release y el paquete resultante se transfirió al teléfono de prueba para su instalación directa, sin intermediación de la tienda de aplicaciones. Se trata, por tanto, de la misma versión que recibiría un usuario final.</w:t>
      </w:r>
    </w:p>
    <w:p>
      <w:pPr>
        <w:pStyle w:val="Heading2"/>
        <w:spacing w:after="140" w:before="300"/>
      </w:pPr>
      <w:r>
        <w:rPr>
          <w:rFonts w:ascii="Arial" w:cs="Arial" w:eastAsia="Arial" w:hAnsi="Arial"/>
          <w:b/>
          <w:bCs/>
          <w:color w:val="000000"/>
          <w:sz w:val="26"/>
          <w:szCs w:val="26"/>
        </w:rPr>
        <w:t xml:space="preserve">1.1 Instalación del paquete en el dispositivo</w:t>
      </w:r>
    </w:p>
    <w:p>
      <w:pPr>
        <w:spacing w:after="160" w:before="0" w:line="360"/>
        <w:jc w:val="both"/>
      </w:pPr>
      <w:r>
        <w:rPr>
          <w:rFonts w:ascii="Arial" w:cs="Arial" w:eastAsia="Arial" w:hAnsi="Arial"/>
          <w:b w:val="false"/>
          <w:bCs w:val="false"/>
          <w:i w:val="false"/>
          <w:iCs w:val="false"/>
          <w:sz w:val="24"/>
          <w:szCs w:val="24"/>
        </w:rPr>
        <w:t xml:space="preserve">Al ser una instalación fuera de Google Play, Android solicita autorización explícita para la fuente y ejecuta su propio análisis de seguridad sobre el paquete antes de permitir la instalación. El APK superó las tres verificaciones del sistema: análisis de virus, verificación de aplicación falsificada y otros riesgos.</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4870"/>
        <w:gridCol w:w="4870"/>
      </w:tblGrid>
      <w:tr>
        <w:trPr>
          <w:cantSplit/>
        </w:trPr>
        <w:tc>
          <w:tcPr>
            <w:tcW w:type="dxa" w:w="4870"/>
            <w:tcBorders>
              <w:top w:val="none" w:color="FFFFFF" w:sz="0"/>
              <w:left w:val="none" w:color="FFFFFF" w:sz="0"/>
              <w:bottom w:val="none" w:color="FFFFFF" w:sz="0"/>
              <w:right w:val="none" w:color="FFFFFF" w:sz="0"/>
            </w:tcBorders>
            <w:tcMar>
              <w:top w:type="dxa" w:w="100"/>
              <w:left w:type="dxa" w:w="100"/>
              <w:bottom w:type="dxa" w:w="100"/>
              <w:right w:type="dxa" w:w="100"/>
            </w:tcMar>
          </w:tcPr>
          <w:p>
            <w:pPr>
              <w:spacing w:after="80"/>
              <w:jc w:val="center"/>
            </w:pPr>
            <w:r>
              <w:drawing>
                <wp:inline distT="0" distB="0" distL="0" distR="0">
                  <wp:extent cx="1476375"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76375" cy="3276600"/>
                          </a:xfrm>
                          <a:prstGeom prst="rect">
                            <a:avLst/>
                          </a:prstGeom>
                        </pic:spPr>
                      </pic:pic>
                    </a:graphicData>
                  </a:graphic>
                </wp:inline>
              </w:drawing>
            </w:r>
          </w:p>
          <w:p>
            <w:pPr>
              <w:spacing w:after="60" w:line="240"/>
              <w:jc w:val="center"/>
            </w:pPr>
            <w:r>
              <w:rPr>
                <w:rFonts w:ascii="Arial" w:cs="Arial" w:eastAsia="Arial" w:hAnsi="Arial"/>
                <w:i/>
                <w:iCs/>
                <w:color w:val="5A6472"/>
                <w:sz w:val="20"/>
                <w:szCs w:val="20"/>
              </w:rPr>
              <w:t xml:space="preserve">Figura 1. Autorización de instalación desde fuente desconocida.</w:t>
            </w:r>
          </w:p>
        </w:tc>
        <w:tc>
          <w:tcPr>
            <w:tcW w:type="dxa" w:w="4870"/>
            <w:tcBorders>
              <w:top w:val="none" w:color="FFFFFF" w:sz="0"/>
              <w:left w:val="none" w:color="FFFFFF" w:sz="0"/>
              <w:bottom w:val="none" w:color="FFFFFF" w:sz="0"/>
              <w:right w:val="none" w:color="FFFFFF" w:sz="0"/>
            </w:tcBorders>
            <w:tcMar>
              <w:top w:type="dxa" w:w="100"/>
              <w:left w:type="dxa" w:w="100"/>
              <w:bottom w:type="dxa" w:w="100"/>
              <w:right w:type="dxa" w:w="100"/>
            </w:tcMar>
          </w:tcPr>
          <w:p>
            <w:pPr>
              <w:spacing w:after="80"/>
              <w:jc w:val="center"/>
            </w:pPr>
            <w:r>
              <w:drawing>
                <wp:inline distT="0" distB="0" distL="0" distR="0">
                  <wp:extent cx="1476375"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476375" cy="3276600"/>
                          </a:xfrm>
                          <a:prstGeom prst="rect">
                            <a:avLst/>
                          </a:prstGeom>
                        </pic:spPr>
                      </pic:pic>
                    </a:graphicData>
                  </a:graphic>
                </wp:inline>
              </w:drawing>
            </w:r>
          </w:p>
          <w:p>
            <w:pPr>
              <w:spacing w:after="60" w:line="240"/>
              <w:jc w:val="center"/>
            </w:pPr>
            <w:r>
              <w:rPr>
                <w:rFonts w:ascii="Arial" w:cs="Arial" w:eastAsia="Arial" w:hAnsi="Arial"/>
                <w:i/>
                <w:iCs/>
                <w:color w:val="5A6472"/>
                <w:sz w:val="20"/>
                <w:szCs w:val="20"/>
              </w:rPr>
              <w:t xml:space="preserve">Figura 2. Verificación de seguridad superada. Versión 1.0.0, 67.0 MB.</w:t>
            </w:r>
          </w:p>
        </w:tc>
      </w:tr>
    </w:tbl>
    <w:p>
      <w:pPr>
        <w:pStyle w:val="Heading2"/>
        <w:spacing w:after="140" w:before="300"/>
      </w:pPr>
      <w:r>
        <w:rPr>
          <w:rFonts w:ascii="Arial" w:cs="Arial" w:eastAsia="Arial" w:hAnsi="Arial"/>
          <w:b/>
          <w:bCs/>
          <w:color w:val="000000"/>
          <w:sz w:val="26"/>
          <w:szCs w:val="26"/>
        </w:rPr>
        <w:t xml:space="preserve">1.2 Primer arranque y acceso al sistema</w:t>
      </w:r>
    </w:p>
    <w:p>
      <w:pPr>
        <w:spacing w:after="160" w:before="0" w:line="360"/>
        <w:jc w:val="both"/>
      </w:pPr>
      <w:r>
        <w:rPr>
          <w:rFonts w:ascii="Arial" w:cs="Arial" w:eastAsia="Arial" w:hAnsi="Arial"/>
          <w:b w:val="false"/>
          <w:bCs w:val="false"/>
          <w:i w:val="false"/>
          <w:iCs w:val="false"/>
          <w:sz w:val="24"/>
          <w:szCs w:val="24"/>
        </w:rPr>
        <w:t xml:space="preserve">La aplicación abre en la pantalla de acceso, con los campos de correo y contraseña vacíos: no hay credenciales precargadas en el código. El usuario introduce sus datos y la aplicación los valida contra Firebase Authentication, mostrando el estado "Entrando…" mientras se resuelve la petición.</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4870"/>
        <w:gridCol w:w="4870"/>
      </w:tblGrid>
      <w:tr>
        <w:trPr>
          <w:cantSplit/>
        </w:trPr>
        <w:tc>
          <w:tcPr>
            <w:tcW w:type="dxa" w:w="4870"/>
            <w:tcBorders>
              <w:top w:val="none" w:color="FFFFFF" w:sz="0"/>
              <w:left w:val="none" w:color="FFFFFF" w:sz="0"/>
              <w:bottom w:val="none" w:color="FFFFFF" w:sz="0"/>
              <w:right w:val="none" w:color="FFFFFF" w:sz="0"/>
            </w:tcBorders>
            <w:tcMar>
              <w:top w:type="dxa" w:w="100"/>
              <w:left w:type="dxa" w:w="100"/>
              <w:bottom w:type="dxa" w:w="100"/>
              <w:right w:type="dxa" w:w="100"/>
            </w:tcMar>
          </w:tcPr>
          <w:p>
            <w:pPr>
              <w:spacing w:after="80"/>
              <w:jc w:val="center"/>
            </w:pPr>
            <w:r>
              <w:drawing>
                <wp:inline distT="0" distB="0" distL="0" distR="0">
                  <wp:extent cx="1476375"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476375" cy="3276600"/>
                          </a:xfrm>
                          <a:prstGeom prst="rect">
                            <a:avLst/>
                          </a:prstGeom>
                        </pic:spPr>
                      </pic:pic>
                    </a:graphicData>
                  </a:graphic>
                </wp:inline>
              </w:drawing>
            </w:r>
          </w:p>
          <w:p>
            <w:pPr>
              <w:spacing w:after="60" w:line="240"/>
              <w:jc w:val="center"/>
            </w:pPr>
            <w:r>
              <w:rPr>
                <w:rFonts w:ascii="Arial" w:cs="Arial" w:eastAsia="Arial" w:hAnsi="Arial"/>
                <w:i/>
                <w:iCs/>
                <w:color w:val="5A6472"/>
                <w:sz w:val="20"/>
                <w:szCs w:val="20"/>
              </w:rPr>
              <w:t xml:space="preserve">Figura 3. Pantalla de acceso tras el primer arranque.</w:t>
            </w:r>
          </w:p>
        </w:tc>
        <w:tc>
          <w:tcPr>
            <w:tcW w:type="dxa" w:w="4870"/>
            <w:tcBorders>
              <w:top w:val="none" w:color="FFFFFF" w:sz="0"/>
              <w:left w:val="none" w:color="FFFFFF" w:sz="0"/>
              <w:bottom w:val="none" w:color="FFFFFF" w:sz="0"/>
              <w:right w:val="none" w:color="FFFFFF" w:sz="0"/>
            </w:tcBorders>
            <w:tcMar>
              <w:top w:type="dxa" w:w="100"/>
              <w:left w:type="dxa" w:w="100"/>
              <w:bottom w:type="dxa" w:w="100"/>
              <w:right w:type="dxa" w:w="100"/>
            </w:tcMar>
          </w:tcPr>
          <w:p>
            <w:pPr>
              <w:spacing w:after="80"/>
              <w:jc w:val="center"/>
            </w:pPr>
            <w:r>
              <w:drawing>
                <wp:inline distT="0" distB="0" distL="0" distR="0">
                  <wp:extent cx="1476375"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476375" cy="3276600"/>
                          </a:xfrm>
                          <a:prstGeom prst="rect">
                            <a:avLst/>
                          </a:prstGeom>
                        </pic:spPr>
                      </pic:pic>
                    </a:graphicData>
                  </a:graphic>
                </wp:inline>
              </w:drawing>
            </w:r>
          </w:p>
          <w:p>
            <w:pPr>
              <w:spacing w:after="60" w:line="240"/>
              <w:jc w:val="center"/>
            </w:pPr>
            <w:r>
              <w:rPr>
                <w:rFonts w:ascii="Arial" w:cs="Arial" w:eastAsia="Arial" w:hAnsi="Arial"/>
                <w:i/>
                <w:iCs/>
                <w:color w:val="5A6472"/>
                <w:sz w:val="20"/>
                <w:szCs w:val="20"/>
              </w:rPr>
              <w:t xml:space="preserve">Figura 4. Autenticación en curso con las credenciales del usuario.</w:t>
            </w:r>
          </w:p>
        </w:tc>
      </w:tr>
    </w:tbl>
    <w:p>
      <w:pPr>
        <w:pStyle w:val="Heading2"/>
        <w:spacing w:after="140" w:before="300"/>
      </w:pPr>
      <w:r>
        <w:rPr>
          <w:rFonts w:ascii="Arial" w:cs="Arial" w:eastAsia="Arial" w:hAnsi="Arial"/>
          <w:b/>
          <w:bCs/>
          <w:color w:val="000000"/>
          <w:sz w:val="26"/>
          <w:szCs w:val="26"/>
        </w:rPr>
        <w:t xml:space="preserve">1.3 Sistema en operación</w:t>
      </w:r>
    </w:p>
    <w:p>
      <w:pPr>
        <w:spacing w:after="160" w:before="0" w:line="360"/>
        <w:jc w:val="both"/>
      </w:pPr>
      <w:r>
        <w:rPr>
          <w:rFonts w:ascii="Arial" w:cs="Arial" w:eastAsia="Arial" w:hAnsi="Arial"/>
          <w:b w:val="false"/>
          <w:bCs w:val="false"/>
          <w:i w:val="false"/>
          <w:iCs w:val="false"/>
          <w:sz w:val="24"/>
          <w:szCs w:val="24"/>
        </w:rPr>
        <w:t xml:space="preserve">Una vez autenticado, el usuario llega al panel de resumen. El indicador "Online" confirma que la aplicación está conectada a Cloud Firestore y que las cifras mostradas provienen del servidor, no de datos de ejemplo incorporados en la aplicación. Los cuatro indicadores —clientes registrados, eventos activos, monto abonado y monto pendiente— se calculan a partir de los documentos del usuario autenticado.</w:t>
      </w:r>
    </w:p>
    <w:p>
      <w:pPr>
        <w:spacing w:after="80" w:before="160"/>
        <w:jc w:val="center"/>
      </w:pPr>
      <w:r>
        <w:drawing>
          <wp:inline distT="0" distB="0" distL="0" distR="0">
            <wp:extent cx="2190750" cy="4867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190750" cy="4867275"/>
                    </a:xfrm>
                    <a:prstGeom prst="rect">
                      <a:avLst/>
                    </a:prstGeom>
                  </pic:spPr>
                </pic:pic>
              </a:graphicData>
            </a:graphic>
          </wp:inline>
        </w:drawing>
      </w:r>
    </w:p>
    <w:p>
      <w:pPr>
        <w:spacing w:after="220"/>
        <w:jc w:val="center"/>
      </w:pPr>
      <w:r>
        <w:rPr>
          <w:rFonts w:ascii="Arial" w:cs="Arial" w:eastAsia="Arial" w:hAnsi="Arial"/>
          <w:i/>
          <w:iCs/>
          <w:color w:val="5A6472"/>
          <w:sz w:val="20"/>
          <w:szCs w:val="20"/>
        </w:rPr>
        <w:t xml:space="preserve">Figura 5. Panel de resumen con el sistema en funcionamiento y conexión activa.</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2300"/>
        <w:gridCol w:w="5740"/>
        <w:gridCol w:w="1700"/>
      </w:tblGrid>
      <w:tr>
        <w:trPr>
          <w:tblHeader/>
        </w:trPr>
        <w:tc>
          <w:tcPr>
            <w:tcW w:type="dxa" w:w="2300"/>
            <w:tcBorders>
              <w:top w:val="single" w:color="C7D0E0" w:sz="4"/>
              <w:left w:val="single" w:color="C7D0E0" w:sz="4"/>
              <w:bottom w:val="single" w:color="C7D0E0" w:sz="4"/>
              <w:right w:val="single" w:color="C7D0E0" w:sz="4"/>
            </w:tcBorders>
            <w:shd w:fill="1F3864" w:color="auto" w:val="clear"/>
            <w:tcMar>
              <w:top w:type="dxa" w:w="60"/>
              <w:left w:type="dxa" w:w="110"/>
              <w:bottom w:type="dxa" w:w="60"/>
              <w:right w:type="dxa" w:w="110"/>
            </w:tcMar>
          </w:tcPr>
          <w:p>
            <w:pPr>
              <w:spacing w:after="50" w:before="50" w:line="252"/>
              <w:jc w:val="left"/>
            </w:pPr>
            <w:r>
              <w:rPr>
                <w:rFonts w:ascii="Arial" w:cs="Arial" w:eastAsia="Arial" w:hAnsi="Arial"/>
                <w:b/>
                <w:bCs/>
                <w:color w:val="FFFFFF"/>
                <w:sz w:val="20"/>
                <w:szCs w:val="20"/>
              </w:rPr>
              <w:t xml:space="preserve">Evidencia</w:t>
            </w:r>
          </w:p>
        </w:tc>
        <w:tc>
          <w:tcPr>
            <w:tcW w:type="dxa" w:w="5740"/>
            <w:tcBorders>
              <w:top w:val="single" w:color="C7D0E0" w:sz="4"/>
              <w:left w:val="single" w:color="C7D0E0" w:sz="4"/>
              <w:bottom w:val="single" w:color="C7D0E0" w:sz="4"/>
              <w:right w:val="single" w:color="C7D0E0" w:sz="4"/>
            </w:tcBorders>
            <w:shd w:fill="1F3864" w:color="auto" w:val="clear"/>
            <w:tcMar>
              <w:top w:type="dxa" w:w="60"/>
              <w:left w:type="dxa" w:w="110"/>
              <w:bottom w:type="dxa" w:w="60"/>
              <w:right w:type="dxa" w:w="110"/>
            </w:tcMar>
          </w:tcPr>
          <w:p>
            <w:pPr>
              <w:spacing w:after="50" w:before="50" w:line="252"/>
              <w:jc w:val="left"/>
            </w:pPr>
            <w:r>
              <w:rPr>
                <w:rFonts w:ascii="Arial" w:cs="Arial" w:eastAsia="Arial" w:hAnsi="Arial"/>
                <w:b/>
                <w:bCs/>
                <w:color w:val="FFFFFF"/>
                <w:sz w:val="20"/>
                <w:szCs w:val="20"/>
              </w:rPr>
              <w:t xml:space="preserve">Resultado observado</w:t>
            </w:r>
          </w:p>
        </w:tc>
        <w:tc>
          <w:tcPr>
            <w:tcW w:type="dxa" w:w="1700"/>
            <w:tcBorders>
              <w:top w:val="single" w:color="C7D0E0" w:sz="4"/>
              <w:left w:val="single" w:color="C7D0E0" w:sz="4"/>
              <w:bottom w:val="single" w:color="C7D0E0" w:sz="4"/>
              <w:right w:val="single" w:color="C7D0E0" w:sz="4"/>
            </w:tcBorders>
            <w:shd w:fill="1F3864" w:color="auto" w:val="clear"/>
            <w:tcMar>
              <w:top w:type="dxa" w:w="60"/>
              <w:left w:type="dxa" w:w="110"/>
              <w:bottom w:type="dxa" w:w="60"/>
              <w:right w:type="dxa" w:w="110"/>
            </w:tcMar>
          </w:tcPr>
          <w:p>
            <w:pPr>
              <w:spacing w:after="50" w:before="50" w:line="252"/>
              <w:jc w:val="left"/>
            </w:pPr>
            <w:r>
              <w:rPr>
                <w:rFonts w:ascii="Arial" w:cs="Arial" w:eastAsia="Arial" w:hAnsi="Arial"/>
                <w:b/>
                <w:bCs/>
                <w:color w:val="FFFFFF"/>
                <w:sz w:val="20"/>
                <w:szCs w:val="20"/>
              </w:rPr>
              <w:t xml:space="preserve">Estado</w:t>
            </w:r>
          </w:p>
        </w:tc>
      </w:tr>
      <w:tr>
        <w:trPr>
          <w:cantSplit/>
        </w:trPr>
        <w:tc>
          <w:tcPr>
            <w:tcW w:type="dxa" w:w="23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Instalación del APK</w:t>
            </w:r>
          </w:p>
        </w:tc>
        <w:tc>
          <w:tcPr>
            <w:tcW w:type="dxa" w:w="574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Paquete instalado en el dispositivo; verificación de seguridad de Android superada.</w:t>
            </w:r>
          </w:p>
        </w:tc>
        <w:tc>
          <w:tcPr>
            <w:tcW w:type="dxa" w:w="17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center"/>
            </w:pPr>
            <w:r>
              <w:rPr>
                <w:rFonts w:ascii="Arial" w:cs="Arial" w:eastAsia="Arial" w:hAnsi="Arial"/>
                <w:b w:val="false"/>
                <w:bCs w:val="false"/>
                <w:sz w:val="20"/>
                <w:szCs w:val="20"/>
              </w:rPr>
              <w:t xml:space="preserve">Correcto</w:t>
            </w:r>
          </w:p>
        </w:tc>
      </w:tr>
      <w:tr>
        <w:trPr>
          <w:cantSplit/>
        </w:trPr>
        <w:tc>
          <w:tcPr>
            <w:tcW w:type="dxa" w:w="23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Arranque de la aplicación</w:t>
            </w:r>
          </w:p>
        </w:tc>
        <w:tc>
          <w:tcPr>
            <w:tcW w:type="dxa" w:w="574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La aplicación abre en la pantalla de acceso sin credenciales precargadas.</w:t>
            </w:r>
          </w:p>
        </w:tc>
        <w:tc>
          <w:tcPr>
            <w:tcW w:type="dxa" w:w="17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center"/>
            </w:pPr>
            <w:r>
              <w:rPr>
                <w:rFonts w:ascii="Arial" w:cs="Arial" w:eastAsia="Arial" w:hAnsi="Arial"/>
                <w:b w:val="false"/>
                <w:bCs w:val="false"/>
                <w:sz w:val="20"/>
                <w:szCs w:val="20"/>
              </w:rPr>
              <w:t xml:space="preserve">Correcto</w:t>
            </w:r>
          </w:p>
        </w:tc>
      </w:tr>
      <w:tr>
        <w:trPr>
          <w:cantSplit/>
        </w:trPr>
        <w:tc>
          <w:tcPr>
            <w:tcW w:type="dxa" w:w="23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Autenticación</w:t>
            </w:r>
          </w:p>
        </w:tc>
        <w:tc>
          <w:tcPr>
            <w:tcW w:type="dxa" w:w="574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Las credenciales se validan contra Firebase Authentication y dan acceso al sistema.</w:t>
            </w:r>
          </w:p>
        </w:tc>
        <w:tc>
          <w:tcPr>
            <w:tcW w:type="dxa" w:w="17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center"/>
            </w:pPr>
            <w:r>
              <w:rPr>
                <w:rFonts w:ascii="Arial" w:cs="Arial" w:eastAsia="Arial" w:hAnsi="Arial"/>
                <w:b w:val="false"/>
                <w:bCs w:val="false"/>
                <w:sz w:val="20"/>
                <w:szCs w:val="20"/>
              </w:rPr>
              <w:t xml:space="preserve">Correcto</w:t>
            </w:r>
          </w:p>
        </w:tc>
      </w:tr>
      <w:tr>
        <w:trPr>
          <w:cantSplit/>
        </w:trPr>
        <w:tc>
          <w:tcPr>
            <w:tcW w:type="dxa" w:w="23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Conexión con el servidor</w:t>
            </w:r>
          </w:p>
        </w:tc>
        <w:tc>
          <w:tcPr>
            <w:tcW w:type="dxa" w:w="574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El panel muestra el estado Online y carga los indicadores desde Cloud Firestore.</w:t>
            </w:r>
          </w:p>
        </w:tc>
        <w:tc>
          <w:tcPr>
            <w:tcW w:type="dxa" w:w="17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center"/>
            </w:pPr>
            <w:r>
              <w:rPr>
                <w:rFonts w:ascii="Arial" w:cs="Arial" w:eastAsia="Arial" w:hAnsi="Arial"/>
                <w:b w:val="false"/>
                <w:bCs w:val="false"/>
                <w:sz w:val="20"/>
                <w:szCs w:val="20"/>
              </w:rPr>
              <w:t xml:space="preserve">Correcto</w:t>
            </w:r>
          </w:p>
        </w:tc>
      </w:tr>
    </w:tbl>
    <w:p>
      <w:pPr>
        <w:spacing w:after="200" w:before="80"/>
        <w:jc w:val="center"/>
      </w:pPr>
      <w:r>
        <w:rPr>
          <w:rFonts w:ascii="Arial" w:cs="Arial" w:eastAsia="Arial" w:hAnsi="Arial"/>
          <w:i/>
          <w:iCs/>
          <w:color w:val="5A6472"/>
          <w:sz w:val="20"/>
          <w:szCs w:val="20"/>
        </w:rPr>
        <w:t xml:space="preserve">Tabla 1. Verificación del bloque 1: sistema instalado y funcionando.</w:t>
      </w:r>
    </w:p>
    <w:p>
      <w:r>
        <w:br w:type="page"/>
      </w:r>
    </w:p>
    <w:p>
      <w:pPr>
        <w:pStyle w:val="Heading1"/>
        <w:pBdr>
          <w:bottom w:val="single" w:color="000000" w:sz="10"/>
        </w:pBdr>
        <w:spacing w:after="200" w:before="360"/>
      </w:pPr>
      <w:r>
        <w:rPr>
          <w:rFonts w:ascii="Arial" w:cs="Arial" w:eastAsia="Arial" w:hAnsi="Arial"/>
          <w:b/>
          <w:bCs/>
          <w:color w:val="000000"/>
          <w:sz w:val="28"/>
          <w:szCs w:val="28"/>
        </w:rPr>
        <w:t xml:space="preserve">2. Base de datos configurada</w:t>
      </w:r>
    </w:p>
    <w:p>
      <w:pPr>
        <w:spacing w:after="160" w:before="0" w:line="360"/>
        <w:jc w:val="both"/>
      </w:pPr>
      <w:r>
        <w:rPr>
          <w:rFonts w:ascii="Arial" w:cs="Arial" w:eastAsia="Arial" w:hAnsi="Arial"/>
          <w:b w:val="false"/>
          <w:bCs w:val="false"/>
          <w:i w:val="false"/>
          <w:iCs w:val="false"/>
          <w:sz w:val="24"/>
          <w:szCs w:val="24"/>
        </w:rPr>
        <w:t xml:space="preserve">El sistema utiliza dos servicios de Firebase dentro del proyecto app-fotografia: Firebase Authentication para la identidad de los usuarios y Cloud Firestore para el almacenamiento de la información del negocio. Ambos están configurados y en uso en el entorno de producción.</w:t>
      </w:r>
    </w:p>
    <w:p>
      <w:pPr>
        <w:pStyle w:val="Heading2"/>
        <w:spacing w:after="140" w:before="300"/>
      </w:pPr>
      <w:r>
        <w:rPr>
          <w:rFonts w:ascii="Arial" w:cs="Arial" w:eastAsia="Arial" w:hAnsi="Arial"/>
          <w:b/>
          <w:bCs/>
          <w:color w:val="000000"/>
          <w:sz w:val="26"/>
          <w:szCs w:val="26"/>
        </w:rPr>
        <w:t xml:space="preserve">2.1 Usuarios registrados en Firebase Authentication</w:t>
      </w:r>
    </w:p>
    <w:p>
      <w:pPr>
        <w:spacing w:after="160" w:before="0" w:line="360"/>
        <w:jc w:val="both"/>
      </w:pPr>
      <w:r>
        <w:rPr>
          <w:rFonts w:ascii="Arial" w:cs="Arial" w:eastAsia="Arial" w:hAnsi="Arial"/>
          <w:b w:val="false"/>
          <w:bCs w:val="false"/>
          <w:i w:val="false"/>
          <w:iCs w:val="false"/>
          <w:sz w:val="24"/>
          <w:szCs w:val="24"/>
        </w:rPr>
        <w:t xml:space="preserve">La consola de Firebase muestra las cuentas dadas de alta con el proveedor de correo y contraseña, junto con su fecha de creación, su último acceso y el identificador único (UID) que Firebase asigna a cada una. Ese UID es el que la aplicación escribe en el campo usuarioId de cada documento y el que utilizan las reglas de seguridad para decidir qué información puede leer cada usuario.</w:t>
      </w:r>
    </w:p>
    <w:p>
      <w:pPr>
        <w:spacing w:after="80" w:before="160"/>
        <w:jc w:val="center"/>
      </w:pPr>
      <w:r>
        <w:drawing>
          <wp:inline distT="0" distB="0" distL="0" distR="0">
            <wp:extent cx="5905500" cy="1562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1562100"/>
                    </a:xfrm>
                    <a:prstGeom prst="rect">
                      <a:avLst/>
                    </a:prstGeom>
                  </pic:spPr>
                </pic:pic>
              </a:graphicData>
            </a:graphic>
          </wp:inline>
        </w:drawing>
      </w:r>
    </w:p>
    <w:p>
      <w:pPr>
        <w:spacing w:after="220"/>
        <w:jc w:val="center"/>
      </w:pPr>
      <w:r>
        <w:rPr>
          <w:rFonts w:ascii="Arial" w:cs="Arial" w:eastAsia="Arial" w:hAnsi="Arial"/>
          <w:i/>
          <w:iCs/>
          <w:color w:val="5A6472"/>
          <w:sz w:val="20"/>
          <w:szCs w:val="20"/>
        </w:rPr>
        <w:t xml:space="preserve">Figura 6. Usuarios registrados en Firebase Authentication con su UID y fecha de acceso.</w:t>
      </w:r>
    </w:p>
    <w:p>
      <w:pPr>
        <w:pStyle w:val="Heading2"/>
        <w:spacing w:after="140" w:before="300"/>
      </w:pPr>
      <w:r>
        <w:rPr>
          <w:rFonts w:ascii="Arial" w:cs="Arial" w:eastAsia="Arial" w:hAnsi="Arial"/>
          <w:b/>
          <w:bCs/>
          <w:color w:val="000000"/>
          <w:sz w:val="26"/>
          <w:szCs w:val="26"/>
        </w:rPr>
        <w:t xml:space="preserve">2.2 Colecciones en Cloud Firestore</w:t>
      </w:r>
    </w:p>
    <w:p>
      <w:pPr>
        <w:spacing w:after="160" w:before="0" w:line="360"/>
        <w:jc w:val="both"/>
      </w:pPr>
      <w:r>
        <w:rPr>
          <w:rFonts w:ascii="Arial" w:cs="Arial" w:eastAsia="Arial" w:hAnsi="Arial"/>
          <w:b w:val="false"/>
          <w:bCs w:val="false"/>
          <w:i w:val="false"/>
          <w:iCs w:val="false"/>
          <w:sz w:val="24"/>
          <w:szCs w:val="24"/>
        </w:rPr>
        <w:t xml:space="preserve">La base de datos contiene las seis colecciones previstas en el modelo de datos: clientes, eventos, pagos, paquetes, usuarios y ventas. La captura muestra la colección eventos con sus documentos y el detalle de uno de ellos, donde se aprecian los campos del modelo: clienteId, createdAt, estado, eventoId, fechaHora, paqueteId, tipo, ubicacion y usuarioId.</w:t>
      </w:r>
    </w:p>
    <w:p>
      <w:pPr>
        <w:spacing w:after="80" w:before="160"/>
        <w:jc w:val="center"/>
      </w:pPr>
      <w:r>
        <w:drawing>
          <wp:inline distT="0" distB="0" distL="0" distR="0">
            <wp:extent cx="59055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2266950"/>
                    </a:xfrm>
                    <a:prstGeom prst="rect">
                      <a:avLst/>
                    </a:prstGeom>
                  </pic:spPr>
                </pic:pic>
              </a:graphicData>
            </a:graphic>
          </wp:inline>
        </w:drawing>
      </w:r>
    </w:p>
    <w:p>
      <w:pPr>
        <w:spacing w:after="220"/>
        <w:jc w:val="center"/>
      </w:pPr>
      <w:r>
        <w:rPr>
          <w:rFonts w:ascii="Arial" w:cs="Arial" w:eastAsia="Arial" w:hAnsi="Arial"/>
          <w:i/>
          <w:iCs/>
          <w:color w:val="5A6472"/>
          <w:sz w:val="20"/>
          <w:szCs w:val="20"/>
        </w:rPr>
        <w:t xml:space="preserve">Figura 7. Colecciones de Cloud Firestore y documentos de la colección eventos.</w:t>
      </w:r>
    </w:p>
    <w:p>
      <w:pPr>
        <w:spacing w:after="80" w:before="160"/>
        <w:jc w:val="center"/>
      </w:pPr>
      <w:r>
        <w:drawing>
          <wp:inline distT="0" distB="0" distL="0" distR="0">
            <wp:extent cx="38100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810000" cy="4038600"/>
                    </a:xfrm>
                    <a:prstGeom prst="rect">
                      <a:avLst/>
                    </a:prstGeom>
                  </pic:spPr>
                </pic:pic>
              </a:graphicData>
            </a:graphic>
          </wp:inline>
        </w:drawing>
      </w:r>
    </w:p>
    <w:p>
      <w:pPr>
        <w:spacing w:after="220"/>
        <w:jc w:val="center"/>
      </w:pPr>
      <w:r>
        <w:rPr>
          <w:rFonts w:ascii="Arial" w:cs="Arial" w:eastAsia="Arial" w:hAnsi="Arial"/>
          <w:i/>
          <w:iCs/>
          <w:color w:val="5A6472"/>
          <w:sz w:val="20"/>
          <w:szCs w:val="20"/>
        </w:rPr>
        <w:t xml:space="preserve">Figura 8. Detalle de los campos de un documento de la colección eventos.</w:t>
      </w:r>
    </w:p>
    <w:p>
      <w:pPr>
        <w:spacing w:after="160" w:before="60" w:line="360"/>
        <w:jc w:val="both"/>
      </w:pPr>
      <w:r>
        <w:rPr>
          <w:rFonts w:ascii="Arial" w:cs="Arial" w:eastAsia="Arial" w:hAnsi="Arial"/>
          <w:b w:val="false"/>
          <w:bCs w:val="false"/>
          <w:i w:val="false"/>
          <w:iCs w:val="false"/>
          <w:sz w:val="24"/>
          <w:szCs w:val="24"/>
        </w:rPr>
        <w:t xml:space="preserve">El documento abierto en la captura corresponde a un registro de prueba creado durante el desarrollo, conservado en la base de datos como histórico; por eso su campo usuarioId conserva el identificador fijo que se utilizaba antes de incorporar la autenticación real. Los registros creados en la demostración de este documento se guardan ya con el UID de Firebase Authentication y con el campo montoAcordado, tal como se muestra en la sección 4.</w:t>
      </w:r>
    </w:p>
    <w:p>
      <w:pPr>
        <w:pStyle w:val="Heading2"/>
        <w:spacing w:after="140" w:before="300"/>
      </w:pPr>
      <w:r>
        <w:rPr>
          <w:rFonts w:ascii="Arial" w:cs="Arial" w:eastAsia="Arial" w:hAnsi="Arial"/>
          <w:b/>
          <w:bCs/>
          <w:color w:val="000000"/>
          <w:sz w:val="26"/>
          <w:szCs w:val="26"/>
        </w:rPr>
        <w:t xml:space="preserve">2.3 Reglas de seguridad publicadas</w:t>
      </w:r>
    </w:p>
    <w:p>
      <w:pPr>
        <w:spacing w:after="160" w:before="0" w:line="360"/>
        <w:jc w:val="both"/>
      </w:pPr>
      <w:r>
        <w:rPr>
          <w:rFonts w:ascii="Arial" w:cs="Arial" w:eastAsia="Arial" w:hAnsi="Arial"/>
          <w:b w:val="false"/>
          <w:bCs w:val="false"/>
          <w:i w:val="false"/>
          <w:iCs w:val="false"/>
          <w:sz w:val="24"/>
          <w:szCs w:val="24"/>
        </w:rPr>
        <w:t xml:space="preserve">El acceso a la base de datos no queda abierto. Las reglas publicadas exigen que la petición venga de un usuario autenticado y que el campo usuarioId del documento coincida con el UID de quien la realiza, tanto para leer como para escribir. La función autenticado() verifica la sesión, esPropietario() protege los documentos existentes y seGuardaComoPropio() impide crear un documento a nombre de otro usuario.</w:t>
      </w:r>
    </w:p>
    <w:p>
      <w:pPr>
        <w:spacing w:after="80" w:before="160"/>
        <w:jc w:val="center"/>
      </w:pPr>
      <w:r>
        <w:drawing>
          <wp:inline distT="0" distB="0" distL="0" distR="0">
            <wp:extent cx="5905500" cy="404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4048125"/>
                    </a:xfrm>
                    <a:prstGeom prst="rect">
                      <a:avLst/>
                    </a:prstGeom>
                  </pic:spPr>
                </pic:pic>
              </a:graphicData>
            </a:graphic>
          </wp:inline>
        </w:drawing>
      </w:r>
    </w:p>
    <w:p>
      <w:pPr>
        <w:spacing w:after="220"/>
        <w:jc w:val="center"/>
      </w:pPr>
      <w:r>
        <w:rPr>
          <w:rFonts w:ascii="Arial" w:cs="Arial" w:eastAsia="Arial" w:hAnsi="Arial"/>
          <w:i/>
          <w:iCs/>
          <w:color w:val="5A6472"/>
          <w:sz w:val="20"/>
          <w:szCs w:val="20"/>
        </w:rPr>
        <w:t xml:space="preserve">Figura 9. Reglas de seguridad de Cloud Firestore publicadas en el proyecto.</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2300"/>
        <w:gridCol w:w="5740"/>
        <w:gridCol w:w="1700"/>
      </w:tblGrid>
      <w:tr>
        <w:trPr>
          <w:tblHeader/>
        </w:trPr>
        <w:tc>
          <w:tcPr>
            <w:tcW w:type="dxa" w:w="2300"/>
            <w:tcBorders>
              <w:top w:val="single" w:color="C7D0E0" w:sz="4"/>
              <w:left w:val="single" w:color="C7D0E0" w:sz="4"/>
              <w:bottom w:val="single" w:color="C7D0E0" w:sz="4"/>
              <w:right w:val="single" w:color="C7D0E0" w:sz="4"/>
            </w:tcBorders>
            <w:shd w:fill="1F3864" w:color="auto" w:val="clear"/>
            <w:tcMar>
              <w:top w:type="dxa" w:w="60"/>
              <w:left w:type="dxa" w:w="110"/>
              <w:bottom w:type="dxa" w:w="60"/>
              <w:right w:type="dxa" w:w="110"/>
            </w:tcMar>
          </w:tcPr>
          <w:p>
            <w:pPr>
              <w:spacing w:after="50" w:before="50" w:line="252"/>
              <w:jc w:val="left"/>
            </w:pPr>
            <w:r>
              <w:rPr>
                <w:rFonts w:ascii="Arial" w:cs="Arial" w:eastAsia="Arial" w:hAnsi="Arial"/>
                <w:b/>
                <w:bCs/>
                <w:color w:val="FFFFFF"/>
                <w:sz w:val="20"/>
                <w:szCs w:val="20"/>
              </w:rPr>
              <w:t xml:space="preserve">Evidencia</w:t>
            </w:r>
          </w:p>
        </w:tc>
        <w:tc>
          <w:tcPr>
            <w:tcW w:type="dxa" w:w="5740"/>
            <w:tcBorders>
              <w:top w:val="single" w:color="C7D0E0" w:sz="4"/>
              <w:left w:val="single" w:color="C7D0E0" w:sz="4"/>
              <w:bottom w:val="single" w:color="C7D0E0" w:sz="4"/>
              <w:right w:val="single" w:color="C7D0E0" w:sz="4"/>
            </w:tcBorders>
            <w:shd w:fill="1F3864" w:color="auto" w:val="clear"/>
            <w:tcMar>
              <w:top w:type="dxa" w:w="60"/>
              <w:left w:type="dxa" w:w="110"/>
              <w:bottom w:type="dxa" w:w="60"/>
              <w:right w:type="dxa" w:w="110"/>
            </w:tcMar>
          </w:tcPr>
          <w:p>
            <w:pPr>
              <w:spacing w:after="50" w:before="50" w:line="252"/>
              <w:jc w:val="left"/>
            </w:pPr>
            <w:r>
              <w:rPr>
                <w:rFonts w:ascii="Arial" w:cs="Arial" w:eastAsia="Arial" w:hAnsi="Arial"/>
                <w:b/>
                <w:bCs/>
                <w:color w:val="FFFFFF"/>
                <w:sz w:val="20"/>
                <w:szCs w:val="20"/>
              </w:rPr>
              <w:t xml:space="preserve">Resultado observado</w:t>
            </w:r>
          </w:p>
        </w:tc>
        <w:tc>
          <w:tcPr>
            <w:tcW w:type="dxa" w:w="1700"/>
            <w:tcBorders>
              <w:top w:val="single" w:color="C7D0E0" w:sz="4"/>
              <w:left w:val="single" w:color="C7D0E0" w:sz="4"/>
              <w:bottom w:val="single" w:color="C7D0E0" w:sz="4"/>
              <w:right w:val="single" w:color="C7D0E0" w:sz="4"/>
            </w:tcBorders>
            <w:shd w:fill="1F3864" w:color="auto" w:val="clear"/>
            <w:tcMar>
              <w:top w:type="dxa" w:w="60"/>
              <w:left w:type="dxa" w:w="110"/>
              <w:bottom w:type="dxa" w:w="60"/>
              <w:right w:type="dxa" w:w="110"/>
            </w:tcMar>
          </w:tcPr>
          <w:p>
            <w:pPr>
              <w:spacing w:after="50" w:before="50" w:line="252"/>
              <w:jc w:val="left"/>
            </w:pPr>
            <w:r>
              <w:rPr>
                <w:rFonts w:ascii="Arial" w:cs="Arial" w:eastAsia="Arial" w:hAnsi="Arial"/>
                <w:b/>
                <w:bCs/>
                <w:color w:val="FFFFFF"/>
                <w:sz w:val="20"/>
                <w:szCs w:val="20"/>
              </w:rPr>
              <w:t xml:space="preserve">Estado</w:t>
            </w:r>
          </w:p>
        </w:tc>
      </w:tr>
      <w:tr>
        <w:trPr>
          <w:cantSplit/>
        </w:trPr>
        <w:tc>
          <w:tcPr>
            <w:tcW w:type="dxa" w:w="23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Firebase Authentication</w:t>
            </w:r>
          </w:p>
        </w:tc>
        <w:tc>
          <w:tcPr>
            <w:tcW w:type="dxa" w:w="574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Cuentas activas con proveedor de correo y contraseña, con UID asignado.</w:t>
            </w:r>
          </w:p>
        </w:tc>
        <w:tc>
          <w:tcPr>
            <w:tcW w:type="dxa" w:w="17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center"/>
            </w:pPr>
            <w:r>
              <w:rPr>
                <w:rFonts w:ascii="Arial" w:cs="Arial" w:eastAsia="Arial" w:hAnsi="Arial"/>
                <w:b w:val="false"/>
                <w:bCs w:val="false"/>
                <w:sz w:val="20"/>
                <w:szCs w:val="20"/>
              </w:rPr>
              <w:t xml:space="preserve">Correcto</w:t>
            </w:r>
          </w:p>
        </w:tc>
      </w:tr>
      <w:tr>
        <w:trPr>
          <w:cantSplit/>
        </w:trPr>
        <w:tc>
          <w:tcPr>
            <w:tcW w:type="dxa" w:w="23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Colecciones de Firestore</w:t>
            </w:r>
          </w:p>
        </w:tc>
        <w:tc>
          <w:tcPr>
            <w:tcW w:type="dxa" w:w="574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Las seis colecciones del modelo existen y contienen documentos.</w:t>
            </w:r>
          </w:p>
        </w:tc>
        <w:tc>
          <w:tcPr>
            <w:tcW w:type="dxa" w:w="17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center"/>
            </w:pPr>
            <w:r>
              <w:rPr>
                <w:rFonts w:ascii="Arial" w:cs="Arial" w:eastAsia="Arial" w:hAnsi="Arial"/>
                <w:b w:val="false"/>
                <w:bCs w:val="false"/>
                <w:sz w:val="20"/>
                <w:szCs w:val="20"/>
              </w:rPr>
              <w:t xml:space="preserve">Correcto</w:t>
            </w:r>
          </w:p>
        </w:tc>
      </w:tr>
      <w:tr>
        <w:trPr>
          <w:cantSplit/>
        </w:trPr>
        <w:tc>
          <w:tcPr>
            <w:tcW w:type="dxa" w:w="23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Estructura de los documentos</w:t>
            </w:r>
          </w:p>
        </w:tc>
        <w:tc>
          <w:tcPr>
            <w:tcW w:type="dxa" w:w="574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Los campos coinciden con el modelo de datos definido en la fase de diseño.</w:t>
            </w:r>
          </w:p>
        </w:tc>
        <w:tc>
          <w:tcPr>
            <w:tcW w:type="dxa" w:w="17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center"/>
            </w:pPr>
            <w:r>
              <w:rPr>
                <w:rFonts w:ascii="Arial" w:cs="Arial" w:eastAsia="Arial" w:hAnsi="Arial"/>
                <w:b w:val="false"/>
                <w:bCs w:val="false"/>
                <w:sz w:val="20"/>
                <w:szCs w:val="20"/>
              </w:rPr>
              <w:t xml:space="preserve">Correcto</w:t>
            </w:r>
          </w:p>
        </w:tc>
      </w:tr>
      <w:tr>
        <w:trPr>
          <w:cantSplit/>
        </w:trPr>
        <w:tc>
          <w:tcPr>
            <w:tcW w:type="dxa" w:w="23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Reglas de seguridad</w:t>
            </w:r>
          </w:p>
        </w:tc>
        <w:tc>
          <w:tcPr>
            <w:tcW w:type="dxa" w:w="574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Publicadas y en vigor; el acceso queda restringido al propietario de cada documento.</w:t>
            </w:r>
          </w:p>
        </w:tc>
        <w:tc>
          <w:tcPr>
            <w:tcW w:type="dxa" w:w="17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center"/>
            </w:pPr>
            <w:r>
              <w:rPr>
                <w:rFonts w:ascii="Arial" w:cs="Arial" w:eastAsia="Arial" w:hAnsi="Arial"/>
                <w:b w:val="false"/>
                <w:bCs w:val="false"/>
                <w:sz w:val="20"/>
                <w:szCs w:val="20"/>
              </w:rPr>
              <w:t xml:space="preserve">Correcto</w:t>
            </w:r>
          </w:p>
        </w:tc>
      </w:tr>
    </w:tbl>
    <w:p>
      <w:pPr>
        <w:spacing w:after="200" w:before="80"/>
        <w:jc w:val="center"/>
      </w:pPr>
      <w:r>
        <w:rPr>
          <w:rFonts w:ascii="Arial" w:cs="Arial" w:eastAsia="Arial" w:hAnsi="Arial"/>
          <w:i/>
          <w:iCs/>
          <w:color w:val="5A6472"/>
          <w:sz w:val="20"/>
          <w:szCs w:val="20"/>
        </w:rPr>
        <w:t xml:space="preserve">Tabla 2. Verificación del bloque 2: base de datos configurada.</w:t>
      </w:r>
    </w:p>
    <w:p>
      <w:r>
        <w:br w:type="page"/>
      </w:r>
    </w:p>
    <w:p>
      <w:pPr>
        <w:pStyle w:val="Heading1"/>
        <w:pBdr>
          <w:bottom w:val="single" w:color="000000" w:sz="10"/>
        </w:pBdr>
        <w:spacing w:after="200" w:before="360"/>
      </w:pPr>
      <w:r>
        <w:rPr>
          <w:rFonts w:ascii="Arial" w:cs="Arial" w:eastAsia="Arial" w:hAnsi="Arial"/>
          <w:b/>
          <w:bCs/>
          <w:color w:val="000000"/>
          <w:sz w:val="28"/>
          <w:szCs w:val="28"/>
        </w:rPr>
        <w:t xml:space="preserve">3. Principales módulos operativos</w:t>
      </w:r>
    </w:p>
    <w:p>
      <w:pPr>
        <w:spacing w:after="160" w:before="0" w:line="360"/>
        <w:jc w:val="both"/>
      </w:pPr>
      <w:r>
        <w:rPr>
          <w:rFonts w:ascii="Arial" w:cs="Arial" w:eastAsia="Arial" w:hAnsi="Arial"/>
          <w:b w:val="false"/>
          <w:bCs w:val="false"/>
          <w:i w:val="false"/>
          <w:iCs w:val="false"/>
          <w:sz w:val="24"/>
          <w:szCs w:val="24"/>
        </w:rPr>
        <w:t xml:space="preserve">Los módulos del sistema están operativos y muestran información real proveniente de la base de datos. A continuación se presenta cada uno con su contenido en el momento de la demostración.</w:t>
      </w:r>
    </w:p>
    <w:p>
      <w:pPr>
        <w:pStyle w:val="Heading2"/>
        <w:spacing w:after="140" w:before="300"/>
      </w:pPr>
      <w:r>
        <w:rPr>
          <w:rFonts w:ascii="Arial" w:cs="Arial" w:eastAsia="Arial" w:hAnsi="Arial"/>
          <w:b/>
          <w:bCs/>
          <w:color w:val="000000"/>
          <w:sz w:val="26"/>
          <w:szCs w:val="26"/>
        </w:rPr>
        <w:t xml:space="preserve">3.1 Servicios</w:t>
      </w:r>
    </w:p>
    <w:p>
      <w:pPr>
        <w:spacing w:after="160" w:before="0" w:line="360"/>
        <w:jc w:val="both"/>
      </w:pPr>
      <w:r>
        <w:rPr>
          <w:rFonts w:ascii="Arial" w:cs="Arial" w:eastAsia="Arial" w:hAnsi="Arial"/>
          <w:b w:val="false"/>
          <w:bCs w:val="false"/>
          <w:i w:val="false"/>
          <w:iCs w:val="false"/>
          <w:sz w:val="24"/>
          <w:szCs w:val="24"/>
        </w:rPr>
        <w:t xml:space="preserve">El catálogo de servicios contiene los trabajos que el fotógrafo ofrece, con su precio y su estado. Ambos servicios registrados aparecen como activos y disponibles para asociarse a un evento o a una venta.</w:t>
      </w:r>
    </w:p>
    <w:p>
      <w:pPr>
        <w:pStyle w:val="Heading2"/>
        <w:spacing w:after="140" w:before="300"/>
      </w:pPr>
      <w:r>
        <w:rPr>
          <w:rFonts w:ascii="Arial" w:cs="Arial" w:eastAsia="Arial" w:hAnsi="Arial"/>
          <w:b/>
          <w:bCs/>
          <w:color w:val="000000"/>
          <w:sz w:val="26"/>
          <w:szCs w:val="26"/>
        </w:rPr>
        <w:t xml:space="preserve">3.2 Eventos</w:t>
      </w:r>
    </w:p>
    <w:p>
      <w:pPr>
        <w:spacing w:after="160" w:before="0" w:line="360"/>
        <w:jc w:val="both"/>
      </w:pPr>
      <w:r>
        <w:rPr>
          <w:rFonts w:ascii="Arial" w:cs="Arial" w:eastAsia="Arial" w:hAnsi="Arial"/>
          <w:b w:val="false"/>
          <w:bCs w:val="false"/>
          <w:i w:val="false"/>
          <w:iCs w:val="false"/>
          <w:sz w:val="24"/>
          <w:szCs w:val="24"/>
        </w:rPr>
        <w:t xml:space="preserve">La agenda muestra los eventos con su cliente, fecha, ubicación, servicio asociado y el desglose económico: total, abonado y pendiente. Cada tarjeta ofrece las acciones de cobrar, editar y eliminar, y el estado del evento se indica con una etiqueta —programado o en proceso—.</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4870"/>
        <w:gridCol w:w="4870"/>
      </w:tblGrid>
      <w:tr>
        <w:trPr>
          <w:cantSplit/>
        </w:trPr>
        <w:tc>
          <w:tcPr>
            <w:tcW w:type="dxa" w:w="4870"/>
            <w:tcBorders>
              <w:top w:val="none" w:color="FFFFFF" w:sz="0"/>
              <w:left w:val="none" w:color="FFFFFF" w:sz="0"/>
              <w:bottom w:val="none" w:color="FFFFFF" w:sz="0"/>
              <w:right w:val="none" w:color="FFFFFF" w:sz="0"/>
            </w:tcBorders>
            <w:tcMar>
              <w:top w:type="dxa" w:w="100"/>
              <w:left w:type="dxa" w:w="100"/>
              <w:bottom w:type="dxa" w:w="100"/>
              <w:right w:type="dxa" w:w="100"/>
            </w:tcMar>
          </w:tcPr>
          <w:p>
            <w:pPr>
              <w:spacing w:after="80"/>
              <w:jc w:val="center"/>
            </w:pPr>
            <w:r>
              <w:drawing>
                <wp:inline distT="0" distB="0" distL="0" distR="0">
                  <wp:extent cx="1476375"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476375" cy="3276600"/>
                          </a:xfrm>
                          <a:prstGeom prst="rect">
                            <a:avLst/>
                          </a:prstGeom>
                        </pic:spPr>
                      </pic:pic>
                    </a:graphicData>
                  </a:graphic>
                </wp:inline>
              </w:drawing>
            </w:r>
          </w:p>
          <w:p>
            <w:pPr>
              <w:spacing w:after="60" w:line="240"/>
              <w:jc w:val="center"/>
            </w:pPr>
            <w:r>
              <w:rPr>
                <w:rFonts w:ascii="Arial" w:cs="Arial" w:eastAsia="Arial" w:hAnsi="Arial"/>
                <w:i/>
                <w:iCs/>
                <w:color w:val="5A6472"/>
                <w:sz w:val="20"/>
                <w:szCs w:val="20"/>
              </w:rPr>
              <w:t xml:space="preserve">Figura 10. Módulo de servicios con el catálogo activo.</w:t>
            </w:r>
          </w:p>
        </w:tc>
        <w:tc>
          <w:tcPr>
            <w:tcW w:type="dxa" w:w="4870"/>
            <w:tcBorders>
              <w:top w:val="none" w:color="FFFFFF" w:sz="0"/>
              <w:left w:val="none" w:color="FFFFFF" w:sz="0"/>
              <w:bottom w:val="none" w:color="FFFFFF" w:sz="0"/>
              <w:right w:val="none" w:color="FFFFFF" w:sz="0"/>
            </w:tcBorders>
            <w:tcMar>
              <w:top w:type="dxa" w:w="100"/>
              <w:left w:type="dxa" w:w="100"/>
              <w:bottom w:type="dxa" w:w="100"/>
              <w:right w:type="dxa" w:w="100"/>
            </w:tcMar>
          </w:tcPr>
          <w:p>
            <w:pPr>
              <w:spacing w:after="80"/>
              <w:jc w:val="center"/>
            </w:pPr>
            <w:r>
              <w:drawing>
                <wp:inline distT="0" distB="0" distL="0" distR="0">
                  <wp:extent cx="1476375"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476375" cy="3276600"/>
                          </a:xfrm>
                          <a:prstGeom prst="rect">
                            <a:avLst/>
                          </a:prstGeom>
                        </pic:spPr>
                      </pic:pic>
                    </a:graphicData>
                  </a:graphic>
                </wp:inline>
              </w:drawing>
            </w:r>
          </w:p>
          <w:p>
            <w:pPr>
              <w:spacing w:after="60" w:line="240"/>
              <w:jc w:val="center"/>
            </w:pPr>
            <w:r>
              <w:rPr>
                <w:rFonts w:ascii="Arial" w:cs="Arial" w:eastAsia="Arial" w:hAnsi="Arial"/>
                <w:i/>
                <w:iCs/>
                <w:color w:val="5A6472"/>
                <w:sz w:val="20"/>
                <w:szCs w:val="20"/>
              </w:rPr>
              <w:t xml:space="preserve">Figura 11. Módulo de eventos con la agenda y el desglose de cada trabajo.</w:t>
            </w:r>
          </w:p>
        </w:tc>
      </w:tr>
    </w:tbl>
    <w:p>
      <w:pPr>
        <w:pStyle w:val="Heading2"/>
        <w:spacing w:after="140" w:before="300"/>
      </w:pPr>
      <w:r>
        <w:rPr>
          <w:rFonts w:ascii="Arial" w:cs="Arial" w:eastAsia="Arial" w:hAnsi="Arial"/>
          <w:b/>
          <w:bCs/>
          <w:color w:val="000000"/>
          <w:sz w:val="26"/>
          <w:szCs w:val="26"/>
        </w:rPr>
        <w:t xml:space="preserve">3.3 Cobros pendientes</w:t>
      </w:r>
    </w:p>
    <w:p>
      <w:pPr>
        <w:spacing w:after="160" w:before="0" w:line="360"/>
        <w:jc w:val="both"/>
      </w:pPr>
      <w:r>
        <w:rPr>
          <w:rFonts w:ascii="Arial" w:cs="Arial" w:eastAsia="Arial" w:hAnsi="Arial"/>
          <w:b w:val="false"/>
          <w:bCs w:val="false"/>
          <w:i w:val="false"/>
          <w:iCs w:val="false"/>
          <w:sz w:val="24"/>
          <w:szCs w:val="24"/>
        </w:rPr>
        <w:t xml:space="preserve">La pestaña Pendientes encabeza con el total adeudado y el número de cuentas, y lista por separado los eventos y las ventas por cobrar, cada uno con su total, lo abonado y el saldo pendiente destacado en rojo.</w:t>
      </w:r>
    </w:p>
    <w:p>
      <w:pPr>
        <w:pStyle w:val="Heading2"/>
        <w:spacing w:after="140" w:before="300"/>
      </w:pPr>
      <w:r>
        <w:rPr>
          <w:rFonts w:ascii="Arial" w:cs="Arial" w:eastAsia="Arial" w:hAnsi="Arial"/>
          <w:b/>
          <w:bCs/>
          <w:color w:val="000000"/>
          <w:sz w:val="26"/>
          <w:szCs w:val="26"/>
        </w:rPr>
        <w:t xml:space="preserve">3.4 Historial de pagos</w:t>
      </w:r>
    </w:p>
    <w:p>
      <w:pPr>
        <w:spacing w:after="160" w:before="0" w:line="360"/>
        <w:jc w:val="both"/>
      </w:pPr>
      <w:r>
        <w:rPr>
          <w:rFonts w:ascii="Arial" w:cs="Arial" w:eastAsia="Arial" w:hAnsi="Arial"/>
          <w:b w:val="false"/>
          <w:bCs w:val="false"/>
          <w:i w:val="false"/>
          <w:iCs w:val="false"/>
          <w:sz w:val="24"/>
          <w:szCs w:val="24"/>
        </w:rPr>
        <w:t xml:space="preserve">La pestaña Historial reúne las operaciones ya saldadas. Al pulsar "Ver abono" se despliega el detalle del pago: importe, forma de pago y fecha.</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4870"/>
        <w:gridCol w:w="4870"/>
      </w:tblGrid>
      <w:tr>
        <w:trPr>
          <w:cantSplit/>
        </w:trPr>
        <w:tc>
          <w:tcPr>
            <w:tcW w:type="dxa" w:w="4870"/>
            <w:tcBorders>
              <w:top w:val="none" w:color="FFFFFF" w:sz="0"/>
              <w:left w:val="none" w:color="FFFFFF" w:sz="0"/>
              <w:bottom w:val="none" w:color="FFFFFF" w:sz="0"/>
              <w:right w:val="none" w:color="FFFFFF" w:sz="0"/>
            </w:tcBorders>
            <w:tcMar>
              <w:top w:type="dxa" w:w="100"/>
              <w:left w:type="dxa" w:w="100"/>
              <w:bottom w:type="dxa" w:w="100"/>
              <w:right w:type="dxa" w:w="100"/>
            </w:tcMar>
          </w:tcPr>
          <w:p>
            <w:pPr>
              <w:spacing w:after="80"/>
              <w:jc w:val="center"/>
            </w:pPr>
            <w:r>
              <w:drawing>
                <wp:inline distT="0" distB="0" distL="0" distR="0">
                  <wp:extent cx="1381125"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381125" cy="3067050"/>
                          </a:xfrm>
                          <a:prstGeom prst="rect">
                            <a:avLst/>
                          </a:prstGeom>
                        </pic:spPr>
                      </pic:pic>
                    </a:graphicData>
                  </a:graphic>
                </wp:inline>
              </w:drawing>
            </w:r>
          </w:p>
          <w:p>
            <w:pPr>
              <w:spacing w:after="60" w:line="240"/>
              <w:jc w:val="center"/>
            </w:pPr>
            <w:r>
              <w:rPr>
                <w:rFonts w:ascii="Arial" w:cs="Arial" w:eastAsia="Arial" w:hAnsi="Arial"/>
                <w:i/>
                <w:iCs/>
                <w:color w:val="5A6472"/>
                <w:sz w:val="20"/>
                <w:szCs w:val="20"/>
              </w:rPr>
              <w:t xml:space="preserve">Figura 12. Cobros pendientes con el total adeudado y el desglose por cuenta.</w:t>
            </w:r>
          </w:p>
        </w:tc>
        <w:tc>
          <w:tcPr>
            <w:tcW w:type="dxa" w:w="4870"/>
            <w:tcBorders>
              <w:top w:val="none" w:color="FFFFFF" w:sz="0"/>
              <w:left w:val="none" w:color="FFFFFF" w:sz="0"/>
              <w:bottom w:val="none" w:color="FFFFFF" w:sz="0"/>
              <w:right w:val="none" w:color="FFFFFF" w:sz="0"/>
            </w:tcBorders>
            <w:tcMar>
              <w:top w:type="dxa" w:w="100"/>
              <w:left w:type="dxa" w:w="100"/>
              <w:bottom w:type="dxa" w:w="100"/>
              <w:right w:type="dxa" w:w="100"/>
            </w:tcMar>
          </w:tcPr>
          <w:p>
            <w:pPr>
              <w:spacing w:after="80"/>
              <w:jc w:val="center"/>
            </w:pPr>
            <w:r>
              <w:drawing>
                <wp:inline distT="0" distB="0" distL="0" distR="0">
                  <wp:extent cx="1381125"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381125" cy="3067050"/>
                          </a:xfrm>
                          <a:prstGeom prst="rect">
                            <a:avLst/>
                          </a:prstGeom>
                        </pic:spPr>
                      </pic:pic>
                    </a:graphicData>
                  </a:graphic>
                </wp:inline>
              </w:drawing>
            </w:r>
          </w:p>
          <w:p>
            <w:pPr>
              <w:spacing w:after="60" w:line="240"/>
              <w:jc w:val="center"/>
            </w:pPr>
            <w:r>
              <w:rPr>
                <w:rFonts w:ascii="Arial" w:cs="Arial" w:eastAsia="Arial" w:hAnsi="Arial"/>
                <w:i/>
                <w:iCs/>
                <w:color w:val="5A6472"/>
                <w:sz w:val="20"/>
                <w:szCs w:val="20"/>
              </w:rPr>
              <w:t xml:space="preserve">Figura 13. Historial de cobros con el detalle del abono registrado.</w:t>
            </w:r>
          </w:p>
        </w:tc>
      </w:tr>
    </w:tbl>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2300"/>
        <w:gridCol w:w="5740"/>
        <w:gridCol w:w="1700"/>
      </w:tblGrid>
      <w:tr>
        <w:trPr>
          <w:tblHeader/>
        </w:trPr>
        <w:tc>
          <w:tcPr>
            <w:tcW w:type="dxa" w:w="2300"/>
            <w:tcBorders>
              <w:top w:val="single" w:color="C7D0E0" w:sz="4"/>
              <w:left w:val="single" w:color="C7D0E0" w:sz="4"/>
              <w:bottom w:val="single" w:color="C7D0E0" w:sz="4"/>
              <w:right w:val="single" w:color="C7D0E0" w:sz="4"/>
            </w:tcBorders>
            <w:shd w:fill="1F3864" w:color="auto" w:val="clear"/>
            <w:tcMar>
              <w:top w:type="dxa" w:w="60"/>
              <w:left w:type="dxa" w:w="110"/>
              <w:bottom w:type="dxa" w:w="60"/>
              <w:right w:type="dxa" w:w="110"/>
            </w:tcMar>
          </w:tcPr>
          <w:p>
            <w:pPr>
              <w:spacing w:after="50" w:before="50" w:line="252"/>
              <w:jc w:val="left"/>
            </w:pPr>
            <w:r>
              <w:rPr>
                <w:rFonts w:ascii="Arial" w:cs="Arial" w:eastAsia="Arial" w:hAnsi="Arial"/>
                <w:b/>
                <w:bCs/>
                <w:color w:val="FFFFFF"/>
                <w:sz w:val="20"/>
                <w:szCs w:val="20"/>
              </w:rPr>
              <w:t xml:space="preserve">Módulo</w:t>
            </w:r>
          </w:p>
        </w:tc>
        <w:tc>
          <w:tcPr>
            <w:tcW w:type="dxa" w:w="5740"/>
            <w:tcBorders>
              <w:top w:val="single" w:color="C7D0E0" w:sz="4"/>
              <w:left w:val="single" w:color="C7D0E0" w:sz="4"/>
              <w:bottom w:val="single" w:color="C7D0E0" w:sz="4"/>
              <w:right w:val="single" w:color="C7D0E0" w:sz="4"/>
            </w:tcBorders>
            <w:shd w:fill="1F3864" w:color="auto" w:val="clear"/>
            <w:tcMar>
              <w:top w:type="dxa" w:w="60"/>
              <w:left w:type="dxa" w:w="110"/>
              <w:bottom w:type="dxa" w:w="60"/>
              <w:right w:type="dxa" w:w="110"/>
            </w:tcMar>
          </w:tcPr>
          <w:p>
            <w:pPr>
              <w:spacing w:after="50" w:before="50" w:line="252"/>
              <w:jc w:val="left"/>
            </w:pPr>
            <w:r>
              <w:rPr>
                <w:rFonts w:ascii="Arial" w:cs="Arial" w:eastAsia="Arial" w:hAnsi="Arial"/>
                <w:b/>
                <w:bCs/>
                <w:color w:val="FFFFFF"/>
                <w:sz w:val="20"/>
                <w:szCs w:val="20"/>
              </w:rPr>
              <w:t xml:space="preserve">Función verificada</w:t>
            </w:r>
          </w:p>
        </w:tc>
        <w:tc>
          <w:tcPr>
            <w:tcW w:type="dxa" w:w="1700"/>
            <w:tcBorders>
              <w:top w:val="single" w:color="C7D0E0" w:sz="4"/>
              <w:left w:val="single" w:color="C7D0E0" w:sz="4"/>
              <w:bottom w:val="single" w:color="C7D0E0" w:sz="4"/>
              <w:right w:val="single" w:color="C7D0E0" w:sz="4"/>
            </w:tcBorders>
            <w:shd w:fill="1F3864" w:color="auto" w:val="clear"/>
            <w:tcMar>
              <w:top w:type="dxa" w:w="60"/>
              <w:left w:type="dxa" w:w="110"/>
              <w:bottom w:type="dxa" w:w="60"/>
              <w:right w:type="dxa" w:w="110"/>
            </w:tcMar>
          </w:tcPr>
          <w:p>
            <w:pPr>
              <w:spacing w:after="50" w:before="50" w:line="252"/>
              <w:jc w:val="left"/>
            </w:pPr>
            <w:r>
              <w:rPr>
                <w:rFonts w:ascii="Arial" w:cs="Arial" w:eastAsia="Arial" w:hAnsi="Arial"/>
                <w:b/>
                <w:bCs/>
                <w:color w:val="FFFFFF"/>
                <w:sz w:val="20"/>
                <w:szCs w:val="20"/>
              </w:rPr>
              <w:t xml:space="preserve">Estado</w:t>
            </w:r>
          </w:p>
        </w:tc>
      </w:tr>
      <w:tr>
        <w:trPr>
          <w:cantSplit/>
        </w:trPr>
        <w:tc>
          <w:tcPr>
            <w:tcW w:type="dxa" w:w="23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Panel de resumen</w:t>
            </w:r>
          </w:p>
        </w:tc>
        <w:tc>
          <w:tcPr>
            <w:tcW w:type="dxa" w:w="574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Indicadores del negocio y estado de la conexión.</w:t>
            </w:r>
          </w:p>
        </w:tc>
        <w:tc>
          <w:tcPr>
            <w:tcW w:type="dxa" w:w="17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center"/>
            </w:pPr>
            <w:r>
              <w:rPr>
                <w:rFonts w:ascii="Arial" w:cs="Arial" w:eastAsia="Arial" w:hAnsi="Arial"/>
                <w:b w:val="false"/>
                <w:bCs w:val="false"/>
                <w:sz w:val="20"/>
                <w:szCs w:val="20"/>
              </w:rPr>
              <w:t xml:space="preserve">Operativo</w:t>
            </w:r>
          </w:p>
        </w:tc>
      </w:tr>
      <w:tr>
        <w:trPr>
          <w:cantSplit/>
        </w:trPr>
        <w:tc>
          <w:tcPr>
            <w:tcW w:type="dxa" w:w="23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Clientes</w:t>
            </w:r>
          </w:p>
        </w:tc>
        <w:tc>
          <w:tcPr>
            <w:tcW w:type="dxa" w:w="574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Registro y consulta de la cartera de clientes.</w:t>
            </w:r>
          </w:p>
        </w:tc>
        <w:tc>
          <w:tcPr>
            <w:tcW w:type="dxa" w:w="17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center"/>
            </w:pPr>
            <w:r>
              <w:rPr>
                <w:rFonts w:ascii="Arial" w:cs="Arial" w:eastAsia="Arial" w:hAnsi="Arial"/>
                <w:b w:val="false"/>
                <w:bCs w:val="false"/>
                <w:sz w:val="20"/>
                <w:szCs w:val="20"/>
              </w:rPr>
              <w:t xml:space="preserve">Operativo</w:t>
            </w:r>
          </w:p>
        </w:tc>
      </w:tr>
      <w:tr>
        <w:trPr>
          <w:cantSplit/>
        </w:trPr>
        <w:tc>
          <w:tcPr>
            <w:tcW w:type="dxa" w:w="23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Servicios</w:t>
            </w:r>
          </w:p>
        </w:tc>
        <w:tc>
          <w:tcPr>
            <w:tcW w:type="dxa" w:w="574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Catálogo de trabajos con precio y estado.</w:t>
            </w:r>
          </w:p>
        </w:tc>
        <w:tc>
          <w:tcPr>
            <w:tcW w:type="dxa" w:w="17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center"/>
            </w:pPr>
            <w:r>
              <w:rPr>
                <w:rFonts w:ascii="Arial" w:cs="Arial" w:eastAsia="Arial" w:hAnsi="Arial"/>
                <w:b w:val="false"/>
                <w:bCs w:val="false"/>
                <w:sz w:val="20"/>
                <w:szCs w:val="20"/>
              </w:rPr>
              <w:t xml:space="preserve">Operativo</w:t>
            </w:r>
          </w:p>
        </w:tc>
      </w:tr>
      <w:tr>
        <w:trPr>
          <w:cantSplit/>
        </w:trPr>
        <w:tc>
          <w:tcPr>
            <w:tcW w:type="dxa" w:w="23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Eventos</w:t>
            </w:r>
          </w:p>
        </w:tc>
        <w:tc>
          <w:tcPr>
            <w:tcW w:type="dxa" w:w="574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Agenda con desglose de total, abonado y pendiente.</w:t>
            </w:r>
          </w:p>
        </w:tc>
        <w:tc>
          <w:tcPr>
            <w:tcW w:type="dxa" w:w="17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center"/>
            </w:pPr>
            <w:r>
              <w:rPr>
                <w:rFonts w:ascii="Arial" w:cs="Arial" w:eastAsia="Arial" w:hAnsi="Arial"/>
                <w:b w:val="false"/>
                <w:bCs w:val="false"/>
                <w:sz w:val="20"/>
                <w:szCs w:val="20"/>
              </w:rPr>
              <w:t xml:space="preserve">Operativo</w:t>
            </w:r>
          </w:p>
        </w:tc>
      </w:tr>
      <w:tr>
        <w:trPr>
          <w:cantSplit/>
        </w:trPr>
        <w:tc>
          <w:tcPr>
            <w:tcW w:type="dxa" w:w="23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Ventas</w:t>
            </w:r>
          </w:p>
        </w:tc>
        <w:tc>
          <w:tcPr>
            <w:tcW w:type="dxa" w:w="574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Ventas independientes con cálculo automático del total.</w:t>
            </w:r>
          </w:p>
        </w:tc>
        <w:tc>
          <w:tcPr>
            <w:tcW w:type="dxa" w:w="17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center"/>
            </w:pPr>
            <w:r>
              <w:rPr>
                <w:rFonts w:ascii="Arial" w:cs="Arial" w:eastAsia="Arial" w:hAnsi="Arial"/>
                <w:b w:val="false"/>
                <w:bCs w:val="false"/>
                <w:sz w:val="20"/>
                <w:szCs w:val="20"/>
              </w:rPr>
              <w:t xml:space="preserve">Operativo</w:t>
            </w:r>
          </w:p>
        </w:tc>
      </w:tr>
      <w:tr>
        <w:trPr>
          <w:cantSplit/>
        </w:trPr>
        <w:tc>
          <w:tcPr>
            <w:tcW w:type="dxa" w:w="23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Cobros y pagos</w:t>
            </w:r>
          </w:p>
        </w:tc>
        <w:tc>
          <w:tcPr>
            <w:tcW w:type="dxa" w:w="574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Cuentas pendientes, historial y registro de abonos.</w:t>
            </w:r>
          </w:p>
        </w:tc>
        <w:tc>
          <w:tcPr>
            <w:tcW w:type="dxa" w:w="17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center"/>
            </w:pPr>
            <w:r>
              <w:rPr>
                <w:rFonts w:ascii="Arial" w:cs="Arial" w:eastAsia="Arial" w:hAnsi="Arial"/>
                <w:b w:val="false"/>
                <w:bCs w:val="false"/>
                <w:sz w:val="20"/>
                <w:szCs w:val="20"/>
              </w:rPr>
              <w:t xml:space="preserve">Operativo</w:t>
            </w:r>
          </w:p>
        </w:tc>
      </w:tr>
    </w:tbl>
    <w:p>
      <w:pPr>
        <w:spacing w:after="200" w:before="80"/>
        <w:jc w:val="center"/>
      </w:pPr>
      <w:r>
        <w:rPr>
          <w:rFonts w:ascii="Arial" w:cs="Arial" w:eastAsia="Arial" w:hAnsi="Arial"/>
          <w:i/>
          <w:iCs/>
          <w:color w:val="5A6472"/>
          <w:sz w:val="20"/>
          <w:szCs w:val="20"/>
        </w:rPr>
        <w:t xml:space="preserve">Tabla 3. Verificación del bloque 3: módulos operativos.</w:t>
      </w:r>
    </w:p>
    <w:p>
      <w:r>
        <w:br w:type="page"/>
      </w:r>
    </w:p>
    <w:p>
      <w:pPr>
        <w:pStyle w:val="Heading1"/>
        <w:pBdr>
          <w:bottom w:val="single" w:color="000000" w:sz="10"/>
        </w:pBdr>
        <w:spacing w:after="200" w:before="360"/>
      </w:pPr>
      <w:r>
        <w:rPr>
          <w:rFonts w:ascii="Arial" w:cs="Arial" w:eastAsia="Arial" w:hAnsi="Arial"/>
          <w:b/>
          <w:bCs/>
          <w:color w:val="000000"/>
          <w:sz w:val="28"/>
          <w:szCs w:val="28"/>
        </w:rPr>
        <w:t xml:space="preserve">4. Usuario realizando operaciones en el sistema</w:t>
      </w:r>
    </w:p>
    <w:p>
      <w:pPr>
        <w:spacing w:after="160" w:before="0" w:line="360"/>
        <w:jc w:val="both"/>
      </w:pPr>
      <w:r>
        <w:rPr>
          <w:rFonts w:ascii="Arial" w:cs="Arial" w:eastAsia="Arial" w:hAnsi="Arial"/>
          <w:b w:val="false"/>
          <w:bCs w:val="false"/>
          <w:i w:val="false"/>
          <w:iCs w:val="false"/>
          <w:sz w:val="24"/>
          <w:szCs w:val="24"/>
        </w:rPr>
        <w:t xml:space="preserve">Para demostrar que el sistema soporta el flujo completo de trabajo, el usuario ejecutó en el dispositivo una secuencia de operaciones encadenadas: registró un cliente nuevo, le asoció un evento, le facturó una venta, cobró el importe y cerró la sesión. Cada operación se guarda en Cloud Firestore en el momento y queda reflejada en los indicadores del panel.</w:t>
      </w:r>
    </w:p>
    <w:p>
      <w:pPr>
        <w:pStyle w:val="Heading2"/>
        <w:spacing w:after="140" w:before="300"/>
      </w:pPr>
      <w:r>
        <w:rPr>
          <w:rFonts w:ascii="Arial" w:cs="Arial" w:eastAsia="Arial" w:hAnsi="Arial"/>
          <w:b/>
          <w:bCs/>
          <w:color w:val="000000"/>
          <w:sz w:val="26"/>
          <w:szCs w:val="26"/>
        </w:rPr>
        <w:t xml:space="preserve">4.1 Registro de un cliente</w:t>
      </w:r>
    </w:p>
    <w:p>
      <w:pPr>
        <w:spacing w:after="160" w:before="0" w:line="360"/>
        <w:jc w:val="both"/>
      </w:pPr>
      <w:r>
        <w:rPr>
          <w:rFonts w:ascii="Arial" w:cs="Arial" w:eastAsia="Arial" w:hAnsi="Arial"/>
          <w:b w:val="false"/>
          <w:bCs w:val="false"/>
          <w:i w:val="false"/>
          <w:iCs w:val="false"/>
          <w:sz w:val="24"/>
          <w:szCs w:val="24"/>
        </w:rPr>
        <w:t xml:space="preserve">El usuario da de alta al cliente Mario Rodríguez con su número de contacto. Tras guardar, el contador de clientes del panel de resumen pasa de dos a tres.</w:t>
      </w:r>
    </w:p>
    <w:p>
      <w:pPr>
        <w:pStyle w:val="Heading2"/>
        <w:spacing w:after="140" w:before="300"/>
      </w:pPr>
      <w:r>
        <w:rPr>
          <w:rFonts w:ascii="Arial" w:cs="Arial" w:eastAsia="Arial" w:hAnsi="Arial"/>
          <w:b/>
          <w:bCs/>
          <w:color w:val="000000"/>
          <w:sz w:val="26"/>
          <w:szCs w:val="26"/>
        </w:rPr>
        <w:t xml:space="preserve">4.2 Registro de un evento con monto acordado</w:t>
      </w:r>
    </w:p>
    <w:p>
      <w:pPr>
        <w:spacing w:after="160" w:before="0" w:line="360"/>
        <w:jc w:val="both"/>
      </w:pPr>
      <w:r>
        <w:rPr>
          <w:rFonts w:ascii="Arial" w:cs="Arial" w:eastAsia="Arial" w:hAnsi="Arial"/>
          <w:b w:val="false"/>
          <w:bCs w:val="false"/>
          <w:i w:val="false"/>
          <w:iCs w:val="false"/>
          <w:sz w:val="24"/>
          <w:szCs w:val="24"/>
        </w:rPr>
        <w:t xml:space="preserve">A continuación registra un evento para ese cliente. El formulario incorpora el campo "Monto acordado", cuyo valor se propone a partir del precio del servicio pero puede ajustarse al acuerdo real con el cliente. El texto de ayuda explica el comportamiento: el monto queda guardado con el evento, de modo que modificar después el precio del catálogo no altera las deudas ya registradas.</w:t>
      </w:r>
    </w:p>
    <w:p>
      <w:pPr>
        <w:spacing w:after="160" w:before="0" w:line="360"/>
        <w:jc w:val="both"/>
      </w:pPr>
      <w:r>
        <w:rPr>
          <w:rFonts w:ascii="Arial" w:cs="Arial" w:eastAsia="Arial" w:hAnsi="Arial"/>
          <w:b w:val="false"/>
          <w:bCs w:val="false"/>
          <w:i w:val="false"/>
          <w:iCs w:val="false"/>
          <w:sz w:val="24"/>
          <w:szCs w:val="24"/>
        </w:rPr>
        <w:t xml:space="preserve">La captura muestra además la validación de los campos obligatorios: mientras el tipo de evento y la ubicación no se completen, el formulario los señala en rojo e impide guardar.</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4870"/>
        <w:gridCol w:w="4870"/>
      </w:tblGrid>
      <w:tr>
        <w:trPr>
          <w:cantSplit/>
        </w:trPr>
        <w:tc>
          <w:tcPr>
            <w:tcW w:type="dxa" w:w="4870"/>
            <w:tcBorders>
              <w:top w:val="none" w:color="FFFFFF" w:sz="0"/>
              <w:left w:val="none" w:color="FFFFFF" w:sz="0"/>
              <w:bottom w:val="none" w:color="FFFFFF" w:sz="0"/>
              <w:right w:val="none" w:color="FFFFFF" w:sz="0"/>
            </w:tcBorders>
            <w:tcMar>
              <w:top w:type="dxa" w:w="100"/>
              <w:left w:type="dxa" w:w="100"/>
              <w:bottom w:type="dxa" w:w="100"/>
              <w:right w:type="dxa" w:w="100"/>
            </w:tcMar>
          </w:tcPr>
          <w:p>
            <w:pPr>
              <w:spacing w:after="80"/>
              <w:jc w:val="center"/>
            </w:pPr>
            <w:r>
              <w:drawing>
                <wp:inline distT="0" distB="0" distL="0" distR="0">
                  <wp:extent cx="1476375"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476375" cy="3276600"/>
                          </a:xfrm>
                          <a:prstGeom prst="rect">
                            <a:avLst/>
                          </a:prstGeom>
                        </pic:spPr>
                      </pic:pic>
                    </a:graphicData>
                  </a:graphic>
                </wp:inline>
              </w:drawing>
            </w:r>
          </w:p>
          <w:p>
            <w:pPr>
              <w:spacing w:after="60" w:line="240"/>
              <w:jc w:val="center"/>
            </w:pPr>
            <w:r>
              <w:rPr>
                <w:rFonts w:ascii="Arial" w:cs="Arial" w:eastAsia="Arial" w:hAnsi="Arial"/>
                <w:i/>
                <w:iCs/>
                <w:color w:val="5A6472"/>
                <w:sz w:val="20"/>
                <w:szCs w:val="20"/>
              </w:rPr>
              <w:t xml:space="preserve">Figura 14. Registro de un cliente nuevo.</w:t>
            </w:r>
          </w:p>
        </w:tc>
        <w:tc>
          <w:tcPr>
            <w:tcW w:type="dxa" w:w="4870"/>
            <w:tcBorders>
              <w:top w:val="none" w:color="FFFFFF" w:sz="0"/>
              <w:left w:val="none" w:color="FFFFFF" w:sz="0"/>
              <w:bottom w:val="none" w:color="FFFFFF" w:sz="0"/>
              <w:right w:val="none" w:color="FFFFFF" w:sz="0"/>
            </w:tcBorders>
            <w:tcMar>
              <w:top w:type="dxa" w:w="100"/>
              <w:left w:type="dxa" w:w="100"/>
              <w:bottom w:type="dxa" w:w="100"/>
              <w:right w:type="dxa" w:w="100"/>
            </w:tcMar>
          </w:tcPr>
          <w:p>
            <w:pPr>
              <w:spacing w:after="80"/>
              <w:jc w:val="center"/>
            </w:pPr>
            <w:r>
              <w:drawing>
                <wp:inline distT="0" distB="0" distL="0" distR="0">
                  <wp:extent cx="1476375"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476375" cy="3276600"/>
                          </a:xfrm>
                          <a:prstGeom prst="rect">
                            <a:avLst/>
                          </a:prstGeom>
                        </pic:spPr>
                      </pic:pic>
                    </a:graphicData>
                  </a:graphic>
                </wp:inline>
              </w:drawing>
            </w:r>
          </w:p>
          <w:p>
            <w:pPr>
              <w:spacing w:after="60" w:line="240"/>
              <w:jc w:val="center"/>
            </w:pPr>
            <w:r>
              <w:rPr>
                <w:rFonts w:ascii="Arial" w:cs="Arial" w:eastAsia="Arial" w:hAnsi="Arial"/>
                <w:i/>
                <w:iCs/>
                <w:color w:val="5A6472"/>
                <w:sz w:val="20"/>
                <w:szCs w:val="20"/>
              </w:rPr>
              <w:t xml:space="preserve">Figura 15. Registro de un evento con monto acordado y validación de campos obligatorios.</w:t>
            </w:r>
          </w:p>
        </w:tc>
      </w:tr>
    </w:tbl>
    <w:p>
      <w:pPr>
        <w:pStyle w:val="Heading2"/>
        <w:spacing w:after="140" w:before="300"/>
      </w:pPr>
      <w:r>
        <w:rPr>
          <w:rFonts w:ascii="Arial" w:cs="Arial" w:eastAsia="Arial" w:hAnsi="Arial"/>
          <w:b/>
          <w:bCs/>
          <w:color w:val="000000"/>
          <w:sz w:val="26"/>
          <w:szCs w:val="26"/>
        </w:rPr>
        <w:t xml:space="preserve">4.3 Registro de una venta</w:t>
      </w:r>
    </w:p>
    <w:p>
      <w:pPr>
        <w:spacing w:after="160" w:before="0" w:line="360"/>
        <w:jc w:val="both"/>
      </w:pPr>
      <w:r>
        <w:rPr>
          <w:rFonts w:ascii="Arial" w:cs="Arial" w:eastAsia="Arial" w:hAnsi="Arial"/>
          <w:b w:val="false"/>
          <w:bCs w:val="false"/>
          <w:i w:val="false"/>
          <w:iCs w:val="false"/>
          <w:sz w:val="24"/>
          <w:szCs w:val="24"/>
        </w:rPr>
        <w:t xml:space="preserve">El usuario registra una venta independiente para el mismo cliente: diez unidades del servicio Foto individual a 200 RD$ cada una. La aplicación calcula el total en el momento —2.000 RD$— y permite dejar la venta en estado pendiente de cobro.</w:t>
      </w:r>
    </w:p>
    <w:p>
      <w:pPr>
        <w:pStyle w:val="Heading2"/>
        <w:spacing w:after="140" w:before="300"/>
      </w:pPr>
      <w:r>
        <w:rPr>
          <w:rFonts w:ascii="Arial" w:cs="Arial" w:eastAsia="Arial" w:hAnsi="Arial"/>
          <w:b/>
          <w:bCs/>
          <w:color w:val="000000"/>
          <w:sz w:val="26"/>
          <w:szCs w:val="26"/>
        </w:rPr>
        <w:t xml:space="preserve">4.4 Cobro y cierre de sesión</w:t>
      </w:r>
    </w:p>
    <w:p>
      <w:pPr>
        <w:spacing w:after="160" w:before="0" w:line="360"/>
        <w:jc w:val="both"/>
      </w:pPr>
      <w:r>
        <w:rPr>
          <w:rFonts w:ascii="Arial" w:cs="Arial" w:eastAsia="Arial" w:hAnsi="Arial"/>
          <w:b w:val="false"/>
          <w:bCs w:val="false"/>
          <w:i w:val="false"/>
          <w:iCs w:val="false"/>
          <w:sz w:val="24"/>
          <w:szCs w:val="24"/>
        </w:rPr>
        <w:t xml:space="preserve">Registrado el abono de esa venta, la operación pasa al historial como pagada. Finalmente el usuario cierra la sesión: la aplicación pide confirmación indicando la cuenta que se va a cerrar y devuelve el control a la pantalla de acceso. En esta última captura los indicadores ya reflejan las operaciones realizadas: tres clientes y dos eventos activos.</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4870"/>
        <w:gridCol w:w="4870"/>
      </w:tblGrid>
      <w:tr>
        <w:trPr>
          <w:cantSplit/>
        </w:trPr>
        <w:tc>
          <w:tcPr>
            <w:tcW w:type="dxa" w:w="4870"/>
            <w:tcBorders>
              <w:top w:val="none" w:color="FFFFFF" w:sz="0"/>
              <w:left w:val="none" w:color="FFFFFF" w:sz="0"/>
              <w:bottom w:val="none" w:color="FFFFFF" w:sz="0"/>
              <w:right w:val="none" w:color="FFFFFF" w:sz="0"/>
            </w:tcBorders>
            <w:tcMar>
              <w:top w:type="dxa" w:w="100"/>
              <w:left w:type="dxa" w:w="100"/>
              <w:bottom w:type="dxa" w:w="100"/>
              <w:right w:type="dxa" w:w="100"/>
            </w:tcMar>
          </w:tcPr>
          <w:p>
            <w:pPr>
              <w:spacing w:after="80"/>
              <w:jc w:val="center"/>
            </w:pPr>
            <w:r>
              <w:drawing>
                <wp:inline distT="0" distB="0" distL="0" distR="0">
                  <wp:extent cx="1476375"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476375" cy="3276600"/>
                          </a:xfrm>
                          <a:prstGeom prst="rect">
                            <a:avLst/>
                          </a:prstGeom>
                        </pic:spPr>
                      </pic:pic>
                    </a:graphicData>
                  </a:graphic>
                </wp:inline>
              </w:drawing>
            </w:r>
          </w:p>
          <w:p>
            <w:pPr>
              <w:spacing w:after="60" w:line="240"/>
              <w:jc w:val="center"/>
            </w:pPr>
            <w:r>
              <w:rPr>
                <w:rFonts w:ascii="Arial" w:cs="Arial" w:eastAsia="Arial" w:hAnsi="Arial"/>
                <w:i/>
                <w:iCs/>
                <w:color w:val="5A6472"/>
                <w:sz w:val="20"/>
                <w:szCs w:val="20"/>
              </w:rPr>
              <w:t xml:space="preserve">Figura 16. Registro de una venta con cálculo automático del total.</w:t>
            </w:r>
          </w:p>
        </w:tc>
        <w:tc>
          <w:tcPr>
            <w:tcW w:type="dxa" w:w="4870"/>
            <w:tcBorders>
              <w:top w:val="none" w:color="FFFFFF" w:sz="0"/>
              <w:left w:val="none" w:color="FFFFFF" w:sz="0"/>
              <w:bottom w:val="none" w:color="FFFFFF" w:sz="0"/>
              <w:right w:val="none" w:color="FFFFFF" w:sz="0"/>
            </w:tcBorders>
            <w:tcMar>
              <w:top w:type="dxa" w:w="100"/>
              <w:left w:type="dxa" w:w="100"/>
              <w:bottom w:type="dxa" w:w="100"/>
              <w:right w:type="dxa" w:w="100"/>
            </w:tcMar>
          </w:tcPr>
          <w:p>
            <w:pPr>
              <w:spacing w:after="80"/>
              <w:jc w:val="center"/>
            </w:pPr>
            <w:r>
              <w:drawing>
                <wp:inline distT="0" distB="0" distL="0" distR="0">
                  <wp:extent cx="1476375"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476375" cy="3276600"/>
                          </a:xfrm>
                          <a:prstGeom prst="rect">
                            <a:avLst/>
                          </a:prstGeom>
                        </pic:spPr>
                      </pic:pic>
                    </a:graphicData>
                  </a:graphic>
                </wp:inline>
              </w:drawing>
            </w:r>
          </w:p>
          <w:p>
            <w:pPr>
              <w:spacing w:after="60" w:line="240"/>
              <w:jc w:val="center"/>
            </w:pPr>
            <w:r>
              <w:rPr>
                <w:rFonts w:ascii="Arial" w:cs="Arial" w:eastAsia="Arial" w:hAnsi="Arial"/>
                <w:i/>
                <w:iCs/>
                <w:color w:val="5A6472"/>
                <w:sz w:val="20"/>
                <w:szCs w:val="20"/>
              </w:rPr>
              <w:t xml:space="preserve">Figura 17. Confirmación de cierre de sesión con los indicadores actualizados.</w:t>
            </w:r>
          </w:p>
        </w:tc>
      </w:tr>
    </w:tbl>
    <w:p>
      <w:r>
        <w:br w:type="page"/>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2300"/>
        <w:gridCol w:w="5740"/>
        <w:gridCol w:w="1700"/>
      </w:tblGrid>
      <w:tr>
        <w:trPr>
          <w:tblHeader/>
        </w:trPr>
        <w:tc>
          <w:tcPr>
            <w:tcW w:type="dxa" w:w="2300"/>
            <w:tcBorders>
              <w:top w:val="single" w:color="C7D0E0" w:sz="4"/>
              <w:left w:val="single" w:color="C7D0E0" w:sz="4"/>
              <w:bottom w:val="single" w:color="C7D0E0" w:sz="4"/>
              <w:right w:val="single" w:color="C7D0E0" w:sz="4"/>
            </w:tcBorders>
            <w:shd w:fill="1F3864" w:color="auto" w:val="clear"/>
            <w:tcMar>
              <w:top w:type="dxa" w:w="60"/>
              <w:left w:type="dxa" w:w="110"/>
              <w:bottom w:type="dxa" w:w="60"/>
              <w:right w:type="dxa" w:w="110"/>
            </w:tcMar>
          </w:tcPr>
          <w:p>
            <w:pPr>
              <w:spacing w:after="50" w:before="50" w:line="252"/>
              <w:jc w:val="left"/>
            </w:pPr>
            <w:r>
              <w:rPr>
                <w:rFonts w:ascii="Arial" w:cs="Arial" w:eastAsia="Arial" w:hAnsi="Arial"/>
                <w:b/>
                <w:bCs/>
                <w:color w:val="FFFFFF"/>
                <w:sz w:val="20"/>
                <w:szCs w:val="20"/>
              </w:rPr>
              <w:t xml:space="preserve">Operación</w:t>
            </w:r>
          </w:p>
        </w:tc>
        <w:tc>
          <w:tcPr>
            <w:tcW w:type="dxa" w:w="5740"/>
            <w:tcBorders>
              <w:top w:val="single" w:color="C7D0E0" w:sz="4"/>
              <w:left w:val="single" w:color="C7D0E0" w:sz="4"/>
              <w:bottom w:val="single" w:color="C7D0E0" w:sz="4"/>
              <w:right w:val="single" w:color="C7D0E0" w:sz="4"/>
            </w:tcBorders>
            <w:shd w:fill="1F3864" w:color="auto" w:val="clear"/>
            <w:tcMar>
              <w:top w:type="dxa" w:w="60"/>
              <w:left w:type="dxa" w:w="110"/>
              <w:bottom w:type="dxa" w:w="60"/>
              <w:right w:type="dxa" w:w="110"/>
            </w:tcMar>
          </w:tcPr>
          <w:p>
            <w:pPr>
              <w:spacing w:after="50" w:before="50" w:line="252"/>
              <w:jc w:val="left"/>
            </w:pPr>
            <w:r>
              <w:rPr>
                <w:rFonts w:ascii="Arial" w:cs="Arial" w:eastAsia="Arial" w:hAnsi="Arial"/>
                <w:b/>
                <w:bCs/>
                <w:color w:val="FFFFFF"/>
                <w:sz w:val="20"/>
                <w:szCs w:val="20"/>
              </w:rPr>
              <w:t xml:space="preserve">Resultado observable en el sistema</w:t>
            </w:r>
          </w:p>
        </w:tc>
        <w:tc>
          <w:tcPr>
            <w:tcW w:type="dxa" w:w="1700"/>
            <w:tcBorders>
              <w:top w:val="single" w:color="C7D0E0" w:sz="4"/>
              <w:left w:val="single" w:color="C7D0E0" w:sz="4"/>
              <w:bottom w:val="single" w:color="C7D0E0" w:sz="4"/>
              <w:right w:val="single" w:color="C7D0E0" w:sz="4"/>
            </w:tcBorders>
            <w:shd w:fill="1F3864" w:color="auto" w:val="clear"/>
            <w:tcMar>
              <w:top w:type="dxa" w:w="60"/>
              <w:left w:type="dxa" w:w="110"/>
              <w:bottom w:type="dxa" w:w="60"/>
              <w:right w:type="dxa" w:w="110"/>
            </w:tcMar>
          </w:tcPr>
          <w:p>
            <w:pPr>
              <w:spacing w:after="50" w:before="50" w:line="252"/>
              <w:jc w:val="left"/>
            </w:pPr>
            <w:r>
              <w:rPr>
                <w:rFonts w:ascii="Arial" w:cs="Arial" w:eastAsia="Arial" w:hAnsi="Arial"/>
                <w:b/>
                <w:bCs/>
                <w:color w:val="FFFFFF"/>
                <w:sz w:val="20"/>
                <w:szCs w:val="20"/>
              </w:rPr>
              <w:t xml:space="preserve">Estado</w:t>
            </w:r>
          </w:p>
        </w:tc>
      </w:tr>
      <w:tr>
        <w:trPr>
          <w:cantSplit/>
        </w:trPr>
        <w:tc>
          <w:tcPr>
            <w:tcW w:type="dxa" w:w="23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Iniciar sesión</w:t>
            </w:r>
          </w:p>
        </w:tc>
        <w:tc>
          <w:tcPr>
            <w:tcW w:type="dxa" w:w="574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Acceso concedido; el panel carga los datos de la cuenta.</w:t>
            </w:r>
          </w:p>
        </w:tc>
        <w:tc>
          <w:tcPr>
            <w:tcW w:type="dxa" w:w="17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center"/>
            </w:pPr>
            <w:r>
              <w:rPr>
                <w:rFonts w:ascii="Arial" w:cs="Arial" w:eastAsia="Arial" w:hAnsi="Arial"/>
                <w:b w:val="false"/>
                <w:bCs w:val="false"/>
                <w:sz w:val="20"/>
                <w:szCs w:val="20"/>
              </w:rPr>
              <w:t xml:space="preserve">Correcto</w:t>
            </w:r>
          </w:p>
        </w:tc>
      </w:tr>
      <w:tr>
        <w:trPr>
          <w:cantSplit/>
        </w:trPr>
        <w:tc>
          <w:tcPr>
            <w:tcW w:type="dxa" w:w="23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Registrar cliente</w:t>
            </w:r>
          </w:p>
        </w:tc>
        <w:tc>
          <w:tcPr>
            <w:tcW w:type="dxa" w:w="574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El cliente queda guardado y el contador del panel sube a tres.</w:t>
            </w:r>
          </w:p>
        </w:tc>
        <w:tc>
          <w:tcPr>
            <w:tcW w:type="dxa" w:w="17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center"/>
            </w:pPr>
            <w:r>
              <w:rPr>
                <w:rFonts w:ascii="Arial" w:cs="Arial" w:eastAsia="Arial" w:hAnsi="Arial"/>
                <w:b w:val="false"/>
                <w:bCs w:val="false"/>
                <w:sz w:val="20"/>
                <w:szCs w:val="20"/>
              </w:rPr>
              <w:t xml:space="preserve">Correcto</w:t>
            </w:r>
          </w:p>
        </w:tc>
      </w:tr>
      <w:tr>
        <w:trPr>
          <w:cantSplit/>
        </w:trPr>
        <w:tc>
          <w:tcPr>
            <w:tcW w:type="dxa" w:w="23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Registrar evento</w:t>
            </w:r>
          </w:p>
        </w:tc>
        <w:tc>
          <w:tcPr>
            <w:tcW w:type="dxa" w:w="574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El evento aparece en la agenda con su monto acordado y su saldo pendiente.</w:t>
            </w:r>
          </w:p>
        </w:tc>
        <w:tc>
          <w:tcPr>
            <w:tcW w:type="dxa" w:w="17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center"/>
            </w:pPr>
            <w:r>
              <w:rPr>
                <w:rFonts w:ascii="Arial" w:cs="Arial" w:eastAsia="Arial" w:hAnsi="Arial"/>
                <w:b w:val="false"/>
                <w:bCs w:val="false"/>
                <w:sz w:val="20"/>
                <w:szCs w:val="20"/>
              </w:rPr>
              <w:t xml:space="preserve">Correcto</w:t>
            </w:r>
          </w:p>
        </w:tc>
      </w:tr>
      <w:tr>
        <w:trPr>
          <w:cantSplit/>
        </w:trPr>
        <w:tc>
          <w:tcPr>
            <w:tcW w:type="dxa" w:w="23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Validar formulario</w:t>
            </w:r>
          </w:p>
        </w:tc>
        <w:tc>
          <w:tcPr>
            <w:tcW w:type="dxa" w:w="574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Los campos obligatorios vacíos se señalan y bloquean el guardado.</w:t>
            </w:r>
          </w:p>
        </w:tc>
        <w:tc>
          <w:tcPr>
            <w:tcW w:type="dxa" w:w="17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center"/>
            </w:pPr>
            <w:r>
              <w:rPr>
                <w:rFonts w:ascii="Arial" w:cs="Arial" w:eastAsia="Arial" w:hAnsi="Arial"/>
                <w:b w:val="false"/>
                <w:bCs w:val="false"/>
                <w:sz w:val="20"/>
                <w:szCs w:val="20"/>
              </w:rPr>
              <w:t xml:space="preserve">Correcto</w:t>
            </w:r>
          </w:p>
        </w:tc>
      </w:tr>
      <w:tr>
        <w:trPr>
          <w:cantSplit/>
        </w:trPr>
        <w:tc>
          <w:tcPr>
            <w:tcW w:type="dxa" w:w="23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Registrar venta</w:t>
            </w:r>
          </w:p>
        </w:tc>
        <w:tc>
          <w:tcPr>
            <w:tcW w:type="dxa" w:w="574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El total se calcula automáticamente y la venta pasa a cuentas por cobrar.</w:t>
            </w:r>
          </w:p>
        </w:tc>
        <w:tc>
          <w:tcPr>
            <w:tcW w:type="dxa" w:w="17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center"/>
            </w:pPr>
            <w:r>
              <w:rPr>
                <w:rFonts w:ascii="Arial" w:cs="Arial" w:eastAsia="Arial" w:hAnsi="Arial"/>
                <w:b w:val="false"/>
                <w:bCs w:val="false"/>
                <w:sz w:val="20"/>
                <w:szCs w:val="20"/>
              </w:rPr>
              <w:t xml:space="preserve">Correcto</w:t>
            </w:r>
          </w:p>
        </w:tc>
      </w:tr>
      <w:tr>
        <w:trPr>
          <w:cantSplit/>
        </w:trPr>
        <w:tc>
          <w:tcPr>
            <w:tcW w:type="dxa" w:w="23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Registrar abono</w:t>
            </w:r>
          </w:p>
        </w:tc>
        <w:tc>
          <w:tcPr>
            <w:tcW w:type="dxa" w:w="574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La venta pasa al historial como pagada, con importe, forma de pago y fecha.</w:t>
            </w:r>
          </w:p>
        </w:tc>
        <w:tc>
          <w:tcPr>
            <w:tcW w:type="dxa" w:w="17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center"/>
            </w:pPr>
            <w:r>
              <w:rPr>
                <w:rFonts w:ascii="Arial" w:cs="Arial" w:eastAsia="Arial" w:hAnsi="Arial"/>
                <w:b w:val="false"/>
                <w:bCs w:val="false"/>
                <w:sz w:val="20"/>
                <w:szCs w:val="20"/>
              </w:rPr>
              <w:t xml:space="preserve">Correcto</w:t>
            </w:r>
          </w:p>
        </w:tc>
      </w:tr>
      <w:tr>
        <w:trPr>
          <w:cantSplit/>
        </w:trPr>
        <w:tc>
          <w:tcPr>
            <w:tcW w:type="dxa" w:w="23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Cerrar sesión</w:t>
            </w:r>
          </w:p>
        </w:tc>
        <w:tc>
          <w:tcPr>
            <w:tcW w:type="dxa" w:w="574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La sesión se cierra con confirmación y se vuelve a la pantalla de acceso.</w:t>
            </w:r>
          </w:p>
        </w:tc>
        <w:tc>
          <w:tcPr>
            <w:tcW w:type="dxa" w:w="17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center"/>
            </w:pPr>
            <w:r>
              <w:rPr>
                <w:rFonts w:ascii="Arial" w:cs="Arial" w:eastAsia="Arial" w:hAnsi="Arial"/>
                <w:b w:val="false"/>
                <w:bCs w:val="false"/>
                <w:sz w:val="20"/>
                <w:szCs w:val="20"/>
              </w:rPr>
              <w:t xml:space="preserve">Correcto</w:t>
            </w:r>
          </w:p>
        </w:tc>
      </w:tr>
    </w:tbl>
    <w:p>
      <w:pPr>
        <w:spacing w:after="200" w:before="80"/>
        <w:jc w:val="center"/>
      </w:pPr>
      <w:r>
        <w:rPr>
          <w:rFonts w:ascii="Arial" w:cs="Arial" w:eastAsia="Arial" w:hAnsi="Arial"/>
          <w:i/>
          <w:iCs/>
          <w:color w:val="5A6472"/>
          <w:sz w:val="20"/>
          <w:szCs w:val="20"/>
        </w:rPr>
        <w:t xml:space="preserve">Tabla 4. Secuencia de operaciones ejecutadas por el usuario.</w:t>
      </w:r>
    </w:p>
    <w:p>
      <w:pPr>
        <w:pStyle w:val="Heading1"/>
        <w:pBdr>
          <w:bottom w:val="single" w:color="000000" w:sz="10"/>
        </w:pBdr>
        <w:spacing w:after="200" w:before="360"/>
      </w:pPr>
      <w:r>
        <w:rPr>
          <w:rFonts w:ascii="Arial" w:cs="Arial" w:eastAsia="Arial" w:hAnsi="Arial"/>
          <w:b/>
          <w:bCs/>
          <w:color w:val="000000"/>
          <w:sz w:val="28"/>
          <w:szCs w:val="28"/>
        </w:rPr>
        <w:t xml:space="preserve">5. Conclusión</w:t>
      </w:r>
    </w:p>
    <w:p>
      <w:pPr>
        <w:spacing w:after="160" w:before="0" w:line="360"/>
        <w:jc w:val="both"/>
      </w:pPr>
      <w:r>
        <w:rPr>
          <w:rFonts w:ascii="Arial" w:cs="Arial" w:eastAsia="Arial" w:hAnsi="Arial"/>
          <w:b w:val="false"/>
          <w:bCs w:val="false"/>
          <w:i w:val="false"/>
          <w:iCs w:val="false"/>
          <w:sz w:val="24"/>
          <w:szCs w:val="24"/>
        </w:rPr>
        <w:t xml:space="preserve">La versión final de FotoGest Pro está implementada y en funcionamiento. El paquete de producción se instaló en un dispositivo Android real, superó las verificaciones de seguridad del sistema operativo y arrancó sin incidencias; la base de datos está configurada en Firebase con sus usuarios, sus seis colecciones y sus reglas de seguridad publicadas; los seis módulos del sistema responden con información real proveniente del servidor; y el usuario completó en el dispositivo el ciclo íntegro del negocio, desde el alta de un cliente hasta el cobro y el cierre de sesión.</w:t>
      </w:r>
    </w:p>
    <w:p>
      <w:pPr>
        <w:spacing w:after="160" w:before="0" w:line="360"/>
        <w:jc w:val="both"/>
      </w:pPr>
      <w:r>
        <w:rPr>
          <w:rFonts w:ascii="Arial" w:cs="Arial" w:eastAsia="Arial" w:hAnsi="Arial"/>
          <w:b w:val="false"/>
          <w:bCs w:val="false"/>
          <w:i w:val="false"/>
          <w:iCs w:val="false"/>
          <w:sz w:val="24"/>
          <w:szCs w:val="24"/>
        </w:rPr>
        <w:t xml:space="preserve">Las evidencias recogidas cubren los cuatro puntos solicitados para esta fase:</w:t>
      </w:r>
    </w:p>
    <w:p>
      <w:pPr>
        <w:pStyle w:val="ListParagraph"/>
        <w:numPr>
          <w:ilvl w:val="0"/>
          <w:numId w:val="2"/>
        </w:numPr>
        <w:spacing w:after="90" w:line="360"/>
        <w:jc w:val="both"/>
      </w:pPr>
      <w:r>
        <w:rPr>
          <w:rFonts w:ascii="Arial" w:cs="Arial" w:eastAsia="Arial" w:hAnsi="Arial"/>
          <w:sz w:val="24"/>
          <w:szCs w:val="24"/>
        </w:rPr>
        <w:t xml:space="preserve">Sistema instalado y funcionando: secciones 1.1 a 1.3.</w:t>
      </w:r>
    </w:p>
    <w:p>
      <w:pPr>
        <w:pStyle w:val="ListParagraph"/>
        <w:numPr>
          <w:ilvl w:val="0"/>
          <w:numId w:val="2"/>
        </w:numPr>
        <w:spacing w:after="90" w:line="360"/>
        <w:jc w:val="both"/>
      </w:pPr>
      <w:r>
        <w:rPr>
          <w:rFonts w:ascii="Arial" w:cs="Arial" w:eastAsia="Arial" w:hAnsi="Arial"/>
          <w:sz w:val="24"/>
          <w:szCs w:val="24"/>
        </w:rPr>
        <w:t xml:space="preserve">Base de datos configurada: secciones 2.1 a 2.3.</w:t>
      </w:r>
    </w:p>
    <w:p>
      <w:pPr>
        <w:pStyle w:val="ListParagraph"/>
        <w:numPr>
          <w:ilvl w:val="0"/>
          <w:numId w:val="2"/>
        </w:numPr>
        <w:spacing w:after="90" w:line="360"/>
        <w:jc w:val="both"/>
      </w:pPr>
      <w:r>
        <w:rPr>
          <w:rFonts w:ascii="Arial" w:cs="Arial" w:eastAsia="Arial" w:hAnsi="Arial"/>
          <w:sz w:val="24"/>
          <w:szCs w:val="24"/>
        </w:rPr>
        <w:t xml:space="preserve">Principales módulos operativos: secciones 3.1 a 3.4.</w:t>
      </w:r>
    </w:p>
    <w:p>
      <w:pPr>
        <w:pStyle w:val="ListParagraph"/>
        <w:numPr>
          <w:ilvl w:val="0"/>
          <w:numId w:val="2"/>
        </w:numPr>
        <w:spacing w:after="90" w:line="360"/>
        <w:jc w:val="both"/>
      </w:pPr>
      <w:r>
        <w:rPr>
          <w:rFonts w:ascii="Arial" w:cs="Arial" w:eastAsia="Arial" w:hAnsi="Arial"/>
          <w:sz w:val="24"/>
          <w:szCs w:val="24"/>
        </w:rPr>
        <w:t xml:space="preserve">Usuario realizando operaciones en el sistema: secciones 4.1 a 4.4.</w:t>
      </w:r>
    </w:p>
    <w:p>
      <w:pPr>
        <w:spacing w:after="160" w:before="80" w:line="360"/>
        <w:jc w:val="both"/>
      </w:pPr>
      <w:r>
        <w:rPr>
          <w:rFonts w:ascii="Arial" w:cs="Arial" w:eastAsia="Arial" w:hAnsi="Arial"/>
          <w:b w:val="false"/>
          <w:bCs w:val="false"/>
          <w:i w:val="false"/>
          <w:iCs w:val="false"/>
          <w:sz w:val="24"/>
          <w:szCs w:val="24"/>
        </w:rPr>
        <w:t xml:space="preserve">Queda pendiente, como trabajo posterior a la asignatura, la incorporación de pruebas automatizadas sobre los cálculos de saldo y la publicación de la aplicación en Google Play, que exige una cuenta de desarrollador y un proceso de revisión ajeno al alcance del proyecto.</w:t>
      </w:r>
    </w:p>
    <w:sectPr>
      <w:footerReference w:type="default" r:id="rId7"/>
      <w:pgSz w:w="12240" w:h="15840" w:orient="portrait"/>
      <w:pgMar w:top="1200" w:right="1250" w:bottom="120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20"/>
        <w:szCs w:val="20"/>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rPr>
        <w:color w:val="000000"/>
      </w:rPr>
    </w:lvl>
  </w:abstractNum>
  <w:abstractNum w:abstractNumId="3" w15:restartNumberingAfterBreak="0">
    <w:multiLevelType w:val="hybridMultilevel"/>
    <w:lvl w:ilvl="0" w15:tentative="1">
      <w:start w:val="1"/>
      <w:numFmt w:val="decimal"/>
      <w:lvlText w:val="%1."/>
      <w:lvlJc w:val="left"/>
      <w:pPr>
        <w:ind w:left="504" w:hanging="316"/>
      </w:pPr>
      <w:rPr>
        <w:b/>
        <w:bCs/>
        <w:color w:val="00000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a4dcc187149e5f7890aec79726d4fbfd21e95d7.jpg"/><Relationship Id="rId9" Type="http://schemas.openxmlformats.org/officeDocument/2006/relationships/image" Target="media/51371e07e2767223b1a21ea148465c3e2bde54f4.png"/><Relationship Id="rId10" Type="http://schemas.openxmlformats.org/officeDocument/2006/relationships/image" Target="media/84f68aee84b5aeac20ca949da9a33872d302b4be.png"/><Relationship Id="rId11" Type="http://schemas.openxmlformats.org/officeDocument/2006/relationships/image" Target="media/735d02cd1d0369d953b7ec0663891439595b93aa.png"/><Relationship Id="rId12" Type="http://schemas.openxmlformats.org/officeDocument/2006/relationships/image" Target="media/445e8ced63b95a6de5a23fb99224a7015c20161c.png"/><Relationship Id="rId13" Type="http://schemas.openxmlformats.org/officeDocument/2006/relationships/image" Target="media/cc8688ecc7ab53267138821ea7e7eb378a0fd0dd.jpg"/><Relationship Id="rId14" Type="http://schemas.openxmlformats.org/officeDocument/2006/relationships/image" Target="media/9bb922b71d0e01517afd46af4654f2a658290a2c.png"/><Relationship Id="rId15" Type="http://schemas.openxmlformats.org/officeDocument/2006/relationships/image" Target="media/57f7e94d9e6306b70c9b10d428425f656c907e60.png"/><Relationship Id="rId16" Type="http://schemas.openxmlformats.org/officeDocument/2006/relationships/image" Target="media/697c0b820cc5b713db41a4d2a16e2196d8bfcc32.png"/><Relationship Id="rId17" Type="http://schemas.openxmlformats.org/officeDocument/2006/relationships/image" Target="media/189387f747da63be29201854813108f0e0931d34.png"/><Relationship Id="rId18" Type="http://schemas.openxmlformats.org/officeDocument/2006/relationships/image" Target="media/9509d0f5af8e31e7cea0239939764804ff54d562.png"/><Relationship Id="rId19" Type="http://schemas.openxmlformats.org/officeDocument/2006/relationships/image" Target="media/cef22e4b3e665d23f400f17f5366206b718a30f8.png"/><Relationship Id="rId20" Type="http://schemas.openxmlformats.org/officeDocument/2006/relationships/image" Target="media/0d7237429d1c6298e1297e42a035f31e8e487863.png"/><Relationship Id="rId21" Type="http://schemas.openxmlformats.org/officeDocument/2006/relationships/image" Target="media/432b41504ec3ac0179f86899aacadfd824e64577.png"/><Relationship Id="rId22" Type="http://schemas.openxmlformats.org/officeDocument/2006/relationships/image" Target="media/a148ab3d142f2c75c8cfbe073f285bb4ee916aa9.png"/><Relationship Id="rId23" Type="http://schemas.openxmlformats.org/officeDocument/2006/relationships/image" Target="media/0c9aa2b38ef0c9bede4fdb518b167f8e04d97285.png"/><Relationship Id="rId24" Type="http://schemas.openxmlformats.org/officeDocument/2006/relationships/image" Target="media/4813bc418147991cfc1968cf329125d1b0ff62f2.png"/><Relationship Id="rId25" Type="http://schemas.openxmlformats.org/officeDocument/2006/relationships/image" Target="media/5c31597b3beba6217bd9ff4c8c382970dc132dab.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FotoGest Pro — Fase 6. Implementación y puesta en funcionamiento</dc:title>
  <dc:creator>Edwin De Jesús Tavarez Minaya</dc:creator>
  <dc:description>Evidencias de implementación y puesta en funcionamiento</dc:description>
  <cp:lastModifiedBy>Un-named</cp:lastModifiedBy>
  <cp:revision>1</cp:revision>
  <dcterms:created xsi:type="dcterms:W3CDTF">2026-09-28T19:40:45.231Z</dcterms:created>
  <dcterms:modified xsi:type="dcterms:W3CDTF">2026-09-28T19:40:45.231Z</dcterms:modified>
</cp:coreProperties>
</file>

<file path=docProps/custom.xml><?xml version="1.0" encoding="utf-8"?>
<Properties xmlns="http://schemas.openxmlformats.org/officeDocument/2006/custom-properties" xmlns:vt="http://schemas.openxmlformats.org/officeDocument/2006/docPropsVTypes"/>
</file>