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bookmarkStart w:id="1" w:name="_GoBack"/>
      <w:bookmarkEnd w:id="1"/>
    </w:p>
    <w:p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hint="eastAsia" w:ascii="宋体" w:hAnsi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cs="宋体"/>
          <w:color w:val="333333"/>
          <w:sz w:val="24"/>
          <w:shd w:val="clear" w:color="auto" w:fill="FFFFFF"/>
        </w:rPr>
        <w:t>智慧消防电气火灾隐患预警平台用户档案</w:t>
      </w:r>
    </w:p>
    <w:p>
      <w:pPr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编号：</w:t>
      </w:r>
      <w:r>
        <w:rPr>
          <w:rFonts w:hint="eastAsia" w:ascii="宋体" w:hAnsi="宋体" w:cs="宋体"/>
          <w:szCs w:val="21"/>
        </w:rPr>
        <w:t xml:space="preserve"> □□□□□□□</w:t>
      </w:r>
    </w:p>
    <w:tbl>
      <w:tblPr>
        <w:tblStyle w:val="3"/>
        <w:tblpPr w:leftFromText="180" w:rightFromText="180" w:vertAnchor="text" w:horzAnchor="page" w:tblpX="1248" w:tblpY="359"/>
        <w:tblOverlap w:val="never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1776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  <w:tc>
          <w:tcPr>
            <w:tcW w:w="177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组织机构代码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</w:t>
            </w:r>
          </w:p>
        </w:tc>
        <w:tc>
          <w:tcPr>
            <w:tcW w:w="7472" w:type="dxa"/>
            <w:gridSpan w:val="3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单位类别</w:t>
            </w:r>
          </w:p>
        </w:tc>
        <w:tc>
          <w:tcPr>
            <w:tcW w:w="7472" w:type="dxa"/>
            <w:gridSpan w:val="3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行政区划</w:t>
            </w:r>
          </w:p>
        </w:tc>
        <w:tc>
          <w:tcPr>
            <w:tcW w:w="7472" w:type="dxa"/>
            <w:gridSpan w:val="3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  <w:tc>
          <w:tcPr>
            <w:tcW w:w="7472" w:type="dxa"/>
            <w:gridSpan w:val="3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建筑面积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员工人数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消防安全责任人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消防安全管理人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行业主管部门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单位分级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维保单位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建档人员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勘察人员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服务人员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安装人员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安装日期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合同签署日期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是否回款</w:t>
            </w:r>
          </w:p>
        </w:tc>
        <w:tc>
          <w:tcPr>
            <w:tcW w:w="2490" w:type="dxa"/>
          </w:tcPr>
          <w:p>
            <w:pPr>
              <w:outlineLvl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建档日期</w:t>
            </w:r>
          </w:p>
        </w:tc>
        <w:tc>
          <w:tcPr>
            <w:tcW w:w="3206" w:type="dxa"/>
          </w:tcPr>
          <w:p>
            <w:pPr>
              <w:outlineLvl w:val="0"/>
              <w:rPr>
                <w:rFonts w:ascii="宋体" w:hAnsi="宋体"/>
                <w:szCs w:val="21"/>
              </w:rPr>
            </w:pPr>
          </w:p>
        </w:tc>
      </w:tr>
    </w:tbl>
    <w:p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宋体" w:hAnsi="宋体" w:cs="宋体"/>
          <w:b/>
          <w:sz w:val="24"/>
          <w:shd w:val="clear" w:color="auto" w:fill="FFFFFF"/>
        </w:rPr>
      </w:pPr>
      <w:r>
        <w:rPr>
          <w:rFonts w:hint="eastAsia" w:ascii="宋体" w:hAnsi="宋体" w:cs="宋体"/>
          <w:b/>
          <w:sz w:val="24"/>
          <w:shd w:val="clear" w:color="auto" w:fill="FFFFFF"/>
        </w:rPr>
        <w:t xml:space="preserve">电气火灾隐患概述 </w:t>
      </w:r>
    </w:p>
    <w:p>
      <w:pPr>
        <w:pStyle w:val="5"/>
        <w:ind w:left="567" w:firstLine="0" w:firstLineChars="0"/>
        <w:rPr>
          <w:rFonts w:ascii="仿宋_GB2312" w:eastAsia="仿宋_GB2312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23495</wp:posOffset>
                </wp:positionV>
                <wp:extent cx="5405120" cy="1122680"/>
                <wp:effectExtent l="4445" t="4445" r="19685" b="158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680" y="1849120"/>
                          <a:ext cx="63373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勘察日期：      年  月  日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勘察位置：配电井内低压配电柜（箱）及电气线路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参考标准：《DB37-655-2011建筑电气防火技术检测评定规程》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《</w: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t xml:space="preserve">GB/T13869-2008 用电安全导则 </w:t>
                            </w:r>
                            <w:r>
                              <w:rPr>
                                <w:rFonts w:hint="eastAsia" w:ascii="宋体" w:hAnsi="宋体" w:cs="宋体"/>
                                <w:szCs w:val="21"/>
                              </w:rPr>
                              <w:t>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1.85pt;height:88.4pt;width:425.6pt;z-index:251660288;mso-width-relative:page;mso-height-relative:page;" fillcolor="#FFFFFF" filled="t" stroked="t" coordsize="21600,21600" o:gfxdata="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ihqLjWAAAACQEAAA8AAAAAAAAA&#10;AQAgAAAAIgAAAGRycy9kb3ducmV2LnhtbFBLAQIUABQAAAAIAIdO4kC97dlGTAIAAIQ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勘察日期：      年  月  日</w:t>
                      </w:r>
                    </w:p>
                    <w:p>
                      <w:r>
                        <w:rPr>
                          <w:rFonts w:hint="eastAsia"/>
                        </w:rPr>
                        <w:t>勘察位置：配电井内低压配电柜（箱）及电气线路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参考标准：《DB37-655-2011建筑电气防火技术检测评定规程》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/>
                    <w:p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Cs w:val="21"/>
                        </w:rPr>
                        <w:t>《</w:t>
                      </w:r>
                      <w:r>
                        <w:rPr>
                          <w:rFonts w:ascii="宋体" w:hAnsi="宋体" w:cs="宋体"/>
                          <w:szCs w:val="21"/>
                        </w:rPr>
                        <w:t xml:space="preserve">GB/T13869-2008 用电安全导则 </w:t>
                      </w:r>
                      <w:r>
                        <w:rPr>
                          <w:rFonts w:hint="eastAsia" w:ascii="宋体" w:hAnsi="宋体" w:cs="宋体"/>
                          <w:szCs w:val="21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</w:rPr>
        <w:t>勘察日期</w:t>
      </w:r>
    </w:p>
    <w:p>
      <w:pPr>
        <w:pStyle w:val="5"/>
        <w:ind w:left="567" w:firstLine="0" w:firstLineChars="0"/>
        <w:rPr>
          <w:rFonts w:ascii="仿宋_GB2312" w:eastAsia="仿宋_GB2312"/>
          <w:sz w:val="28"/>
          <w:szCs w:val="28"/>
        </w:rPr>
      </w:pPr>
    </w:p>
    <w:p>
      <w:pPr>
        <w:spacing w:line="220" w:lineRule="atLeas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</w:t>
      </w:r>
    </w:p>
    <w:p>
      <w:pPr>
        <w:spacing w:line="220" w:lineRule="atLeast"/>
        <w:rPr>
          <w:rFonts w:hint="eastAsia" w:ascii="仿宋_GB2312" w:eastAsia="仿宋_GB2312"/>
          <w:sz w:val="28"/>
          <w:szCs w:val="28"/>
        </w:rPr>
      </w:pPr>
    </w:p>
    <w:p>
      <w:pPr>
        <w:spacing w:line="220" w:lineRule="atLeast"/>
        <w:rPr>
          <w:rFonts w:hint="eastAsia" w:ascii="仿宋_GB2312" w:eastAsia="仿宋_GB2312"/>
          <w:sz w:val="28"/>
          <w:szCs w:val="28"/>
        </w:rPr>
      </w:pPr>
    </w:p>
    <w:p>
      <w:pPr>
        <w:spacing w:line="220" w:lineRule="atLeast"/>
        <w:rPr>
          <w:rFonts w:hint="eastAsia" w:ascii="仿宋_GB2312" w:eastAsia="仿宋_GB2312"/>
          <w:sz w:val="28"/>
          <w:szCs w:val="28"/>
        </w:rPr>
      </w:pPr>
    </w:p>
    <w:p>
      <w:pPr>
        <w:spacing w:line="220" w:lineRule="atLeast"/>
        <w:rPr>
          <w:rFonts w:hint="eastAsia" w:ascii="仿宋_GB2312" w:eastAsia="仿宋_GB2312"/>
          <w:sz w:val="28"/>
          <w:szCs w:val="28"/>
        </w:rPr>
      </w:pPr>
      <w:r>
        <w:rPr>
          <w:rFonts w:hint="eastAsia" w:ascii="宋体" w:hAnsi="宋体" w:cs="宋体"/>
          <w:b/>
          <w:color w:val="333333"/>
          <w:sz w:val="24"/>
          <w:shd w:val="clear" w:color="auto" w:fill="FFFFFF"/>
        </w:rPr>
        <w:t>3、</w:t>
      </w:r>
      <w:r>
        <w:rPr>
          <w:rFonts w:hint="eastAsia" w:ascii="宋体" w:hAnsi="宋体"/>
          <w:b/>
          <w:sz w:val="24"/>
        </w:rPr>
        <w:t>2017年  月  日，青岛淼盾物联技术有限公司对</w:t>
      </w:r>
      <w:r>
        <w:rPr>
          <w:rFonts w:hint="eastAsia" w:ascii="宋体" w:hAnsi="宋体" w:cs="宋体"/>
          <w:b/>
          <w:color w:val="333333"/>
          <w:sz w:val="24"/>
          <w:shd w:val="clear" w:color="auto" w:fill="FFFFFF"/>
        </w:rPr>
        <w:t>府新大厦实施</w:t>
      </w:r>
      <w:r>
        <w:rPr>
          <w:rFonts w:hint="eastAsia" w:ascii="宋体" w:hAnsi="宋体"/>
          <w:b/>
          <w:sz w:val="24"/>
        </w:rPr>
        <w:t>现场勘查检测，相关检验依据、检验项目、检验结论分析如下：</w:t>
      </w:r>
    </w:p>
    <w:tbl>
      <w:tblPr>
        <w:tblStyle w:val="4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5463"/>
        <w:gridCol w:w="1347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4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勘查日期</w:t>
            </w:r>
          </w:p>
        </w:tc>
        <w:tc>
          <w:tcPr>
            <w:tcW w:w="8373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47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检验依据</w:t>
            </w:r>
          </w:p>
        </w:tc>
        <w:tc>
          <w:tcPr>
            <w:tcW w:w="5463" w:type="dxa"/>
            <w:vMerge w:val="restart"/>
            <w:vAlign w:val="center"/>
          </w:tcPr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1.DB37-655-2011 建筑电气防火技术检测评定规程</w:t>
            </w:r>
          </w:p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2.GB/T 13869-2008用电安全导则</w:t>
            </w:r>
          </w:p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3.GB 50303-2002 建筑电气工程质量验收规范</w:t>
            </w:r>
          </w:p>
        </w:tc>
        <w:tc>
          <w:tcPr>
            <w:tcW w:w="1347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检测环境</w:t>
            </w:r>
          </w:p>
        </w:tc>
        <w:tc>
          <w:tcPr>
            <w:tcW w:w="1563" w:type="dxa"/>
            <w:vAlign w:val="center"/>
          </w:tcPr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温度：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547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5463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湿度：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54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检验项目</w:t>
            </w:r>
          </w:p>
        </w:tc>
        <w:tc>
          <w:tcPr>
            <w:tcW w:w="8373" w:type="dxa"/>
            <w:gridSpan w:val="3"/>
            <w:vAlign w:val="center"/>
          </w:tcPr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1.低压配电柜（箱） 2.用电设备 3.低压配电线路 4.消防设施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154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检验结论</w:t>
            </w:r>
          </w:p>
        </w:tc>
        <w:tc>
          <w:tcPr>
            <w:tcW w:w="8373" w:type="dxa"/>
            <w:gridSpan w:val="3"/>
            <w:vAlign w:val="center"/>
          </w:tcPr>
          <w:p>
            <w:pPr>
              <w:widowControl w:val="0"/>
              <w:spacing w:after="0"/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54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  <w:t>备注</w:t>
            </w:r>
          </w:p>
        </w:tc>
        <w:tc>
          <w:tcPr>
            <w:tcW w:w="8373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ajorEastAsia" w:hAnsiTheme="majorEastAsia" w:eastAsiaTheme="majorEastAsia" w:cstheme="majorEastAsia"/>
                <w:color w:val="000000" w:themeColor="text1"/>
                <w:sz w:val="20"/>
                <w:szCs w:val="21"/>
              </w:rPr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 w:ascii="宋体" w:hAnsi="宋体"/>
          <w:b/>
          <w:bCs/>
          <w:sz w:val="24"/>
        </w:rPr>
        <w:t>4、相应的隐患情况分析及整改、建议方案如下 ：</w:t>
      </w:r>
    </w:p>
    <w:p>
      <w:pPr>
        <w:spacing w:line="220" w:lineRule="atLeast"/>
        <w:rPr>
          <w:rFonts w:hint="eastAsia"/>
        </w:rPr>
      </w:pPr>
    </w:p>
    <w:tbl>
      <w:tblPr>
        <w:tblStyle w:val="4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847"/>
        <w:gridCol w:w="2847"/>
        <w:gridCol w:w="3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序号</w:t>
            </w: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发现隐患</w:t>
            </w: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现场照片</w:t>
            </w: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隐患分析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FF0000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FF0000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FF0000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FF0000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105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84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12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第七部分     安装明细</w:t>
      </w:r>
      <w:bookmarkStart w:id="0" w:name="_Toc8785"/>
      <w:r>
        <w:rPr>
          <w:rFonts w:hint="eastAsia"/>
          <w:b/>
          <w:bCs/>
          <w:sz w:val="44"/>
          <w:szCs w:val="44"/>
        </w:rPr>
        <w:t>表</w:t>
      </w:r>
      <w:bookmarkEnd w:id="0"/>
    </w:p>
    <w:p>
      <w:pPr>
        <w:spacing w:line="220" w:lineRule="atLeast"/>
        <w:rPr>
          <w:rFonts w:hint="eastAsia"/>
        </w:rPr>
      </w:pPr>
    </w:p>
    <w:tbl>
      <w:tblPr>
        <w:tblStyle w:val="4"/>
        <w:tblpPr w:leftFromText="180" w:rightFromText="180" w:vertAnchor="text" w:horzAnchor="page" w:tblpX="1737" w:tblpY="606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139"/>
        <w:gridCol w:w="1266"/>
        <w:gridCol w:w="1204"/>
        <w:gridCol w:w="1203"/>
        <w:gridCol w:w="1205"/>
        <w:gridCol w:w="1206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6" w:hRule="atLeast"/>
        </w:trPr>
        <w:tc>
          <w:tcPr>
            <w:tcW w:w="527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名称</w:t>
            </w:r>
          </w:p>
        </w:tc>
        <w:tc>
          <w:tcPr>
            <w:tcW w:w="3609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巡检标签</w:t>
            </w:r>
          </w:p>
        </w:tc>
        <w:tc>
          <w:tcPr>
            <w:tcW w:w="2408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消防水系统</w:t>
            </w:r>
          </w:p>
        </w:tc>
        <w:tc>
          <w:tcPr>
            <w:tcW w:w="1206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电气火灾  检测系统</w:t>
            </w:r>
          </w:p>
        </w:tc>
        <w:tc>
          <w:tcPr>
            <w:tcW w:w="1690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重点部位       可视化系统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527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室内消火栓</w:t>
            </w:r>
          </w:p>
        </w:tc>
        <w:tc>
          <w:tcPr>
            <w:tcW w:w="1266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手报按钮及层显</w:t>
            </w:r>
          </w:p>
        </w:tc>
        <w:tc>
          <w:tcPr>
            <w:tcW w:w="120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安全出口</w:t>
            </w:r>
          </w:p>
        </w:tc>
        <w:tc>
          <w:tcPr>
            <w:tcW w:w="1203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末端试水 水压检测</w:t>
            </w:r>
          </w:p>
        </w:tc>
        <w:tc>
          <w:tcPr>
            <w:tcW w:w="1205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高位水箱 水位检测</w:t>
            </w:r>
          </w:p>
        </w:tc>
        <w:tc>
          <w:tcPr>
            <w:tcW w:w="1206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690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52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数量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20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203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52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合计</w:t>
            </w:r>
          </w:p>
        </w:tc>
        <w:tc>
          <w:tcPr>
            <w:tcW w:w="3609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2408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</w:tbl>
    <w:p>
      <w:pPr>
        <w:jc w:val="center"/>
        <w:rPr>
          <w:rFonts w:hint="eastAsia" w:ascii="仿宋" w:hAnsi="仿宋" w:eastAsia="仿宋"/>
          <w:sz w:val="28"/>
          <w:szCs w:val="28"/>
        </w:rPr>
      </w:pPr>
    </w:p>
    <w:p>
      <w:pPr>
        <w:jc w:val="center"/>
        <w:rPr>
          <w:rFonts w:hint="eastAsia" w:ascii="仿宋" w:hAnsi="仿宋" w:eastAsia="仿宋"/>
          <w:sz w:val="28"/>
          <w:szCs w:val="28"/>
        </w:rPr>
      </w:pPr>
    </w:p>
    <w:p>
      <w:pPr>
        <w:jc w:val="center"/>
        <w:rPr>
          <w:rFonts w:ascii="仿宋" w:hAnsi="仿宋" w:eastAsia="仿宋"/>
          <w:sz w:val="28"/>
          <w:szCs w:val="28"/>
        </w:rPr>
      </w:pPr>
    </w:p>
    <w:tbl>
      <w:tblPr>
        <w:tblStyle w:val="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765"/>
        <w:gridCol w:w="1770"/>
        <w:gridCol w:w="1730"/>
        <w:gridCol w:w="1400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安装位置</w:t>
            </w: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型号规格</w:t>
            </w: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额定电流</w:t>
            </w: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数量/套</w:t>
            </w:r>
          </w:p>
        </w:tc>
        <w:tc>
          <w:tcPr>
            <w:tcW w:w="1836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施工说明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在每层强电井内的配电柜安装智慧用电设备对电气火灾进行监管,需要贵单位协调停电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6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7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8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9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11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12</w:t>
            </w:r>
          </w:p>
        </w:tc>
        <w:tc>
          <w:tcPr>
            <w:tcW w:w="1765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3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82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13</w:t>
            </w:r>
          </w:p>
        </w:tc>
        <w:tc>
          <w:tcPr>
            <w:tcW w:w="1765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液位检测系统</w:t>
            </w:r>
          </w:p>
        </w:tc>
        <w:tc>
          <w:tcPr>
            <w:tcW w:w="173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restart"/>
            <w:vAlign w:val="center"/>
          </w:tcPr>
          <w:p>
            <w:pPr>
              <w:widowControl w:val="0"/>
              <w:spacing w:after="0"/>
              <w:jc w:val="both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在高位水箱（低位水池）处安装液位检测系统一套，在室内消火栓最不利点压力位置安装消防水压监测系统一套，全面监控消防水系统</w:t>
            </w:r>
          </w:p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14</w:t>
            </w:r>
          </w:p>
        </w:tc>
        <w:tc>
          <w:tcPr>
            <w:tcW w:w="1765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水压检测系统</w:t>
            </w:r>
          </w:p>
        </w:tc>
        <w:tc>
          <w:tcPr>
            <w:tcW w:w="173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15</w:t>
            </w:r>
          </w:p>
        </w:tc>
        <w:tc>
          <w:tcPr>
            <w:tcW w:w="1765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77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可视化监管系统</w:t>
            </w:r>
          </w:p>
        </w:tc>
        <w:tc>
          <w:tcPr>
            <w:tcW w:w="173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36" w:type="dxa"/>
          </w:tcPr>
          <w:p>
            <w:pPr>
              <w:widowControl w:val="0"/>
              <w:spacing w:after="0"/>
              <w:jc w:val="both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在一层弱电井旁边的消防通道加装可视化系统一套，连带外接独立式烟感一个，一旦发生险情报警将会拍摄现场照片及17S小视频推送到负责人手机上（可视化系统需要网线连接） </w:t>
            </w:r>
          </w:p>
          <w:p>
            <w:pPr>
              <w:widowControl w:val="0"/>
              <w:spacing w:after="0"/>
              <w:jc w:val="center"/>
              <w:rPr>
                <w:rFonts w:asciiTheme="minorEastAsia" w:hAnsiTheme="minorEastAsia" w:eastAsiaTheme="minorEastAsia" w:cstheme="minorEastAsia"/>
                <w:sz w:val="20"/>
                <w:szCs w:val="21"/>
              </w:rPr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第八部分     系统造价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                                             年      月     日</w:t>
      </w:r>
    </w:p>
    <w:tbl>
      <w:tblPr>
        <w:tblStyle w:val="3"/>
        <w:tblW w:w="957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项目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设备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单位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单价（元）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数量</w:t>
            </w:r>
          </w:p>
        </w:tc>
        <w:tc>
          <w:tcPr>
            <w:tcW w:w="15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合计（元）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安全隐患巡查系统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巡查标签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个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蓝牙读卡器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个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服务费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年</w:t>
            </w: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智慧用电安全云监测系统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智能终端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施工安装费与辅材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服务费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年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重点部位可视化系统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可视化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施工安装费与辅材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服务费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年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建筑消防用水云监测系统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液位传感器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压力传感器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施工安装费与辅材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套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9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服务费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年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合计</w:t>
            </w:r>
          </w:p>
        </w:tc>
        <w:tc>
          <w:tcPr>
            <w:tcW w:w="7981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人民币大写：  圆整</w:t>
            </w:r>
            <w:r>
              <w:rPr>
                <w:rFonts w:cs="Calibri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/>
                <w:color w:val="000000"/>
                <w:szCs w:val="21"/>
              </w:rPr>
              <w:t>¥</w:t>
            </w:r>
            <w:r>
              <w:rPr>
                <w:rFonts w:hint="eastAsia" w:cs="Calibri"/>
                <w:color w:val="000000"/>
                <w:szCs w:val="21"/>
              </w:rPr>
              <w:t xml:space="preserve"> </w:t>
            </w:r>
            <w:r>
              <w:rPr>
                <w:rFonts w:cs="Calibri"/>
                <w:color w:val="000000"/>
                <w:szCs w:val="21"/>
              </w:rPr>
              <w:t>.00</w:t>
            </w:r>
          </w:p>
        </w:tc>
      </w:tr>
    </w:tbl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8C63"/>
    <w:multiLevelType w:val="singleLevel"/>
    <w:tmpl w:val="59B88C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934F3"/>
    <w:rsid w:val="00300E50"/>
    <w:rsid w:val="00323B43"/>
    <w:rsid w:val="0036469E"/>
    <w:rsid w:val="003D37D8"/>
    <w:rsid w:val="00426133"/>
    <w:rsid w:val="004358AB"/>
    <w:rsid w:val="00513A96"/>
    <w:rsid w:val="00540E2C"/>
    <w:rsid w:val="005663FD"/>
    <w:rsid w:val="008B7726"/>
    <w:rsid w:val="00D31D50"/>
    <w:rsid w:val="00E446CF"/>
    <w:rsid w:val="00E46612"/>
    <w:rsid w:val="45B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218</Words>
  <Characters>1247</Characters>
  <Lines>10</Lines>
  <Paragraphs>2</Paragraphs>
  <TotalTime>0</TotalTime>
  <ScaleCrop>false</ScaleCrop>
  <LinksUpToDate>false</LinksUpToDate>
  <CharactersWithSpaces>1463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2017-11-20T13:47:30Z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