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81A84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Calibri" w:hAnsi="Calibri"/>
          <w:b/>
          <w:i w:val="0"/>
          <w:color w:val="1F4E79"/>
          <w:sz w:val="50"/>
        </w:rPr>
        <w:t>ThreadCare</w:t>
      </w:r>
    </w:p>
    <w:p w14:paraId="5D929B8D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Calibri" w:hAnsi="Calibri"/>
          <w:b w:val="0"/>
          <w:i w:val="0"/>
          <w:color w:val="2F75B5"/>
          <w:sz w:val="22"/>
        </w:rPr>
        <w:t>A trusted bridge across every patient–clinician interaction</w:t>
      </w:r>
    </w:p>
    <w:p w14:paraId="3F4E6E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88" w:lineRule="auto"/>
        <w:textAlignment w:val="auto"/>
      </w:pPr>
      <w:r>
        <w:rPr>
          <w:rFonts w:ascii="Calibri" w:hAnsi="Calibri"/>
          <w:b w:val="0"/>
          <w:i w:val="0"/>
          <w:color w:val="333333"/>
          <w:sz w:val="17"/>
        </w:rPr>
        <w:t>Technical Brief  |  Wang Yuyang  |  27 August 2026  |  Public synthetic-data prototype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B9FF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8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C30C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40"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9"/>
              </w:rPr>
              <w:t xml:space="preserve">Product thesis  </w:t>
            </w:r>
            <w:r>
              <w:rPr>
                <w:rFonts w:hint="eastAsia" w:eastAsia="宋体"/>
                <w:b w:val="0"/>
                <w:bCs/>
                <w:i w:val="0"/>
                <w:color w:val="auto"/>
                <w:sz w:val="19"/>
                <w:lang w:val="en-US" w:eastAsia="zh-CN"/>
              </w:rPr>
              <w:t>M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edical history is not merely long; it mixes different writing styles, fragmented context, patient self-diagnosis, and information with unequal authority. ThreadCare lets AI compress that mess without becoming the source of truth: clinicians decide, and every AI claim remains traceable.</w:t>
            </w:r>
          </w:p>
        </w:tc>
      </w:tr>
    </w:tbl>
    <w:p w14:paraId="77F55E8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1. Problem, users, and design principles</w:t>
      </w:r>
    </w:p>
    <w:p w14:paraId="071EDB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Calibri" w:hAnsi="Calibri"/>
          <w:b/>
          <w:i w:val="0"/>
          <w:color w:val="000000"/>
          <w:sz w:val="19"/>
          <w:u w:val="single"/>
        </w:rPr>
        <w:t>The primary user is the care team.</w:t>
      </w:r>
      <w:r>
        <w:rPr>
          <w:rFonts w:ascii="Calibri" w:hAnsi="Calibri"/>
          <w:b/>
          <w:i w:val="0"/>
          <w:color w:val="000000"/>
          <w:sz w:val="19"/>
        </w:rPr>
        <w:t xml:space="preserve"> </w:t>
      </w:r>
      <w:r>
        <w:rPr>
          <w:rFonts w:ascii="Calibri" w:hAnsi="Calibri"/>
          <w:b w:val="0"/>
          <w:i w:val="0"/>
          <w:color w:val="000000"/>
          <w:sz w:val="19"/>
        </w:rPr>
        <w:t xml:space="preserve">A clinician or staff member should </w:t>
      </w:r>
      <w:r>
        <w:rPr>
          <w:rFonts w:hint="eastAsia" w:eastAsia="宋体"/>
          <w:b w:val="0"/>
          <w:i w:val="0"/>
          <w:color w:val="000000"/>
          <w:sz w:val="19"/>
          <w:lang w:val="en-US" w:eastAsia="zh-CN"/>
        </w:rPr>
        <w:t xml:space="preserve">efficiently </w:t>
      </w:r>
      <w:r>
        <w:rPr>
          <w:rFonts w:ascii="Calibri" w:hAnsi="Calibri"/>
          <w:b w:val="0"/>
          <w:i w:val="0"/>
          <w:color w:val="000000"/>
          <w:sz w:val="19"/>
        </w:rPr>
        <w:t>understand the current concern, critical safety facts, and open actions, then move directly into the longitudinal evidence.</w:t>
      </w:r>
    </w:p>
    <w:p w14:paraId="41C723A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textAlignment w:val="auto"/>
      </w:pPr>
      <w:r>
        <w:rPr>
          <w:rFonts w:ascii="Calibri" w:hAnsi="Calibri"/>
          <w:b w:val="0"/>
          <w:i w:val="0"/>
          <w:color w:val="000000"/>
          <w:sz w:val="18"/>
        </w:rPr>
        <w:t>The Top Card ranks a deliberately small set of actionable items; it does not present an AI suggestion as a confirmed fact.</w:t>
      </w:r>
    </w:p>
    <w:p w14:paraId="3C4E8C4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textAlignment w:val="auto"/>
      </w:pPr>
      <w:r>
        <w:rPr>
          <w:rFonts w:ascii="Calibri" w:hAnsi="Calibri"/>
          <w:b w:val="0"/>
          <w:i w:val="0"/>
          <w:color w:val="000000"/>
          <w:sz w:val="18"/>
        </w:rPr>
        <w:t>One shared longitudinal Care Note connects patient pre-consults, staff tasks/results, consultation outcomes, and patient-facing instructions.</w:t>
      </w:r>
      <w:r>
        <w:rPr>
          <w:rFonts w:hint="eastAsia" w:eastAsia="宋体"/>
          <w:b w:val="0"/>
          <w:i w:val="0"/>
          <w:color w:val="000000"/>
          <w:sz w:val="18"/>
          <w:lang w:val="en-US" w:eastAsia="zh-CN"/>
        </w:rPr>
        <w:t xml:space="preserve"> Additionally, clinicians can add an AI-generated summary of their conversation with the patient to the longitudinal timeline with a single click.</w:t>
      </w:r>
    </w:p>
    <w:p w14:paraId="7B41F2D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textAlignment w:val="auto"/>
      </w:pPr>
      <w:r>
        <w:rPr>
          <w:rFonts w:hint="eastAsia"/>
        </w:rPr>
        <w:t xml:space="preserve">The system provides a page where clinician can </w:t>
      </w:r>
      <w:r>
        <w:rPr>
          <w:rFonts w:hint="eastAsia" w:eastAsia="宋体"/>
          <w:lang w:val="en-US" w:eastAsia="zh-CN"/>
        </w:rPr>
        <w:t>enter</w:t>
      </w:r>
      <w:r>
        <w:rPr>
          <w:rFonts w:hint="eastAsia"/>
        </w:rPr>
        <w:t xml:space="preserve"> consultation outcomes and medication instructions, then simultaneously add them to the longitudinal timeline and send them to the patient.</w:t>
      </w:r>
    </w:p>
    <w:p w14:paraId="703208A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textAlignment w:val="auto"/>
      </w:pPr>
      <w:r>
        <w:rPr>
          <w:rFonts w:ascii="Calibri" w:hAnsi="Calibri"/>
          <w:b w:val="0"/>
          <w:i w:val="0"/>
          <w:color w:val="000000"/>
          <w:sz w:val="18"/>
        </w:rPr>
        <w:t>Role ownership is explicit: staff cannot overwrite clinician notes, clinicians cannot overwrite staff notes, and patients never receive internal comments or raw AI-scribed notes.</w:t>
      </w:r>
    </w:p>
    <w:p w14:paraId="6908A86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textAlignment w:val="auto"/>
      </w:pPr>
      <w:r>
        <w:rPr>
          <w:rFonts w:hint="eastAsia" w:eastAsia="宋体"/>
          <w:b w:val="0"/>
          <w:i w:val="0"/>
          <w:color w:val="000000"/>
          <w:sz w:val="18"/>
          <w:lang w:val="en-US" w:eastAsia="zh-CN"/>
        </w:rPr>
        <w:t>After consultation, patients will be provided a form for rating and commenting. Thus the care team can get some feedback for further improvement.</w:t>
      </w:r>
    </w:p>
    <w:p w14:paraId="0CF672E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textAlignment w:val="auto"/>
      </w:pPr>
      <w:r>
        <w:rPr>
          <w:rFonts w:ascii="Calibri" w:hAnsi="Calibri"/>
          <w:b w:val="0"/>
          <w:i w:val="0"/>
          <w:color w:val="000000"/>
          <w:sz w:val="18"/>
        </w:rPr>
        <w:t>The prototype is a complete vertical slice at demo scale: one clinic, one clinician, two staff accounts, and multiple isolated patients rather than a feature-reduced mock-up.</w:t>
      </w:r>
    </w:p>
    <w:p w14:paraId="27DEC07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2. Architecture</w:t>
      </w:r>
    </w:p>
    <w:p w14:paraId="03A4B0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88" w:lineRule="auto"/>
        <w:jc w:val="center"/>
        <w:textAlignment w:val="auto"/>
      </w:pPr>
      <w:r>
        <w:drawing>
          <wp:inline distT="0" distB="0" distL="114300" distR="114300">
            <wp:extent cx="6080760" cy="2317750"/>
            <wp:effectExtent l="0" t="0" r="15240" b="6350"/>
            <wp:docPr id="1" name="Picture 1" descr="Role-scoped patient, clinician, staff, and admin clients connect to a Node.js server that enforces RBAC, preserves provenance and versions, redacts PHI, and calls a clinic state store and LLM adapter." title="ThreadCar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ole-scoped patient, clinician, staff, and admin clients connect to a Node.js server that enforces RBAC, preserves provenance and versions, redacts PHI, and calls a clinic state store and LLM adapter." title="ThreadCare architec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DC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jc w:val="center"/>
        <w:textAlignment w:val="auto"/>
        <w:rPr>
          <w:b/>
          <w:bCs/>
          <w:color w:val="auto"/>
        </w:rPr>
      </w:pPr>
      <w:r>
        <w:rPr>
          <w:rFonts w:ascii="Calibri" w:hAnsi="Calibri"/>
          <w:b/>
          <w:bCs/>
          <w:i/>
          <w:color w:val="auto"/>
          <w:sz w:val="16"/>
        </w:rPr>
        <w:t>Figure 1. Public HTTPS clients share one Worker-enforced, clinic-scoped D1 record; LLM providers never receive unredacted submitted text.</w:t>
      </w:r>
    </w:p>
    <w:p w14:paraId="367F86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Calibri" w:hAnsi="Calibri"/>
          <w:b/>
          <w:i w:val="0"/>
          <w:color w:val="2F75B5"/>
          <w:sz w:val="18"/>
        </w:rPr>
        <w:t xml:space="preserve">Public request path. </w:t>
      </w:r>
      <w:r>
        <w:rPr>
          <w:rFonts w:ascii="Calibri" w:hAnsi="Calibri"/>
          <w:b w:val="0"/>
          <w:i w:val="0"/>
          <w:color w:val="000000"/>
          <w:sz w:val="18"/>
        </w:rPr>
        <w:t>Role-scoped browsers connect over HTTPS to a Cloudflare Worker. The Worker verifies the session, applies RBAC, and reads or mutates the shared synthetic clinic state in Cloudflare D1. Names, phone numbers, and supported IC/ID patterns are redacted before downstream summarisation. Gemini is the default LLM adapter, with an optional OpenAI-compatible fallback and deterministic fallbacks for temporary provider failure. Live demo: https://threadcare-wang-yuyang.wang-yuyang.workers.dev.</w:t>
      </w:r>
    </w:p>
    <w:p w14:paraId="7EDB15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br w:type="page"/>
      </w:r>
    </w:p>
    <w:p w14:paraId="7E1BEE5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3. Data model: one record, preserved sources</w:t>
      </w:r>
    </w:p>
    <w:p w14:paraId="446082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Calibri" w:hAnsi="Calibri"/>
          <w:b/>
          <w:i w:val="0"/>
          <w:color w:val="000000"/>
          <w:sz w:val="19"/>
        </w:rPr>
        <w:t xml:space="preserve">Entry is the longitudinal unit. </w:t>
      </w:r>
      <w:r>
        <w:rPr>
          <w:rFonts w:ascii="Calibri" w:hAnsi="Calibri"/>
          <w:b w:val="0"/>
          <w:i w:val="0"/>
          <w:color w:val="000000"/>
          <w:sz w:val="19"/>
        </w:rPr>
        <w:t>Manual notes and three AI-scribe types are visually distinct but use the same versioned entry structure. AI-scribed notes point to a complete source conversation; Top Card highlights additionally resolve to an exact entry/span.</w:t>
      </w:r>
    </w:p>
    <w:p w14:paraId="3AB0E4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88" w:lineRule="auto"/>
        <w:jc w:val="center"/>
        <w:textAlignment w:val="auto"/>
      </w:pPr>
      <w:r>
        <w:drawing>
          <wp:inline distT="0" distB="0" distL="114300" distR="114300">
            <wp:extent cx="6126480" cy="2909570"/>
            <wp:effectExtent l="0" t="0" r="7620" b="5080"/>
            <wp:docPr id="2" name="Picture 2" descr="Patient, consultation, conversation and message records produce versioned entries. AI-scribed notes are distinct entries. Entries link to provenance spans, comments, versions, highlights, and a clinic-scoped importance-learning profile." title="ThreadCare logical data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atient, consultation, conversation and message records produce versioned entries. AI-scribed notes are distinct entries. Entries link to provenance spans, comments, versions, highlights, and a clinic-scoped importance-learning profile." title="ThreadCare logical data schem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05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88" w:lineRule="auto"/>
        <w:jc w:val="center"/>
        <w:textAlignment w:val="auto"/>
        <w:rPr>
          <w:b/>
          <w:bCs/>
          <w:color w:val="auto"/>
        </w:rPr>
      </w:pPr>
      <w:r>
        <w:rPr>
          <w:rFonts w:ascii="Calibri" w:hAnsi="Calibri"/>
          <w:b/>
          <w:bCs/>
          <w:i/>
          <w:color w:val="auto"/>
          <w:sz w:val="16"/>
        </w:rPr>
        <w:t>Figure 2. Logical schema and adaptive importance loop.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20AFB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15" w:type="dxa"/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16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Concern</w:t>
            </w:r>
          </w:p>
        </w:tc>
        <w:tc>
          <w:tcPr>
            <w:tcW w:w="3643" w:type="dxa"/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F0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Implementation</w:t>
            </w:r>
          </w:p>
        </w:tc>
        <w:tc>
          <w:tcPr>
            <w:tcW w:w="3802" w:type="dxa"/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7E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 it matters</w:t>
            </w:r>
          </w:p>
        </w:tc>
      </w:tr>
      <w:tr w14:paraId="44FB6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25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Provenance</w:t>
            </w:r>
          </w:p>
        </w:tc>
        <w:tc>
          <w:tcPr>
            <w:tcW w:w="36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04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Source conversation/message + exact span pointers; original text remains retrievable.</w:t>
            </w:r>
          </w:p>
        </w:tc>
        <w:tc>
          <w:tcPr>
            <w:tcW w:w="38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86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reviewer can inspect what the patient or team actually said, not only the</w:t>
            </w:r>
            <w:r>
              <w:rPr>
                <w:rFonts w:hint="eastAsia" w:eastAsia="宋体"/>
                <w:b w:val="0"/>
                <w:i w:val="0"/>
                <w:color w:val="000000"/>
                <w:sz w:val="16"/>
                <w:lang w:val="en-US" w:eastAsia="zh-CN"/>
              </w:rPr>
              <w:t xml:space="preserve"> AI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’s paraphrase.</w:t>
            </w:r>
          </w:p>
        </w:tc>
      </w:tr>
      <w:tr w14:paraId="60EE6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92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Revision</w:t>
            </w:r>
          </w:p>
        </w:tc>
        <w:tc>
          <w:tcPr>
            <w:tcW w:w="36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30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Section-level versions, actor/timestamp metadata, audit log, deterministic same-section conflict response, and revert.</w:t>
            </w:r>
          </w:p>
        </w:tc>
        <w:tc>
          <w:tcPr>
            <w:tcW w:w="38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5C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Concurrent edits to different sections survive; ownership and change history remain visible.</w:t>
            </w:r>
          </w:p>
        </w:tc>
      </w:tr>
      <w:tr w14:paraId="7C135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B2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Conflict</w:t>
            </w:r>
          </w:p>
        </w:tc>
        <w:tc>
          <w:tcPr>
            <w:tcW w:w="36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C9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Clinician replacement supersedes an AI/patient assertion while preserving the earlier claim and source.</w:t>
            </w:r>
          </w:p>
        </w:tc>
        <w:tc>
          <w:tcPr>
            <w:tcW w:w="38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82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Clinical authority wins without silently rewriting history.</w:t>
            </w:r>
          </w:p>
        </w:tc>
      </w:tr>
      <w:tr w14:paraId="234F1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64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Data decay</w:t>
            </w:r>
          </w:p>
        </w:tc>
        <w:tc>
          <w:tcPr>
            <w:tcW w:w="36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99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Old low-priority entries become archive cards; allergies, confirmed diagnoses, review items, unresolved tasks, comments, versions, and sources stay protected.</w:t>
            </w:r>
          </w:p>
        </w:tc>
        <w:tc>
          <w:tcPr>
            <w:tcW w:w="38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0E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The default timeline becomes quieter without deletion or loss of traceability.</w:t>
            </w:r>
          </w:p>
        </w:tc>
      </w:tr>
    </w:tbl>
    <w:p w14:paraId="242CD29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 xml:space="preserve">4. </w:t>
      </w:r>
      <w:r>
        <w:rPr>
          <w:rFonts w:hint="eastAsia" w:eastAsia="宋体"/>
          <w:lang w:val="en-US" w:eastAsia="zh-CN"/>
        </w:rPr>
        <w:t>Self-</w:t>
      </w:r>
      <w:r>
        <w:t>learning</w:t>
      </w:r>
    </w:p>
    <w:p w14:paraId="74CE58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Calibri" w:hAnsi="Calibri"/>
          <w:b w:val="0"/>
          <w:i w:val="0"/>
          <w:color w:val="000000"/>
          <w:sz w:val="18"/>
          <w:szCs w:val="18"/>
        </w:rPr>
      </w:pPr>
      <w:r>
        <w:rPr>
          <w:rFonts w:ascii="Calibri" w:hAnsi="Calibri"/>
          <w:b/>
          <w:i w:val="0"/>
          <w:color w:val="2F75B5"/>
          <w:sz w:val="18"/>
          <w:szCs w:val="18"/>
        </w:rPr>
        <w:t xml:space="preserve">Ranking, not truth. </w:t>
      </w:r>
      <w:r>
        <w:rPr>
          <w:rFonts w:ascii="Calibri" w:hAnsi="Calibri"/>
          <w:b w:val="0"/>
          <w:i w:val="0"/>
          <w:color w:val="000000"/>
          <w:sz w:val="18"/>
          <w:szCs w:val="18"/>
        </w:rPr>
        <w:t>Each suggestion combines model confidence/base score with explicit risk</w:t>
      </w:r>
      <w:r>
        <w:rPr>
          <w:rFonts w:hint="eastAsia" w:eastAsia="宋体"/>
          <w:b w:val="0"/>
          <w:i w:val="0"/>
          <w:color w:val="000000"/>
          <w:sz w:val="18"/>
          <w:szCs w:val="18"/>
          <w:lang w:val="en-US" w:eastAsia="zh-CN"/>
        </w:rPr>
        <w:t>,</w:t>
      </w:r>
      <w:r>
        <w:rPr>
          <w:rFonts w:ascii="Calibri" w:hAnsi="Calibri"/>
          <w:b w:val="0"/>
          <w:i w:val="0"/>
          <w:color w:val="000000"/>
          <w:sz w:val="18"/>
          <w:szCs w:val="18"/>
        </w:rPr>
        <w:t xml:space="preserve"> unresolved actions, and clinic-level learned signals such as symptom, hypothesis, urgency,</w:t>
      </w:r>
      <w:r>
        <w:rPr>
          <w:rFonts w:hint="eastAsia" w:eastAsia="宋体"/>
          <w:b w:val="0"/>
          <w:i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="Calibri" w:hAnsi="Calibri"/>
          <w:b w:val="0"/>
          <w:i w:val="0"/>
          <w:color w:val="000000"/>
          <w:sz w:val="18"/>
          <w:szCs w:val="18"/>
        </w:rPr>
        <w:t>and category. A pin adds +10, a rejection −10, and a first team comment +2 to matching future signals. The score breakdown is inspectable; feedback never confirms a diagnosis, edits a source, or crosses clinic boundaries.</w:t>
      </w:r>
    </w:p>
    <w:p w14:paraId="2FD266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Calibri" w:hAnsi="Calibri"/>
          <w:b w:val="0"/>
          <w:i w:val="0"/>
          <w:color w:val="000000"/>
          <w:sz w:val="18"/>
          <w:szCs w:val="18"/>
        </w:rPr>
      </w:pPr>
      <w:r>
        <w:rPr>
          <w:rFonts w:ascii="Calibri" w:hAnsi="Calibri"/>
          <w:b/>
          <w:i w:val="0"/>
          <w:color w:val="2F75B5"/>
          <w:sz w:val="18"/>
          <w:szCs w:val="18"/>
        </w:rPr>
        <w:t xml:space="preserve">Hard constraint  </w:t>
      </w:r>
      <w:r>
        <w:rPr>
          <w:rFonts w:ascii="Calibri" w:hAnsi="Calibri"/>
          <w:b w:val="0"/>
          <w:i w:val="0"/>
          <w:color w:val="000000"/>
          <w:sz w:val="18"/>
          <w:szCs w:val="18"/>
        </w:rPr>
        <w:t>Only a clinician can accept or reject an AI highlight. Rejection records a reason and replacement assessment; the previous claim remains visible as superseded evidence.</w:t>
      </w:r>
    </w:p>
    <w:p w14:paraId="34D181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br w:type="page"/>
      </w:r>
    </w:p>
    <w:p w14:paraId="6BAC581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5. Safety, permissions, and evidence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3F0B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FFFFFF"/>
            <w:tcMar>
              <w:top w:w="130" w:type="dxa"/>
              <w:left w:w="170" w:type="dxa"/>
              <w:bottom w:w="120" w:type="dxa"/>
              <w:right w:w="170" w:type="dxa"/>
            </w:tcMar>
            <w:vAlign w:val="top"/>
          </w:tcPr>
          <w:p w14:paraId="3632B0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9"/>
              </w:rPr>
              <w:t>SERVER-SIDE GUARANTEES</w:t>
            </w:r>
          </w:p>
          <w:p w14:paraId="4626B45F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Role- and clinic-scoped session checks on protected routes</w:t>
            </w:r>
          </w:p>
          <w:p w14:paraId="296BF1BE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Patient response excludes internal comments and raw AI sources</w:t>
            </w:r>
          </w:p>
          <w:p w14:paraId="6691B028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Note edit/revert ownership enforced by author role</w:t>
            </w:r>
          </w:p>
          <w:p w14:paraId="65DA6C5E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Synthetic-only public demo; API keys stored as Worker secrets and excluded from Git</w:t>
            </w:r>
          </w:p>
          <w:p w14:paraId="7DCFDB71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Redaction before LLM: names, phones, supported IC/ID patterns</w:t>
            </w:r>
          </w:p>
        </w:tc>
        <w:tc>
          <w:tcPr>
            <w:tcW w:w="4939" w:type="dxa"/>
            <w:shd w:val="clear" w:color="auto" w:fill="FFFFFF"/>
            <w:tcMar>
              <w:top w:w="130" w:type="dxa"/>
              <w:left w:w="170" w:type="dxa"/>
              <w:bottom w:w="120" w:type="dxa"/>
              <w:right w:w="170" w:type="dxa"/>
            </w:tcMar>
            <w:vAlign w:val="top"/>
          </w:tcPr>
          <w:p w14:paraId="5AF841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9"/>
              </w:rPr>
              <w:t>VERIFICATION</w:t>
            </w:r>
          </w:p>
          <w:p w14:paraId="09FDE283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 automated tests passing</w:t>
            </w:r>
          </w:p>
          <w:p w14:paraId="123B144A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RBAC, revisions/revert, audit metadata, exact provenance</w:t>
            </w:r>
          </w:p>
          <w:p w14:paraId="6F37575E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Concurrent edits and deterministic same-section conflicts</w:t>
            </w:r>
          </w:p>
          <w:p w14:paraId="0E86524A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Multi-patient isolation and repeated consultations</w:t>
            </w:r>
          </w:p>
          <w:p w14:paraId="5188618D">
            <w:pPr>
              <w:pStyle w:val="1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Self-learning transfer and non-destructive decay</w:t>
            </w:r>
          </w:p>
        </w:tc>
      </w:tr>
    </w:tbl>
    <w:p w14:paraId="0D8C751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Warm-path latency</w:t>
      </w:r>
    </w:p>
    <w:p w14:paraId="55D6AF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Calibri" w:hAnsi="Calibri"/>
          <w:b/>
          <w:i w:val="0"/>
          <w:color w:val="2F75B5"/>
          <w:sz w:val="19"/>
        </w:rPr>
        <w:t xml:space="preserve">Measured P95: 32.20 ms (requirement ≤ 300 ms). </w:t>
      </w:r>
      <w:r>
        <w:rPr>
          <w:rFonts w:ascii="Calibri" w:hAnsi="Calibri"/>
          <w:b w:val="0"/>
          <w:i w:val="0"/>
          <w:color w:val="000000"/>
          <w:sz w:val="19"/>
        </w:rPr>
        <w:t>Measurement used 20 warm-up iterations followed by 200 sequential local samples of the authenticated Care Note and conversation-loading path before public deployment. The Cloudflare endpoint was separately smoke-tested for HTTPS, Gemini configuration, clinician login, and shared patient retrieval; no public-network P95 is claimed.</w:t>
      </w:r>
    </w:p>
    <w:p w14:paraId="73EBAA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6. Assumptions and deliberate scope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933F1AA">
        <w:trPr>
          <w:tblHeader/>
          <w:jc w:val="center"/>
        </w:trPr>
        <w:tc>
          <w:tcPr>
            <w:tcW w:w="2045" w:type="dxa"/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5C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w="3528" w:type="dxa"/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CC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Chosen scope</w:t>
            </w:r>
          </w:p>
        </w:tc>
        <w:tc>
          <w:tcPr>
            <w:tcW w:w="3787" w:type="dxa"/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53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Trade-off / next production step</w:t>
            </w:r>
          </w:p>
        </w:tc>
      </w:tr>
      <w:tr w14:paraId="7BAA8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D7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Voice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71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Reviewed speech-to-text input, maximum 30 seconds; raw audio is not retained.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C8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Not full ambient capture: no diarisation, overlap/noisy-room handling, or continuous recording.</w:t>
            </w:r>
          </w:p>
        </w:tc>
      </w:tr>
      <w:tr w14:paraId="0F92E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21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Storage</w:t>
            </w:r>
          </w:p>
        </w:tc>
        <w:tc>
          <w:tcPr>
            <w:tcW w:w="3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16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Cloudflare D1 persists one clinic-scoped JSON state snapshot for the public cross-device demo; local development uses an ignored JSON file.</w:t>
            </w:r>
          </w:p>
        </w:tc>
        <w:tc>
          <w:tcPr>
            <w:tcW w:w="3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5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Production needs a normalized transactional schema, encryption controls, migrations, backups, recovery, and concurrency testing.</w:t>
            </w:r>
          </w:p>
        </w:tc>
      </w:tr>
      <w:tr w14:paraId="50985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96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Privacy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41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Public demo and public GitHub use synthetic data only.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61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Real PHI requires legal authority, security review, encryption at rest, retention policy, monitoring, and compliance controls.</w:t>
            </w:r>
          </w:p>
        </w:tc>
      </w:tr>
      <w:tr w14:paraId="24D8A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0C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/>
                <w:i w:val="0"/>
                <w:color w:val="2F75B5"/>
                <w:sz w:val="16"/>
              </w:rPr>
              <w:t>Learning</w:t>
            </w:r>
          </w:p>
        </w:tc>
        <w:tc>
          <w:tcPr>
            <w:tcW w:w="3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8D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Transparent clinic-level weighted feedback signals.</w:t>
            </w:r>
          </w:p>
        </w:tc>
        <w:tc>
          <w:tcPr>
            <w:tcW w:w="37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84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production model needs evaluation for bias, drift, misuse, and safe rollback before learning affects workflow.</w:t>
            </w:r>
          </w:p>
        </w:tc>
      </w:tr>
    </w:tbl>
    <w:p w14:paraId="67F774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t>7. First-principles reflection</w:t>
      </w:r>
    </w:p>
    <w:p w14:paraId="28362A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ascii="Calibri" w:hAnsi="Calibri"/>
          <w:b/>
          <w:i w:val="0"/>
          <w:color w:val="000000"/>
          <w:sz w:val="19"/>
        </w:rPr>
        <w:t>The key learning was</w:t>
      </w:r>
      <w:r>
        <w:rPr>
          <w:rFonts w:hint="eastAsia" w:eastAsia="宋体"/>
          <w:b/>
          <w:i w:val="0"/>
          <w:color w:val="000000"/>
          <w:sz w:val="19"/>
          <w:lang w:val="en-US" w:eastAsia="zh-CN"/>
        </w:rPr>
        <w:t xml:space="preserve"> understanding</w:t>
      </w:r>
      <w:bookmarkStart w:id="0" w:name="_GoBack"/>
      <w:bookmarkEnd w:id="0"/>
      <w:r>
        <w:rPr>
          <w:rFonts w:ascii="Calibri" w:hAnsi="Calibri"/>
          <w:b/>
          <w:i w:val="0"/>
          <w:color w:val="000000"/>
          <w:sz w:val="19"/>
        </w:rPr>
        <w:t xml:space="preserve"> why clinical records become “messy.” </w:t>
      </w:r>
      <w:r>
        <w:rPr>
          <w:rFonts w:ascii="Calibri" w:hAnsi="Calibri"/>
          <w:b w:val="0"/>
          <w:i w:val="0"/>
          <w:color w:val="000000"/>
          <w:sz w:val="19"/>
        </w:rPr>
        <w:t>Different people document different visits in different styles; histories accumulate without a shared summary; and a patient’s sincere self-diagnosis can be useful context while also distracting from the underlying condition. Therefore the core problem is authority and trust. ThreadCare treats AI as the clinician’s assistant: it organise</w:t>
      </w:r>
      <w:r>
        <w:rPr>
          <w:rFonts w:hint="eastAsia" w:eastAsia="宋体"/>
          <w:b w:val="0"/>
          <w:i w:val="0"/>
          <w:color w:val="000000"/>
          <w:sz w:val="19"/>
          <w:lang w:val="en-US" w:eastAsia="zh-CN"/>
        </w:rPr>
        <w:t>s</w:t>
      </w:r>
      <w:r>
        <w:rPr>
          <w:rFonts w:ascii="Calibri" w:hAnsi="Calibri"/>
          <w:b w:val="0"/>
          <w:i w:val="0"/>
          <w:color w:val="000000"/>
          <w:sz w:val="19"/>
        </w:rPr>
        <w:t xml:space="preserve"> and prioritises, while human clinical judgment decides what becomes accepted care context.</w:t>
      </w:r>
    </w:p>
    <w:p w14:paraId="7F661F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</w:p>
    <w:sectPr>
      <w:footerReference r:id="rId5" w:type="default"/>
      <w:pgSz w:w="12240" w:h="15840"/>
      <w:pgMar w:top="1037" w:right="1181" w:bottom="936" w:left="1181" w:header="475" w:footer="47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65C07">
    <w:pPr>
      <w:pStyle w:val="24"/>
      <w:jc w:val="right"/>
    </w:pPr>
    <w:r>
      <w:rPr>
        <w:rFonts w:ascii="Calibri" w:hAnsi="Calibri"/>
        <w:b w:val="0"/>
        <w:i w:val="0"/>
        <w:color w:val="333333"/>
        <w:sz w:val="16"/>
      </w:rPr>
      <w:t xml:space="preserve">Wang Yuyang   ·   Technical Brief   ·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564D28"/>
    <w:rsid w:val="11FC1ECD"/>
    <w:rsid w:val="15400323"/>
    <w:rsid w:val="22B331F8"/>
    <w:rsid w:val="2D9949F1"/>
    <w:rsid w:val="345E211C"/>
    <w:rsid w:val="54F226E1"/>
    <w:rsid w:val="61F32CAE"/>
    <w:rsid w:val="732A64B4"/>
    <w:rsid w:val="75A9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2" w:lineRule="auto"/>
    </w:pPr>
    <w:rPr>
      <w:rFonts w:ascii="Calibri" w:hAnsi="Calibri" w:eastAsiaTheme="minorEastAsia" w:cstheme="minorBidi"/>
      <w:color w:val="000000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4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Calibri" w:hAnsi="Calibri"/>
      <w:color w:val="000000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Calibri" w:hAnsi="Calibri"/>
      <w:color w:val="000000"/>
      <w:sz w:val="18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2F75B5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871</Words>
  <Characters>5535</Characters>
  <Lines>0</Lines>
  <Paragraphs>0</Paragraphs>
  <TotalTime>1</TotalTime>
  <ScaleCrop>false</ScaleCrop>
  <LinksUpToDate>false</LinksUpToDate>
  <CharactersWithSpaces>6345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Wang Yuyang</dc:creator>
  <dc:description>Draft technical brief prepared for submission review. Synthetic data only.</dc:description>
  <cp:keywords>longitudinal care note, provenance, RBAC, AI scribe, healthcare prototype</cp:keywords>
  <cp:lastModifiedBy>Griezmann</cp:lastModifiedBy>
  <dcterms:modified xsi:type="dcterms:W3CDTF">2026-08-27T05:13:00Z</dcterms:modified>
  <dc:subject>Nightingale 72-Hour Build</dc:subject>
  <dc:title>ThreadCare — Technical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eyJoZGlkIjoiYTU3ZjIzNjJkZjY2MmIzMDQ0MjE4ZWNmZjE3Y2M2OTAiLCJ1c2VySWQiOiI3MzAzNDE5MTgifQ==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1117CDF809414CDB9ADE8FBA1526FABE_13</vt:lpwstr>
  </property>
</Properties>
</file>