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ECAFC">
      <w:pPr>
        <w:widowControl/>
        <w:spacing w:line="360" w:lineRule="auto"/>
        <w:jc w:val="center"/>
        <w:rPr>
          <w:rFonts w:hint="default" w:ascii="Times New Roman" w:hAnsi="宋体" w:eastAsia="宋体" w:cs="宋体"/>
          <w:b/>
          <w:color w:val="000000"/>
          <w:kern w:val="0"/>
          <w:sz w:val="40"/>
          <w:szCs w:val="40"/>
          <w:lang w:val="en-US" w:eastAsia="zh-CN"/>
        </w:rPr>
      </w:pPr>
    </w:p>
    <w:p w14:paraId="3B23A8A7">
      <w:pPr>
        <w:widowControl/>
        <w:spacing w:line="360" w:lineRule="auto"/>
        <w:jc w:val="center"/>
        <w:rPr>
          <w:rFonts w:hint="eastAsia" w:ascii="Times New Roman" w:hAnsi="宋体" w:eastAsia="宋体" w:cs="宋体"/>
          <w:b/>
          <w:color w:val="000000"/>
          <w:kern w:val="0"/>
          <w:sz w:val="48"/>
          <w:szCs w:val="48"/>
          <w:lang w:val="en-US" w:eastAsia="zh-CN"/>
        </w:rPr>
      </w:pPr>
      <w:r>
        <w:rPr>
          <w:rFonts w:hint="default" w:ascii="Times New Roman" w:hAnsi="宋体" w:eastAsia="宋体" w:cs="宋体"/>
          <w:b/>
          <w:color w:val="000000"/>
          <w:kern w:val="0"/>
          <w:sz w:val="48"/>
          <w:szCs w:val="48"/>
          <w:lang w:val="en-US" w:eastAsia="zh-CN"/>
        </w:rPr>
        <w:t>《云南省企业就业失业数据采集系统》项目计划</w:t>
      </w:r>
    </w:p>
    <w:p w14:paraId="3BC0525E">
      <w:pPr>
        <w:pStyle w:val="7"/>
        <w:tabs>
          <w:tab w:val="right" w:leader="dot" w:pos="8306"/>
        </w:tabs>
        <w:jc w:val="center"/>
        <w:rPr>
          <w:rFonts w:hint="eastAsia" w:ascii="宋体" w:hAnsi="宋体" w:eastAsia="宋体" w:cs="宋体"/>
          <w:b/>
          <w:bCs/>
          <w:color w:val="000000"/>
          <w:kern w:val="0"/>
          <w:sz w:val="36"/>
          <w:szCs w:val="36"/>
          <w:lang w:val="en-US" w:eastAsia="zh-CN"/>
        </w:rPr>
      </w:pPr>
    </w:p>
    <w:p w14:paraId="2E5119CE">
      <w:pPr>
        <w:pStyle w:val="7"/>
        <w:tabs>
          <w:tab w:val="right" w:leader="dot" w:pos="8306"/>
        </w:tabs>
        <w:jc w:val="center"/>
        <w:rPr>
          <w:rFonts w:hint="default" w:ascii="宋体" w:hAnsi="宋体" w:eastAsia="宋体" w:cs="宋体"/>
          <w:b/>
          <w:bCs/>
          <w:color w:val="000000"/>
          <w:kern w:val="0"/>
          <w:sz w:val="36"/>
          <w:szCs w:val="36"/>
          <w:lang w:val="en-US" w:eastAsia="zh-CN"/>
        </w:rPr>
      </w:pPr>
      <w:r>
        <w:rPr>
          <w:rFonts w:hint="eastAsia" w:ascii="宋体" w:hAnsi="宋体" w:eastAsia="宋体" w:cs="宋体"/>
          <w:b/>
          <w:bCs/>
          <w:color w:val="000000"/>
          <w:kern w:val="0"/>
          <w:sz w:val="36"/>
          <w:szCs w:val="36"/>
          <w:lang w:val="en-US" w:eastAsia="zh-CN"/>
        </w:rPr>
        <w:t>目录</w:t>
      </w:r>
    </w:p>
    <w:p w14:paraId="56E81F3F">
      <w:pPr>
        <w:pStyle w:val="7"/>
        <w:tabs>
          <w:tab w:val="right" w:leader="dot" w:pos="8306"/>
        </w:tabs>
      </w:pPr>
      <w:r>
        <w:rPr>
          <w:rFonts w:hint="eastAsia" w:ascii="宋体" w:hAnsi="宋体" w:eastAsia="宋体" w:cs="宋体"/>
          <w:b/>
          <w:bCs/>
          <w:color w:val="000000"/>
          <w:kern w:val="0"/>
          <w:sz w:val="28"/>
          <w:szCs w:val="28"/>
          <w:lang w:val="en-US" w:eastAsia="zh-CN"/>
        </w:rPr>
        <w:fldChar w:fldCharType="begin"/>
      </w:r>
      <w:r>
        <w:rPr>
          <w:rFonts w:hint="eastAsia" w:ascii="宋体" w:hAnsi="宋体" w:eastAsia="宋体" w:cs="宋体"/>
          <w:b/>
          <w:bCs/>
          <w:color w:val="000000"/>
          <w:kern w:val="0"/>
          <w:sz w:val="28"/>
          <w:szCs w:val="28"/>
          <w:lang w:val="en-US" w:eastAsia="zh-CN"/>
        </w:rPr>
        <w:instrText xml:space="preserve">TOC \o "1-3" \h \u </w:instrText>
      </w:r>
      <w:r>
        <w:rPr>
          <w:rFonts w:hint="eastAsia" w:ascii="宋体" w:hAnsi="宋体" w:eastAsia="宋体" w:cs="宋体"/>
          <w:b/>
          <w:bCs/>
          <w:color w:val="000000"/>
          <w:kern w:val="0"/>
          <w:sz w:val="28"/>
          <w:szCs w:val="28"/>
          <w:lang w:val="en-US" w:eastAsia="zh-CN"/>
        </w:rPr>
        <w:fldChar w:fldCharType="separate"/>
      </w: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_Toc29996 </w:instrText>
      </w:r>
      <w:r>
        <w:rPr>
          <w:rFonts w:hint="eastAsia" w:ascii="宋体" w:hAnsi="宋体" w:eastAsia="宋体" w:cs="宋体"/>
          <w:bCs/>
          <w:kern w:val="0"/>
          <w:szCs w:val="28"/>
          <w:lang w:val="en-US" w:eastAsia="zh-CN"/>
        </w:rPr>
        <w:fldChar w:fldCharType="separate"/>
      </w:r>
      <w:r>
        <w:rPr>
          <w:rFonts w:hint="eastAsia" w:ascii="宋体" w:hAnsi="宋体" w:eastAsia="宋体" w:cs="宋体"/>
          <w:bCs/>
          <w:kern w:val="0"/>
          <w:szCs w:val="28"/>
          <w:lang w:val="en-US" w:eastAsia="zh-CN"/>
        </w:rPr>
        <w:t xml:space="preserve">1 </w:t>
      </w:r>
      <w:r>
        <w:rPr>
          <w:rFonts w:hint="default" w:ascii="宋体" w:hAnsi="宋体" w:eastAsia="宋体" w:cs="宋体"/>
          <w:bCs/>
          <w:kern w:val="0"/>
          <w:szCs w:val="28"/>
        </w:rPr>
        <w:t>引言</w:t>
      </w:r>
      <w:r>
        <w:tab/>
      </w:r>
      <w:r>
        <w:fldChar w:fldCharType="begin"/>
      </w:r>
      <w:r>
        <w:instrText xml:space="preserve"> PAGEREF _Toc29996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785574A6">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_Toc1482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1.1 项目背景</w:t>
      </w:r>
      <w:r>
        <w:tab/>
      </w:r>
      <w:r>
        <w:fldChar w:fldCharType="begin"/>
      </w:r>
      <w:r>
        <w:instrText xml:space="preserve"> PAGEREF _Toc1482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5FD460A7">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_Toc10146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1.2 项目目标</w:t>
      </w:r>
      <w:r>
        <w:tab/>
      </w:r>
      <w:r>
        <w:fldChar w:fldCharType="begin"/>
      </w:r>
      <w:r>
        <w:instrText xml:space="preserve"> PAGEREF _Toc10146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6278F4D1">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_Toc2486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1.3 文档范围与读者对象</w:t>
      </w:r>
      <w:r>
        <w:tab/>
      </w:r>
      <w:r>
        <w:fldChar w:fldCharType="begin"/>
      </w:r>
      <w:r>
        <w:instrText xml:space="preserve"> PAGEREF _Toc2486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45C309F5">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_Toc1170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1.4 术语与定义</w:t>
      </w:r>
      <w:r>
        <w:tab/>
      </w:r>
      <w:r>
        <w:fldChar w:fldCharType="begin"/>
      </w:r>
      <w:r>
        <w:instrText xml:space="preserve"> PAGEREF _Toc1170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07188469">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_Toc2276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2</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项目范围管理</w:t>
      </w:r>
      <w:r>
        <w:tab/>
      </w:r>
      <w:r>
        <w:fldChar w:fldCharType="begin"/>
      </w:r>
      <w:r>
        <w:instrText xml:space="preserve"> PAGEREF _Toc2276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0E5180D9">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_Toc21674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 产品范围</w:t>
      </w:r>
      <w:r>
        <w:tab/>
      </w:r>
      <w:r>
        <w:fldChar w:fldCharType="begin"/>
      </w:r>
      <w:r>
        <w:instrText xml:space="preserve"> PAGEREF _Toc21674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1F5475B6">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w:t>
      </w:r>
      <w:r>
        <w:rPr>
          <w:rFonts w:hint="eastAsia" w:ascii="宋体" w:hAnsi="宋体" w:eastAsia="宋体" w:cs="宋体"/>
          <w:bCs/>
          <w:kern w:val="0"/>
          <w:szCs w:val="24"/>
          <w:lang w:val="en-US" w:eastAsia="zh-CN"/>
        </w:rPr>
        <w:t>.1</w:t>
      </w:r>
      <w:r>
        <w:rPr>
          <w:rFonts w:hint="default" w:ascii="宋体" w:hAnsi="宋体" w:eastAsia="宋体" w:cs="宋体"/>
          <w:bCs/>
          <w:kern w:val="0"/>
          <w:szCs w:val="24"/>
        </w:rPr>
        <w:t xml:space="preserve"> 企业端数据采集与备案子系统</w:t>
      </w:r>
      <w:r>
        <w:tab/>
      </w:r>
      <w:r>
        <w:fldChar w:fldCharType="begin"/>
      </w:r>
      <w:r>
        <w:instrText xml:space="preserve"> PAGEREF _Toc217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2CAC937C">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_Toc16571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w:t>
      </w:r>
      <w:r>
        <w:rPr>
          <w:rFonts w:hint="eastAsia" w:ascii="宋体" w:hAnsi="宋体" w:eastAsia="宋体" w:cs="宋体"/>
          <w:bCs/>
          <w:kern w:val="0"/>
          <w:szCs w:val="24"/>
          <w:lang w:val="en-US" w:eastAsia="zh-CN"/>
        </w:rPr>
        <w:t>.2</w:t>
      </w:r>
      <w:r>
        <w:rPr>
          <w:rFonts w:hint="default" w:ascii="宋体" w:hAnsi="宋体" w:eastAsia="宋体" w:cs="宋体"/>
          <w:bCs/>
          <w:kern w:val="0"/>
          <w:szCs w:val="24"/>
        </w:rPr>
        <w:t xml:space="preserve"> 市级端数据审核与辖区调度子系统</w:t>
      </w:r>
      <w:r>
        <w:tab/>
      </w:r>
      <w:r>
        <w:fldChar w:fldCharType="begin"/>
      </w:r>
      <w:r>
        <w:instrText xml:space="preserve"> PAGEREF _Toc16571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5BDD25F">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_Toc6901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w:t>
      </w:r>
      <w:r>
        <w:rPr>
          <w:rFonts w:hint="eastAsia" w:ascii="宋体" w:hAnsi="宋体" w:eastAsia="宋体" w:cs="宋体"/>
          <w:bCs/>
          <w:kern w:val="0"/>
          <w:szCs w:val="24"/>
          <w:lang w:val="en-US" w:eastAsia="zh-CN"/>
        </w:rPr>
        <w:t>.3</w:t>
      </w:r>
      <w:r>
        <w:rPr>
          <w:rFonts w:hint="default" w:ascii="宋体" w:hAnsi="宋体" w:eastAsia="宋体" w:cs="宋体"/>
          <w:bCs/>
          <w:kern w:val="0"/>
          <w:szCs w:val="24"/>
        </w:rPr>
        <w:t xml:space="preserve"> 省级端数据管理与分析子系统</w:t>
      </w:r>
      <w:r>
        <w:tab/>
      </w:r>
      <w:r>
        <w:fldChar w:fldCharType="begin"/>
      </w:r>
      <w:r>
        <w:instrText xml:space="preserve"> PAGEREF _Toc6901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57437687">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_Toc18711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w:t>
      </w:r>
      <w:r>
        <w:rPr>
          <w:rFonts w:hint="eastAsia" w:ascii="宋体" w:hAnsi="宋体" w:eastAsia="宋体" w:cs="宋体"/>
          <w:bCs/>
          <w:kern w:val="0"/>
          <w:szCs w:val="24"/>
          <w:lang w:val="en-US" w:eastAsia="zh-CN"/>
        </w:rPr>
        <w:t>.4</w:t>
      </w:r>
      <w:r>
        <w:rPr>
          <w:rFonts w:hint="default" w:ascii="宋体" w:hAnsi="宋体" w:eastAsia="宋体" w:cs="宋体"/>
          <w:bCs/>
          <w:kern w:val="0"/>
          <w:szCs w:val="24"/>
        </w:rPr>
        <w:t xml:space="preserve"> 省级端系统管理与后台维护子系统</w:t>
      </w:r>
      <w:r>
        <w:tab/>
      </w:r>
      <w:r>
        <w:fldChar w:fldCharType="begin"/>
      </w:r>
      <w:r>
        <w:instrText xml:space="preserve"> PAGEREF _Toc18711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61FF7F0">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_Toc10481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lang w:val="en-US" w:eastAsia="zh-CN"/>
        </w:rPr>
        <w:t>2.1</w:t>
      </w:r>
      <w:r>
        <w:rPr>
          <w:rFonts w:hint="eastAsia" w:ascii="宋体" w:hAnsi="宋体" w:eastAsia="宋体" w:cs="宋体"/>
          <w:bCs/>
          <w:kern w:val="0"/>
          <w:szCs w:val="24"/>
          <w:lang w:val="en-US" w:eastAsia="zh-CN"/>
        </w:rPr>
        <w:t>.5</w:t>
      </w:r>
      <w:r>
        <w:rPr>
          <w:rFonts w:hint="default" w:ascii="宋体" w:hAnsi="宋体" w:eastAsia="宋体" w:cs="宋体"/>
          <w:bCs/>
          <w:kern w:val="0"/>
          <w:szCs w:val="24"/>
          <w:lang w:val="en-US" w:eastAsia="zh-CN"/>
        </w:rPr>
        <w:t xml:space="preserve"> 排除范围</w:t>
      </w:r>
      <w:r>
        <w:tab/>
      </w:r>
      <w:r>
        <w:fldChar w:fldCharType="begin"/>
      </w:r>
      <w:r>
        <w:instrText xml:space="preserve"> PAGEREF _Toc10481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EFA2797">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_Toc10391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2.2 主要交付物</w:t>
      </w:r>
      <w:r>
        <w:tab/>
      </w:r>
      <w:r>
        <w:fldChar w:fldCharType="begin"/>
      </w:r>
      <w:r>
        <w:instrText xml:space="preserve"> PAGEREF _Toc10391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6D593E77">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_Toc29240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2.3 工作分解结构（WBS）</w:t>
      </w:r>
      <w:r>
        <w:tab/>
      </w:r>
      <w:r>
        <w:fldChar w:fldCharType="begin"/>
      </w:r>
      <w:r>
        <w:instrText xml:space="preserve"> PAGEREF _Toc29240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59029E0A">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_Toc2311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2.4 范围验收标准</w:t>
      </w:r>
      <w:r>
        <w:tab/>
      </w:r>
      <w:r>
        <w:fldChar w:fldCharType="begin"/>
      </w:r>
      <w:r>
        <w:instrText xml:space="preserve"> PAGEREF _Toc2311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7746BB3D">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_Toc16692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3</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进度管理</w:t>
      </w:r>
      <w:r>
        <w:tab/>
      </w:r>
      <w:r>
        <w:fldChar w:fldCharType="begin"/>
      </w:r>
      <w:r>
        <w:instrText xml:space="preserve"> PAGEREF _Toc16692 \h </w:instrText>
      </w:r>
      <w:r>
        <w:fldChar w:fldCharType="separate"/>
      </w:r>
      <w:r>
        <w:t>8</w:t>
      </w:r>
      <w:r>
        <w:fldChar w:fldCharType="end"/>
      </w:r>
      <w:r>
        <w:rPr>
          <w:rFonts w:hint="eastAsia" w:ascii="宋体" w:hAnsi="宋体" w:eastAsia="宋体" w:cs="宋体"/>
          <w:bCs/>
          <w:color w:val="000000"/>
          <w:kern w:val="0"/>
          <w:szCs w:val="28"/>
          <w:lang w:val="en-US" w:eastAsia="zh-CN"/>
        </w:rPr>
        <w:fldChar w:fldCharType="end"/>
      </w:r>
    </w:p>
    <w:p w14:paraId="2F905BED">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_Toc23506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3.1 活动定义</w:t>
      </w:r>
      <w:r>
        <w:tab/>
      </w:r>
      <w:r>
        <w:fldChar w:fldCharType="begin"/>
      </w:r>
      <w:r>
        <w:instrText xml:space="preserve"> PAGEREF _Toc23506 \h </w:instrText>
      </w:r>
      <w:r>
        <w:fldChar w:fldCharType="separate"/>
      </w:r>
      <w:r>
        <w:t>8</w:t>
      </w:r>
      <w:r>
        <w:fldChar w:fldCharType="end"/>
      </w:r>
      <w:r>
        <w:rPr>
          <w:rFonts w:hint="eastAsia" w:ascii="宋体" w:hAnsi="宋体" w:eastAsia="宋体" w:cs="宋体"/>
          <w:bCs/>
          <w:color w:val="000000"/>
          <w:kern w:val="0"/>
          <w:szCs w:val="28"/>
          <w:lang w:val="en-US" w:eastAsia="zh-CN"/>
        </w:rPr>
        <w:fldChar w:fldCharType="end"/>
      </w:r>
    </w:p>
    <w:p w14:paraId="589B73F8">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_Toc22461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3.2 活动排序</w:t>
      </w:r>
      <w:r>
        <w:tab/>
      </w:r>
      <w:r>
        <w:fldChar w:fldCharType="begin"/>
      </w:r>
      <w:r>
        <w:instrText xml:space="preserve"> PAGEREF _Toc22461 \h </w:instrText>
      </w:r>
      <w:r>
        <w:fldChar w:fldCharType="separate"/>
      </w:r>
      <w:r>
        <w:t>9</w:t>
      </w:r>
      <w:r>
        <w:fldChar w:fldCharType="end"/>
      </w:r>
      <w:r>
        <w:rPr>
          <w:rFonts w:hint="eastAsia" w:ascii="宋体" w:hAnsi="宋体" w:eastAsia="宋体" w:cs="宋体"/>
          <w:bCs/>
          <w:color w:val="000000"/>
          <w:kern w:val="0"/>
          <w:szCs w:val="28"/>
          <w:lang w:val="en-US" w:eastAsia="zh-CN"/>
        </w:rPr>
        <w:fldChar w:fldCharType="end"/>
      </w:r>
    </w:p>
    <w:p w14:paraId="3B97CFD0">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_Toc283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3.3 活动历时估算</w:t>
      </w:r>
      <w:r>
        <w:tab/>
      </w:r>
      <w:r>
        <w:fldChar w:fldCharType="begin"/>
      </w:r>
      <w:r>
        <w:instrText xml:space="preserve"> PAGEREF _Toc283 \h </w:instrText>
      </w:r>
      <w:r>
        <w:fldChar w:fldCharType="separate"/>
      </w:r>
      <w:r>
        <w:t>10</w:t>
      </w:r>
      <w:r>
        <w:fldChar w:fldCharType="end"/>
      </w:r>
      <w:r>
        <w:rPr>
          <w:rFonts w:hint="eastAsia" w:ascii="宋体" w:hAnsi="宋体" w:eastAsia="宋体" w:cs="宋体"/>
          <w:bCs/>
          <w:color w:val="000000"/>
          <w:kern w:val="0"/>
          <w:szCs w:val="28"/>
          <w:lang w:val="en-US" w:eastAsia="zh-CN"/>
        </w:rPr>
        <w:fldChar w:fldCharType="end"/>
      </w:r>
    </w:p>
    <w:p w14:paraId="6F235765">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_Toc27727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3.4 制定进度计划</w:t>
      </w:r>
      <w:r>
        <w:tab/>
      </w:r>
      <w:r>
        <w:fldChar w:fldCharType="begin"/>
      </w:r>
      <w:r>
        <w:instrText xml:space="preserve"> PAGEREF _Toc27727 \h </w:instrText>
      </w:r>
      <w:r>
        <w:fldChar w:fldCharType="separate"/>
      </w:r>
      <w:r>
        <w:t>10</w:t>
      </w:r>
      <w:r>
        <w:fldChar w:fldCharType="end"/>
      </w:r>
      <w:r>
        <w:rPr>
          <w:rFonts w:hint="eastAsia" w:ascii="宋体" w:hAnsi="宋体" w:eastAsia="宋体" w:cs="宋体"/>
          <w:bCs/>
          <w:color w:val="000000"/>
          <w:kern w:val="0"/>
          <w:szCs w:val="28"/>
          <w:lang w:val="en-US" w:eastAsia="zh-CN"/>
        </w:rPr>
        <w:fldChar w:fldCharType="end"/>
      </w:r>
    </w:p>
    <w:p w14:paraId="0302CC07">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_Toc30899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3.5 里程碑清单</w:t>
      </w:r>
      <w:r>
        <w:tab/>
      </w:r>
      <w:r>
        <w:fldChar w:fldCharType="begin"/>
      </w:r>
      <w:r>
        <w:instrText xml:space="preserve"> PAGEREF _Toc30899 \h </w:instrText>
      </w:r>
      <w:r>
        <w:fldChar w:fldCharType="separate"/>
      </w:r>
      <w:r>
        <w:t>11</w:t>
      </w:r>
      <w:r>
        <w:fldChar w:fldCharType="end"/>
      </w:r>
      <w:r>
        <w:rPr>
          <w:rFonts w:hint="eastAsia" w:ascii="宋体" w:hAnsi="宋体" w:eastAsia="宋体" w:cs="宋体"/>
          <w:bCs/>
          <w:color w:val="000000"/>
          <w:kern w:val="0"/>
          <w:szCs w:val="28"/>
          <w:lang w:val="en-US" w:eastAsia="zh-CN"/>
        </w:rPr>
        <w:fldChar w:fldCharType="end"/>
      </w:r>
    </w:p>
    <w:p w14:paraId="0A5AC541">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_Toc7611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3.6 进度控制</w:t>
      </w:r>
      <w:r>
        <w:tab/>
      </w:r>
      <w:r>
        <w:fldChar w:fldCharType="begin"/>
      </w:r>
      <w:r>
        <w:instrText xml:space="preserve"> PAGEREF _Toc7611 \h </w:instrText>
      </w:r>
      <w:r>
        <w:fldChar w:fldCharType="separate"/>
      </w:r>
      <w:r>
        <w:t>11</w:t>
      </w:r>
      <w:r>
        <w:fldChar w:fldCharType="end"/>
      </w:r>
      <w:r>
        <w:rPr>
          <w:rFonts w:hint="eastAsia" w:ascii="宋体" w:hAnsi="宋体" w:eastAsia="宋体" w:cs="宋体"/>
          <w:bCs/>
          <w:color w:val="000000"/>
          <w:kern w:val="0"/>
          <w:szCs w:val="28"/>
          <w:lang w:val="en-US" w:eastAsia="zh-CN"/>
        </w:rPr>
        <w:fldChar w:fldCharType="end"/>
      </w:r>
    </w:p>
    <w:p w14:paraId="0127DB01">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_Toc29564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4. 成本管理</w:t>
      </w:r>
      <w:r>
        <w:tab/>
      </w:r>
      <w:r>
        <w:fldChar w:fldCharType="begin"/>
      </w:r>
      <w:r>
        <w:instrText xml:space="preserve"> PAGEREF _Toc29564 \h </w:instrText>
      </w:r>
      <w:r>
        <w:fldChar w:fldCharType="separate"/>
      </w:r>
      <w:r>
        <w:t>12</w:t>
      </w:r>
      <w:r>
        <w:fldChar w:fldCharType="end"/>
      </w:r>
      <w:r>
        <w:rPr>
          <w:rFonts w:hint="eastAsia" w:ascii="宋体" w:hAnsi="宋体" w:eastAsia="宋体" w:cs="宋体"/>
          <w:bCs/>
          <w:color w:val="000000"/>
          <w:kern w:val="0"/>
          <w:szCs w:val="28"/>
          <w:lang w:val="en-US" w:eastAsia="zh-CN"/>
        </w:rPr>
        <w:fldChar w:fldCharType="end"/>
      </w:r>
    </w:p>
    <w:p w14:paraId="4DC8B8C0">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_Toc31068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4.1 成本构成</w:t>
      </w:r>
      <w:r>
        <w:tab/>
      </w:r>
      <w:r>
        <w:fldChar w:fldCharType="begin"/>
      </w:r>
      <w:r>
        <w:instrText xml:space="preserve"> PAGEREF _Toc31068 \h </w:instrText>
      </w:r>
      <w:r>
        <w:fldChar w:fldCharType="separate"/>
      </w:r>
      <w:r>
        <w:t>12</w:t>
      </w:r>
      <w:r>
        <w:fldChar w:fldCharType="end"/>
      </w:r>
      <w:r>
        <w:rPr>
          <w:rFonts w:hint="eastAsia" w:ascii="宋体" w:hAnsi="宋体" w:eastAsia="宋体" w:cs="宋体"/>
          <w:bCs/>
          <w:color w:val="000000"/>
          <w:kern w:val="0"/>
          <w:szCs w:val="28"/>
          <w:lang w:val="en-US" w:eastAsia="zh-CN"/>
        </w:rPr>
        <w:fldChar w:fldCharType="end"/>
      </w:r>
    </w:p>
    <w:p w14:paraId="0152A6C2">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_Toc4420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4.2 成本估算方法</w:t>
      </w:r>
      <w:r>
        <w:tab/>
      </w:r>
      <w:r>
        <w:fldChar w:fldCharType="begin"/>
      </w:r>
      <w:r>
        <w:instrText xml:space="preserve"> PAGEREF _Toc4420 \h </w:instrText>
      </w:r>
      <w:r>
        <w:fldChar w:fldCharType="separate"/>
      </w:r>
      <w:r>
        <w:t>12</w:t>
      </w:r>
      <w:r>
        <w:fldChar w:fldCharType="end"/>
      </w:r>
      <w:r>
        <w:rPr>
          <w:rFonts w:hint="eastAsia" w:ascii="宋体" w:hAnsi="宋体" w:eastAsia="宋体" w:cs="宋体"/>
          <w:bCs/>
          <w:color w:val="000000"/>
          <w:kern w:val="0"/>
          <w:szCs w:val="28"/>
          <w:lang w:val="en-US" w:eastAsia="zh-CN"/>
        </w:rPr>
        <w:fldChar w:fldCharType="end"/>
      </w:r>
    </w:p>
    <w:p w14:paraId="576C6F4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_Toc20519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4.3 成本预算</w:t>
      </w:r>
      <w:r>
        <w:tab/>
      </w:r>
      <w:r>
        <w:fldChar w:fldCharType="begin"/>
      </w:r>
      <w:r>
        <w:instrText xml:space="preserve"> PAGEREF _Toc20519 \h </w:instrText>
      </w:r>
      <w:r>
        <w:fldChar w:fldCharType="separate"/>
      </w:r>
      <w:r>
        <w:t>13</w:t>
      </w:r>
      <w:r>
        <w:fldChar w:fldCharType="end"/>
      </w:r>
      <w:r>
        <w:rPr>
          <w:rFonts w:hint="eastAsia" w:ascii="宋体" w:hAnsi="宋体" w:eastAsia="宋体" w:cs="宋体"/>
          <w:bCs/>
          <w:color w:val="000000"/>
          <w:kern w:val="0"/>
          <w:szCs w:val="28"/>
          <w:lang w:val="en-US" w:eastAsia="zh-CN"/>
        </w:rPr>
        <w:fldChar w:fldCharType="end"/>
      </w:r>
    </w:p>
    <w:p w14:paraId="2048B257">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_Toc13852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4.4 成本控制</w:t>
      </w:r>
      <w:r>
        <w:tab/>
      </w:r>
      <w:r>
        <w:fldChar w:fldCharType="begin"/>
      </w:r>
      <w:r>
        <w:instrText xml:space="preserve"> PAGEREF _Toc13852 \h </w:instrText>
      </w:r>
      <w:r>
        <w:fldChar w:fldCharType="separate"/>
      </w:r>
      <w:r>
        <w:t>13</w:t>
      </w:r>
      <w:r>
        <w:fldChar w:fldCharType="end"/>
      </w:r>
      <w:r>
        <w:rPr>
          <w:rFonts w:hint="eastAsia" w:ascii="宋体" w:hAnsi="宋体" w:eastAsia="宋体" w:cs="宋体"/>
          <w:bCs/>
          <w:color w:val="000000"/>
          <w:kern w:val="0"/>
          <w:szCs w:val="28"/>
          <w:lang w:val="en-US" w:eastAsia="zh-CN"/>
        </w:rPr>
        <w:fldChar w:fldCharType="end"/>
      </w:r>
    </w:p>
    <w:p w14:paraId="72892CB6">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_Toc14606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5</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质量管理</w:t>
      </w:r>
      <w:r>
        <w:tab/>
      </w:r>
      <w:r>
        <w:fldChar w:fldCharType="begin"/>
      </w:r>
      <w:r>
        <w:instrText xml:space="preserve"> PAGEREF _Toc14606 \h </w:instrText>
      </w:r>
      <w:r>
        <w:fldChar w:fldCharType="separate"/>
      </w:r>
      <w:r>
        <w:t>14</w:t>
      </w:r>
      <w:r>
        <w:fldChar w:fldCharType="end"/>
      </w:r>
      <w:r>
        <w:rPr>
          <w:rFonts w:hint="eastAsia" w:ascii="宋体" w:hAnsi="宋体" w:eastAsia="宋体" w:cs="宋体"/>
          <w:bCs/>
          <w:color w:val="000000"/>
          <w:kern w:val="0"/>
          <w:szCs w:val="28"/>
          <w:lang w:val="en-US" w:eastAsia="zh-CN"/>
        </w:rPr>
        <w:fldChar w:fldCharType="end"/>
      </w:r>
    </w:p>
    <w:p w14:paraId="7B3E9E78">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_Toc31667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5.1 质量目标</w:t>
      </w:r>
      <w:r>
        <w:tab/>
      </w:r>
      <w:r>
        <w:fldChar w:fldCharType="begin"/>
      </w:r>
      <w:r>
        <w:instrText xml:space="preserve"> PAGEREF _Toc31667 \h </w:instrText>
      </w:r>
      <w:r>
        <w:fldChar w:fldCharType="separate"/>
      </w:r>
      <w:r>
        <w:t>14</w:t>
      </w:r>
      <w:r>
        <w:fldChar w:fldCharType="end"/>
      </w:r>
      <w:r>
        <w:rPr>
          <w:rFonts w:hint="eastAsia" w:ascii="宋体" w:hAnsi="宋体" w:eastAsia="宋体" w:cs="宋体"/>
          <w:bCs/>
          <w:color w:val="000000"/>
          <w:kern w:val="0"/>
          <w:szCs w:val="28"/>
          <w:lang w:val="en-US" w:eastAsia="zh-CN"/>
        </w:rPr>
        <w:fldChar w:fldCharType="end"/>
      </w:r>
    </w:p>
    <w:p w14:paraId="701C558E">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_Toc21381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5.2 质量计划内容</w:t>
      </w:r>
      <w:r>
        <w:tab/>
      </w:r>
      <w:r>
        <w:fldChar w:fldCharType="begin"/>
      </w:r>
      <w:r>
        <w:instrText xml:space="preserve"> PAGEREF _Toc21381 \h </w:instrText>
      </w:r>
      <w:r>
        <w:fldChar w:fldCharType="separate"/>
      </w:r>
      <w:r>
        <w:t>14</w:t>
      </w:r>
      <w:r>
        <w:fldChar w:fldCharType="end"/>
      </w:r>
      <w:r>
        <w:rPr>
          <w:rFonts w:hint="eastAsia" w:ascii="宋体" w:hAnsi="宋体" w:eastAsia="宋体" w:cs="宋体"/>
          <w:bCs/>
          <w:color w:val="000000"/>
          <w:kern w:val="0"/>
          <w:szCs w:val="28"/>
          <w:lang w:val="en-US" w:eastAsia="zh-CN"/>
        </w:rPr>
        <w:fldChar w:fldCharType="end"/>
      </w:r>
    </w:p>
    <w:p w14:paraId="318A131A">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_Toc9791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5.3 质量保证</w:t>
      </w:r>
      <w:r>
        <w:tab/>
      </w:r>
      <w:r>
        <w:fldChar w:fldCharType="begin"/>
      </w:r>
      <w:r>
        <w:instrText xml:space="preserve"> PAGEREF _Toc9791 \h </w:instrText>
      </w:r>
      <w:r>
        <w:fldChar w:fldCharType="separate"/>
      </w:r>
      <w:r>
        <w:t>15</w:t>
      </w:r>
      <w:r>
        <w:fldChar w:fldCharType="end"/>
      </w:r>
      <w:r>
        <w:rPr>
          <w:rFonts w:hint="eastAsia" w:ascii="宋体" w:hAnsi="宋体" w:eastAsia="宋体" w:cs="宋体"/>
          <w:bCs/>
          <w:color w:val="000000"/>
          <w:kern w:val="0"/>
          <w:szCs w:val="28"/>
          <w:lang w:val="en-US" w:eastAsia="zh-CN"/>
        </w:rPr>
        <w:fldChar w:fldCharType="end"/>
      </w:r>
    </w:p>
    <w:p w14:paraId="4D8D1640">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_Toc13103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5.4 质量控制</w:t>
      </w:r>
      <w:r>
        <w:tab/>
      </w:r>
      <w:r>
        <w:fldChar w:fldCharType="begin"/>
      </w:r>
      <w:r>
        <w:instrText xml:space="preserve"> PAGEREF _Toc13103 \h </w:instrText>
      </w:r>
      <w:r>
        <w:fldChar w:fldCharType="separate"/>
      </w:r>
      <w:r>
        <w:t>15</w:t>
      </w:r>
      <w:r>
        <w:fldChar w:fldCharType="end"/>
      </w:r>
      <w:r>
        <w:rPr>
          <w:rFonts w:hint="eastAsia" w:ascii="宋体" w:hAnsi="宋体" w:eastAsia="宋体" w:cs="宋体"/>
          <w:bCs/>
          <w:color w:val="000000"/>
          <w:kern w:val="0"/>
          <w:szCs w:val="28"/>
          <w:lang w:val="en-US" w:eastAsia="zh-CN"/>
        </w:rPr>
        <w:fldChar w:fldCharType="end"/>
      </w:r>
    </w:p>
    <w:p w14:paraId="03E208C5">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_Toc504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5.5 质量成本</w:t>
      </w:r>
      <w:r>
        <w:tab/>
      </w:r>
      <w:r>
        <w:fldChar w:fldCharType="begin"/>
      </w:r>
      <w:r>
        <w:instrText xml:space="preserve"> PAGEREF _Toc504 \h </w:instrText>
      </w:r>
      <w:r>
        <w:fldChar w:fldCharType="separate"/>
      </w:r>
      <w:r>
        <w:t>16</w:t>
      </w:r>
      <w:r>
        <w:fldChar w:fldCharType="end"/>
      </w:r>
      <w:r>
        <w:rPr>
          <w:rFonts w:hint="eastAsia" w:ascii="宋体" w:hAnsi="宋体" w:eastAsia="宋体" w:cs="宋体"/>
          <w:bCs/>
          <w:color w:val="000000"/>
          <w:kern w:val="0"/>
          <w:szCs w:val="28"/>
          <w:lang w:val="en-US" w:eastAsia="zh-CN"/>
        </w:rPr>
        <w:fldChar w:fldCharType="end"/>
      </w:r>
    </w:p>
    <w:p w14:paraId="63E2DF7A">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_Toc26111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6</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人力资源管理</w:t>
      </w:r>
      <w:r>
        <w:tab/>
      </w:r>
      <w:r>
        <w:fldChar w:fldCharType="begin"/>
      </w:r>
      <w:r>
        <w:instrText xml:space="preserve"> PAGEREF _Toc26111 \h </w:instrText>
      </w:r>
      <w:r>
        <w:fldChar w:fldCharType="separate"/>
      </w:r>
      <w:r>
        <w:t>16</w:t>
      </w:r>
      <w:r>
        <w:fldChar w:fldCharType="end"/>
      </w:r>
      <w:r>
        <w:rPr>
          <w:rFonts w:hint="eastAsia" w:ascii="宋体" w:hAnsi="宋体" w:eastAsia="宋体" w:cs="宋体"/>
          <w:bCs/>
          <w:color w:val="000000"/>
          <w:kern w:val="0"/>
          <w:szCs w:val="28"/>
          <w:lang w:val="en-US" w:eastAsia="zh-CN"/>
        </w:rPr>
        <w:fldChar w:fldCharType="end"/>
      </w:r>
    </w:p>
    <w:p w14:paraId="675E4EE2">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_Toc30009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6.1 项目角色与职责</w:t>
      </w:r>
      <w:r>
        <w:tab/>
      </w:r>
      <w:r>
        <w:fldChar w:fldCharType="begin"/>
      </w:r>
      <w:r>
        <w:instrText xml:space="preserve"> PAGEREF _Toc30009 \h </w:instrText>
      </w:r>
      <w:r>
        <w:fldChar w:fldCharType="separate"/>
      </w:r>
      <w:r>
        <w:t>16</w:t>
      </w:r>
      <w:r>
        <w:fldChar w:fldCharType="end"/>
      </w:r>
      <w:r>
        <w:rPr>
          <w:rFonts w:hint="eastAsia" w:ascii="宋体" w:hAnsi="宋体" w:eastAsia="宋体" w:cs="宋体"/>
          <w:bCs/>
          <w:color w:val="000000"/>
          <w:kern w:val="0"/>
          <w:szCs w:val="28"/>
          <w:lang w:val="en-US" w:eastAsia="zh-CN"/>
        </w:rPr>
        <w:fldChar w:fldCharType="end"/>
      </w:r>
    </w:p>
    <w:p w14:paraId="3E0B1556">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_Toc20557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6.2 人员配备计划</w:t>
      </w:r>
      <w:r>
        <w:tab/>
      </w:r>
      <w:r>
        <w:fldChar w:fldCharType="begin"/>
      </w:r>
      <w:r>
        <w:instrText xml:space="preserve"> PAGEREF _Toc20557 \h </w:instrText>
      </w:r>
      <w:r>
        <w:fldChar w:fldCharType="separate"/>
      </w:r>
      <w:r>
        <w:t>17</w:t>
      </w:r>
      <w:r>
        <w:fldChar w:fldCharType="end"/>
      </w:r>
      <w:r>
        <w:rPr>
          <w:rFonts w:hint="eastAsia" w:ascii="宋体" w:hAnsi="宋体" w:eastAsia="宋体" w:cs="宋体"/>
          <w:bCs/>
          <w:color w:val="000000"/>
          <w:kern w:val="0"/>
          <w:szCs w:val="28"/>
          <w:lang w:val="en-US" w:eastAsia="zh-CN"/>
        </w:rPr>
        <w:fldChar w:fldCharType="end"/>
      </w:r>
    </w:p>
    <w:p w14:paraId="2591A39F">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_Toc13496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6.3 培训计划</w:t>
      </w:r>
      <w:r>
        <w:tab/>
      </w:r>
      <w:r>
        <w:fldChar w:fldCharType="begin"/>
      </w:r>
      <w:r>
        <w:instrText xml:space="preserve"> PAGEREF _Toc13496 \h </w:instrText>
      </w:r>
      <w:r>
        <w:fldChar w:fldCharType="separate"/>
      </w:r>
      <w:r>
        <w:t>18</w:t>
      </w:r>
      <w:r>
        <w:fldChar w:fldCharType="end"/>
      </w:r>
      <w:r>
        <w:rPr>
          <w:rFonts w:hint="eastAsia" w:ascii="宋体" w:hAnsi="宋体" w:eastAsia="宋体" w:cs="宋体"/>
          <w:bCs/>
          <w:color w:val="000000"/>
          <w:kern w:val="0"/>
          <w:szCs w:val="28"/>
          <w:lang w:val="en-US" w:eastAsia="zh-CN"/>
        </w:rPr>
        <w:fldChar w:fldCharType="end"/>
      </w:r>
    </w:p>
    <w:p w14:paraId="6735DAC1">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_Toc14004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7</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风险管理</w:t>
      </w:r>
      <w:r>
        <w:tab/>
      </w:r>
      <w:r>
        <w:fldChar w:fldCharType="begin"/>
      </w:r>
      <w:r>
        <w:instrText xml:space="preserve"> PAGEREF _Toc14004 \h </w:instrText>
      </w:r>
      <w:r>
        <w:fldChar w:fldCharType="separate"/>
      </w:r>
      <w:r>
        <w:t>18</w:t>
      </w:r>
      <w:r>
        <w:fldChar w:fldCharType="end"/>
      </w:r>
      <w:r>
        <w:rPr>
          <w:rFonts w:hint="eastAsia" w:ascii="宋体" w:hAnsi="宋体" w:eastAsia="宋体" w:cs="宋体"/>
          <w:bCs/>
          <w:color w:val="000000"/>
          <w:kern w:val="0"/>
          <w:szCs w:val="28"/>
          <w:lang w:val="en-US" w:eastAsia="zh-CN"/>
        </w:rPr>
        <w:fldChar w:fldCharType="end"/>
      </w:r>
    </w:p>
    <w:p w14:paraId="1A8B5ABA">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_Toc12921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7.1 风险识别</w:t>
      </w:r>
      <w:r>
        <w:tab/>
      </w:r>
      <w:r>
        <w:fldChar w:fldCharType="begin"/>
      </w:r>
      <w:r>
        <w:instrText xml:space="preserve"> PAGEREF _Toc12921 \h </w:instrText>
      </w:r>
      <w:r>
        <w:fldChar w:fldCharType="separate"/>
      </w:r>
      <w:r>
        <w:t>18</w:t>
      </w:r>
      <w:r>
        <w:fldChar w:fldCharType="end"/>
      </w:r>
      <w:r>
        <w:rPr>
          <w:rFonts w:hint="eastAsia" w:ascii="宋体" w:hAnsi="宋体" w:eastAsia="宋体" w:cs="宋体"/>
          <w:bCs/>
          <w:color w:val="000000"/>
          <w:kern w:val="0"/>
          <w:szCs w:val="28"/>
          <w:lang w:val="en-US" w:eastAsia="zh-CN"/>
        </w:rPr>
        <w:fldChar w:fldCharType="end"/>
      </w:r>
    </w:p>
    <w:p w14:paraId="69512191">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_Toc19376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highlight w:val="none"/>
        </w:rPr>
        <w:t>7.2 风险分析</w:t>
      </w:r>
      <w:r>
        <w:tab/>
      </w:r>
      <w:r>
        <w:fldChar w:fldCharType="begin"/>
      </w:r>
      <w:r>
        <w:instrText xml:space="preserve"> PAGEREF _Toc19376 \h </w:instrText>
      </w:r>
      <w:r>
        <w:fldChar w:fldCharType="separate"/>
      </w:r>
      <w:r>
        <w:t>19</w:t>
      </w:r>
      <w:r>
        <w:fldChar w:fldCharType="end"/>
      </w:r>
      <w:r>
        <w:rPr>
          <w:rFonts w:hint="eastAsia" w:ascii="宋体" w:hAnsi="宋体" w:eastAsia="宋体" w:cs="宋体"/>
          <w:bCs/>
          <w:color w:val="000000"/>
          <w:kern w:val="0"/>
          <w:szCs w:val="28"/>
          <w:lang w:val="en-US" w:eastAsia="zh-CN"/>
        </w:rPr>
        <w:fldChar w:fldCharType="end"/>
      </w:r>
    </w:p>
    <w:p w14:paraId="1D283339">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_Toc25961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7.3 风险应对计划</w:t>
      </w:r>
      <w:r>
        <w:tab/>
      </w:r>
      <w:r>
        <w:fldChar w:fldCharType="begin"/>
      </w:r>
      <w:r>
        <w:instrText xml:space="preserve"> PAGEREF _Toc25961 \h </w:instrText>
      </w:r>
      <w:r>
        <w:fldChar w:fldCharType="separate"/>
      </w:r>
      <w:r>
        <w:t>19</w:t>
      </w:r>
      <w:r>
        <w:fldChar w:fldCharType="end"/>
      </w:r>
      <w:r>
        <w:rPr>
          <w:rFonts w:hint="eastAsia" w:ascii="宋体" w:hAnsi="宋体" w:eastAsia="宋体" w:cs="宋体"/>
          <w:bCs/>
          <w:color w:val="000000"/>
          <w:kern w:val="0"/>
          <w:szCs w:val="28"/>
          <w:lang w:val="en-US" w:eastAsia="zh-CN"/>
        </w:rPr>
        <w:fldChar w:fldCharType="end"/>
      </w:r>
    </w:p>
    <w:p w14:paraId="35AD748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_Toc1874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7.4 风险跟踪表</w:t>
      </w:r>
      <w:r>
        <w:tab/>
      </w:r>
      <w:r>
        <w:fldChar w:fldCharType="begin"/>
      </w:r>
      <w:r>
        <w:instrText xml:space="preserve"> PAGEREF _Toc1874 \h </w:instrText>
      </w:r>
      <w:r>
        <w:fldChar w:fldCharType="separate"/>
      </w:r>
      <w:r>
        <w:t>20</w:t>
      </w:r>
      <w:r>
        <w:fldChar w:fldCharType="end"/>
      </w:r>
      <w:r>
        <w:rPr>
          <w:rFonts w:hint="eastAsia" w:ascii="宋体" w:hAnsi="宋体" w:eastAsia="宋体" w:cs="宋体"/>
          <w:bCs/>
          <w:color w:val="000000"/>
          <w:kern w:val="0"/>
          <w:szCs w:val="28"/>
          <w:lang w:val="en-US" w:eastAsia="zh-CN"/>
        </w:rPr>
        <w:fldChar w:fldCharType="end"/>
      </w:r>
    </w:p>
    <w:p w14:paraId="3BAB0EC8">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_Toc14022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8</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沟通管理</w:t>
      </w:r>
      <w:r>
        <w:tab/>
      </w:r>
      <w:r>
        <w:fldChar w:fldCharType="begin"/>
      </w:r>
      <w:r>
        <w:instrText xml:space="preserve"> PAGEREF _Toc14022 \h </w:instrText>
      </w:r>
      <w:r>
        <w:fldChar w:fldCharType="separate"/>
      </w:r>
      <w:r>
        <w:t>21</w:t>
      </w:r>
      <w:r>
        <w:fldChar w:fldCharType="end"/>
      </w:r>
      <w:r>
        <w:rPr>
          <w:rFonts w:hint="eastAsia" w:ascii="宋体" w:hAnsi="宋体" w:eastAsia="宋体" w:cs="宋体"/>
          <w:bCs/>
          <w:color w:val="000000"/>
          <w:kern w:val="0"/>
          <w:szCs w:val="28"/>
          <w:lang w:val="en-US" w:eastAsia="zh-CN"/>
        </w:rPr>
        <w:fldChar w:fldCharType="end"/>
      </w:r>
    </w:p>
    <w:p w14:paraId="1F00D588">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_Toc399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8.1 干系人识别</w:t>
      </w:r>
      <w:r>
        <w:tab/>
      </w:r>
      <w:r>
        <w:fldChar w:fldCharType="begin"/>
      </w:r>
      <w:r>
        <w:instrText xml:space="preserve"> PAGEREF _Toc399 \h </w:instrText>
      </w:r>
      <w:r>
        <w:fldChar w:fldCharType="separate"/>
      </w:r>
      <w:r>
        <w:t>22</w:t>
      </w:r>
      <w:r>
        <w:fldChar w:fldCharType="end"/>
      </w:r>
      <w:r>
        <w:rPr>
          <w:rFonts w:hint="eastAsia" w:ascii="宋体" w:hAnsi="宋体" w:eastAsia="宋体" w:cs="宋体"/>
          <w:bCs/>
          <w:color w:val="000000"/>
          <w:kern w:val="0"/>
          <w:szCs w:val="28"/>
          <w:lang w:val="en-US" w:eastAsia="zh-CN"/>
        </w:rPr>
        <w:fldChar w:fldCharType="end"/>
      </w:r>
    </w:p>
    <w:p w14:paraId="57DE4609">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_Toc3000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8.2 沟通方式与频率</w:t>
      </w:r>
      <w:r>
        <w:tab/>
      </w:r>
      <w:r>
        <w:fldChar w:fldCharType="begin"/>
      </w:r>
      <w:r>
        <w:instrText xml:space="preserve"> PAGEREF _Toc3000 \h </w:instrText>
      </w:r>
      <w:r>
        <w:fldChar w:fldCharType="separate"/>
      </w:r>
      <w:r>
        <w:t>22</w:t>
      </w:r>
      <w:r>
        <w:fldChar w:fldCharType="end"/>
      </w:r>
      <w:r>
        <w:rPr>
          <w:rFonts w:hint="eastAsia" w:ascii="宋体" w:hAnsi="宋体" w:eastAsia="宋体" w:cs="宋体"/>
          <w:bCs/>
          <w:color w:val="000000"/>
          <w:kern w:val="0"/>
          <w:szCs w:val="28"/>
          <w:lang w:val="en-US" w:eastAsia="zh-CN"/>
        </w:rPr>
        <w:fldChar w:fldCharType="end"/>
      </w:r>
    </w:p>
    <w:p w14:paraId="5F366AAC">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_Toc3047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8.3 文档管理</w:t>
      </w:r>
      <w:r>
        <w:tab/>
      </w:r>
      <w:r>
        <w:fldChar w:fldCharType="begin"/>
      </w:r>
      <w:r>
        <w:instrText xml:space="preserve"> PAGEREF _Toc3047 \h </w:instrText>
      </w:r>
      <w:r>
        <w:fldChar w:fldCharType="separate"/>
      </w:r>
      <w:r>
        <w:t>22</w:t>
      </w:r>
      <w:r>
        <w:fldChar w:fldCharType="end"/>
      </w:r>
      <w:r>
        <w:rPr>
          <w:rFonts w:hint="eastAsia" w:ascii="宋体" w:hAnsi="宋体" w:eastAsia="宋体" w:cs="宋体"/>
          <w:bCs/>
          <w:color w:val="000000"/>
          <w:kern w:val="0"/>
          <w:szCs w:val="28"/>
          <w:lang w:val="en-US" w:eastAsia="zh-CN"/>
        </w:rPr>
        <w:fldChar w:fldCharType="end"/>
      </w:r>
    </w:p>
    <w:p w14:paraId="0C8688FA">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_Toc21705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9</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配置管理</w:t>
      </w:r>
      <w:r>
        <w:tab/>
      </w:r>
      <w:r>
        <w:fldChar w:fldCharType="begin"/>
      </w:r>
      <w:r>
        <w:instrText xml:space="preserve"> PAGEREF _Toc21705 \h </w:instrText>
      </w:r>
      <w:r>
        <w:fldChar w:fldCharType="separate"/>
      </w:r>
      <w:r>
        <w:t>23</w:t>
      </w:r>
      <w:r>
        <w:fldChar w:fldCharType="end"/>
      </w:r>
      <w:r>
        <w:rPr>
          <w:rFonts w:hint="eastAsia" w:ascii="宋体" w:hAnsi="宋体" w:eastAsia="宋体" w:cs="宋体"/>
          <w:bCs/>
          <w:color w:val="000000"/>
          <w:kern w:val="0"/>
          <w:szCs w:val="28"/>
          <w:lang w:val="en-US" w:eastAsia="zh-CN"/>
        </w:rPr>
        <w:fldChar w:fldCharType="end"/>
      </w:r>
    </w:p>
    <w:p w14:paraId="69238A85">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_Toc28035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9.1 配置项识别</w:t>
      </w:r>
      <w:r>
        <w:tab/>
      </w:r>
      <w:r>
        <w:fldChar w:fldCharType="begin"/>
      </w:r>
      <w:r>
        <w:instrText xml:space="preserve"> PAGEREF _Toc28035 \h </w:instrText>
      </w:r>
      <w:r>
        <w:fldChar w:fldCharType="separate"/>
      </w:r>
      <w:r>
        <w:t>23</w:t>
      </w:r>
      <w:r>
        <w:fldChar w:fldCharType="end"/>
      </w:r>
      <w:r>
        <w:rPr>
          <w:rFonts w:hint="eastAsia" w:ascii="宋体" w:hAnsi="宋体" w:eastAsia="宋体" w:cs="宋体"/>
          <w:bCs/>
          <w:color w:val="000000"/>
          <w:kern w:val="0"/>
          <w:szCs w:val="28"/>
          <w:lang w:val="en-US" w:eastAsia="zh-CN"/>
        </w:rPr>
        <w:fldChar w:fldCharType="end"/>
      </w:r>
    </w:p>
    <w:p w14:paraId="047CC26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_Toc6695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9.2 基线与变更控制</w:t>
      </w:r>
      <w:r>
        <w:tab/>
      </w:r>
      <w:r>
        <w:fldChar w:fldCharType="begin"/>
      </w:r>
      <w:r>
        <w:instrText xml:space="preserve"> PAGEREF _Toc6695 \h </w:instrText>
      </w:r>
      <w:r>
        <w:fldChar w:fldCharType="separate"/>
      </w:r>
      <w:r>
        <w:t>23</w:t>
      </w:r>
      <w:r>
        <w:fldChar w:fldCharType="end"/>
      </w:r>
      <w:r>
        <w:rPr>
          <w:rFonts w:hint="eastAsia" w:ascii="宋体" w:hAnsi="宋体" w:eastAsia="宋体" w:cs="宋体"/>
          <w:bCs/>
          <w:color w:val="000000"/>
          <w:kern w:val="0"/>
          <w:szCs w:val="28"/>
          <w:lang w:val="en-US" w:eastAsia="zh-CN"/>
        </w:rPr>
        <w:fldChar w:fldCharType="end"/>
      </w:r>
    </w:p>
    <w:p w14:paraId="10CC7C8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_Toc31988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9.3 变更控制流程</w:t>
      </w:r>
      <w:r>
        <w:tab/>
      </w:r>
      <w:r>
        <w:fldChar w:fldCharType="begin"/>
      </w:r>
      <w:r>
        <w:instrText xml:space="preserve"> PAGEREF _Toc31988 \h </w:instrText>
      </w:r>
      <w:r>
        <w:fldChar w:fldCharType="separate"/>
      </w:r>
      <w:r>
        <w:t>23</w:t>
      </w:r>
      <w:r>
        <w:fldChar w:fldCharType="end"/>
      </w:r>
      <w:r>
        <w:rPr>
          <w:rFonts w:hint="eastAsia" w:ascii="宋体" w:hAnsi="宋体" w:eastAsia="宋体" w:cs="宋体"/>
          <w:bCs/>
          <w:color w:val="000000"/>
          <w:kern w:val="0"/>
          <w:szCs w:val="28"/>
          <w:lang w:val="en-US" w:eastAsia="zh-CN"/>
        </w:rPr>
        <w:fldChar w:fldCharType="end"/>
      </w:r>
    </w:p>
    <w:p w14:paraId="547E7A1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_Toc29388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9.4 版本控制工具</w:t>
      </w:r>
      <w:r>
        <w:tab/>
      </w:r>
      <w:r>
        <w:fldChar w:fldCharType="begin"/>
      </w:r>
      <w:r>
        <w:instrText xml:space="preserve"> PAGEREF _Toc29388 \h </w:instrText>
      </w:r>
      <w:r>
        <w:fldChar w:fldCharType="separate"/>
      </w:r>
      <w:r>
        <w:t>24</w:t>
      </w:r>
      <w:r>
        <w:fldChar w:fldCharType="end"/>
      </w:r>
      <w:r>
        <w:rPr>
          <w:rFonts w:hint="eastAsia" w:ascii="宋体" w:hAnsi="宋体" w:eastAsia="宋体" w:cs="宋体"/>
          <w:bCs/>
          <w:color w:val="000000"/>
          <w:kern w:val="0"/>
          <w:szCs w:val="28"/>
          <w:lang w:val="en-US" w:eastAsia="zh-CN"/>
        </w:rPr>
        <w:fldChar w:fldCharType="end"/>
      </w:r>
    </w:p>
    <w:p w14:paraId="0B328A73">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_Toc27963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9.5 配置状态报告与配置审计</w:t>
      </w:r>
      <w:r>
        <w:tab/>
      </w:r>
      <w:r>
        <w:fldChar w:fldCharType="begin"/>
      </w:r>
      <w:r>
        <w:instrText xml:space="preserve"> PAGEREF _Toc27963 \h </w:instrText>
      </w:r>
      <w:r>
        <w:fldChar w:fldCharType="separate"/>
      </w:r>
      <w:r>
        <w:t>24</w:t>
      </w:r>
      <w:r>
        <w:fldChar w:fldCharType="end"/>
      </w:r>
      <w:r>
        <w:rPr>
          <w:rFonts w:hint="eastAsia" w:ascii="宋体" w:hAnsi="宋体" w:eastAsia="宋体" w:cs="宋体"/>
          <w:bCs/>
          <w:color w:val="000000"/>
          <w:kern w:val="0"/>
          <w:szCs w:val="28"/>
          <w:lang w:val="en-US" w:eastAsia="zh-CN"/>
        </w:rPr>
        <w:fldChar w:fldCharType="end"/>
      </w:r>
    </w:p>
    <w:p w14:paraId="3633766D">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_Toc1531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10</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需求变更管理</w:t>
      </w:r>
      <w:r>
        <w:tab/>
      </w:r>
      <w:r>
        <w:fldChar w:fldCharType="begin"/>
      </w:r>
      <w:r>
        <w:instrText xml:space="preserve"> PAGEREF _Toc1531 \h </w:instrText>
      </w:r>
      <w:r>
        <w:fldChar w:fldCharType="separate"/>
      </w:r>
      <w:r>
        <w:t>25</w:t>
      </w:r>
      <w:r>
        <w:fldChar w:fldCharType="end"/>
      </w:r>
      <w:r>
        <w:rPr>
          <w:rFonts w:hint="eastAsia" w:ascii="宋体" w:hAnsi="宋体" w:eastAsia="宋体" w:cs="宋体"/>
          <w:bCs/>
          <w:color w:val="000000"/>
          <w:kern w:val="0"/>
          <w:szCs w:val="28"/>
          <w:lang w:val="en-US" w:eastAsia="zh-CN"/>
        </w:rPr>
        <w:fldChar w:fldCharType="end"/>
      </w:r>
    </w:p>
    <w:p w14:paraId="2983748F">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_Toc4036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10.1 基线定义</w:t>
      </w:r>
      <w:r>
        <w:tab/>
      </w:r>
      <w:r>
        <w:fldChar w:fldCharType="begin"/>
      </w:r>
      <w:r>
        <w:instrText xml:space="preserve"> PAGEREF _Toc4036 \h </w:instrText>
      </w:r>
      <w:r>
        <w:fldChar w:fldCharType="separate"/>
      </w:r>
      <w:r>
        <w:t>25</w:t>
      </w:r>
      <w:r>
        <w:fldChar w:fldCharType="end"/>
      </w:r>
      <w:r>
        <w:rPr>
          <w:rFonts w:hint="eastAsia" w:ascii="宋体" w:hAnsi="宋体" w:eastAsia="宋体" w:cs="宋体"/>
          <w:bCs/>
          <w:color w:val="000000"/>
          <w:kern w:val="0"/>
          <w:szCs w:val="28"/>
          <w:lang w:val="en-US" w:eastAsia="zh-CN"/>
        </w:rPr>
        <w:fldChar w:fldCharType="end"/>
      </w:r>
    </w:p>
    <w:p w14:paraId="12DF319A">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_Toc29121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highlight w:val="none"/>
        </w:rPr>
        <w:t>10.2 变更请求模板</w:t>
      </w:r>
      <w:r>
        <w:tab/>
      </w:r>
      <w:r>
        <w:fldChar w:fldCharType="begin"/>
      </w:r>
      <w:r>
        <w:instrText xml:space="preserve"> PAGEREF _Toc29121 \h </w:instrText>
      </w:r>
      <w:r>
        <w:fldChar w:fldCharType="separate"/>
      </w:r>
      <w:r>
        <w:t>25</w:t>
      </w:r>
      <w:r>
        <w:fldChar w:fldCharType="end"/>
      </w:r>
      <w:r>
        <w:rPr>
          <w:rFonts w:hint="eastAsia" w:ascii="宋体" w:hAnsi="宋体" w:eastAsia="宋体" w:cs="宋体"/>
          <w:bCs/>
          <w:color w:val="000000"/>
          <w:kern w:val="0"/>
          <w:szCs w:val="28"/>
          <w:lang w:val="en-US" w:eastAsia="zh-CN"/>
        </w:rPr>
        <w:fldChar w:fldCharType="end"/>
      </w:r>
    </w:p>
    <w:p w14:paraId="6DC07E2F">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_Toc7026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10.3 变更记录表</w:t>
      </w:r>
      <w:r>
        <w:tab/>
      </w:r>
      <w:r>
        <w:fldChar w:fldCharType="begin"/>
      </w:r>
      <w:r>
        <w:instrText xml:space="preserve"> PAGEREF _Toc7026 \h </w:instrText>
      </w:r>
      <w:r>
        <w:fldChar w:fldCharType="separate"/>
      </w:r>
      <w:r>
        <w:t>26</w:t>
      </w:r>
      <w:r>
        <w:fldChar w:fldCharType="end"/>
      </w:r>
      <w:r>
        <w:rPr>
          <w:rFonts w:hint="eastAsia" w:ascii="宋体" w:hAnsi="宋体" w:eastAsia="宋体" w:cs="宋体"/>
          <w:bCs/>
          <w:color w:val="000000"/>
          <w:kern w:val="0"/>
          <w:szCs w:val="28"/>
          <w:lang w:val="en-US" w:eastAsia="zh-CN"/>
        </w:rPr>
        <w:fldChar w:fldCharType="end"/>
      </w:r>
    </w:p>
    <w:p w14:paraId="5D248869">
      <w:pPr>
        <w:pStyle w:val="7"/>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_Toc1621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11</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项目计划附录</w:t>
      </w:r>
      <w:r>
        <w:tab/>
      </w:r>
      <w:r>
        <w:fldChar w:fldCharType="begin"/>
      </w:r>
      <w:r>
        <w:instrText xml:space="preserve"> PAGEREF _Toc1621 \h </w:instrText>
      </w:r>
      <w:r>
        <w:fldChar w:fldCharType="separate"/>
      </w:r>
      <w:r>
        <w:t>28</w:t>
      </w:r>
      <w:r>
        <w:fldChar w:fldCharType="end"/>
      </w:r>
      <w:r>
        <w:rPr>
          <w:rFonts w:hint="eastAsia" w:ascii="宋体" w:hAnsi="宋体" w:eastAsia="宋体" w:cs="宋体"/>
          <w:bCs/>
          <w:color w:val="000000"/>
          <w:kern w:val="0"/>
          <w:szCs w:val="28"/>
          <w:lang w:val="en-US" w:eastAsia="zh-CN"/>
        </w:rPr>
        <w:fldChar w:fldCharType="end"/>
      </w:r>
    </w:p>
    <w:p w14:paraId="2DC87EDD">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_Toc18683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w:t>
      </w:r>
      <w:r>
        <w:rPr>
          <w:rFonts w:hint="eastAsia" w:ascii="宋体" w:hAnsi="宋体" w:eastAsia="宋体" w:cs="宋体"/>
          <w:bCs/>
          <w:kern w:val="0"/>
          <w:szCs w:val="24"/>
          <w:lang w:val="en-US" w:eastAsia="zh-CN"/>
        </w:rPr>
        <w:t>A</w:t>
      </w:r>
      <w:r>
        <w:rPr>
          <w:rFonts w:hint="default" w:ascii="宋体" w:hAnsi="宋体" w:eastAsia="宋体" w:cs="宋体"/>
          <w:bCs/>
          <w:kern w:val="0"/>
          <w:szCs w:val="24"/>
        </w:rPr>
        <w:t>：甘特图源文件</w:t>
      </w:r>
      <w:r>
        <w:tab/>
      </w:r>
      <w:r>
        <w:fldChar w:fldCharType="begin"/>
      </w:r>
      <w:r>
        <w:instrText xml:space="preserve"> PAGEREF _Toc18683 \h </w:instrText>
      </w:r>
      <w:r>
        <w:fldChar w:fldCharType="separate"/>
      </w:r>
      <w:r>
        <w:t>28</w:t>
      </w:r>
      <w:r>
        <w:fldChar w:fldCharType="end"/>
      </w:r>
      <w:r>
        <w:rPr>
          <w:rFonts w:hint="eastAsia" w:ascii="宋体" w:hAnsi="宋体" w:eastAsia="宋体" w:cs="宋体"/>
          <w:bCs/>
          <w:color w:val="000000"/>
          <w:kern w:val="0"/>
          <w:szCs w:val="28"/>
          <w:lang w:val="en-US" w:eastAsia="zh-CN"/>
        </w:rPr>
        <w:fldChar w:fldCharType="end"/>
      </w:r>
    </w:p>
    <w:p w14:paraId="797BFF2B">
      <w:pPr>
        <w:pStyle w:val="8"/>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_Toc1414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w:t>
      </w:r>
      <w:r>
        <w:rPr>
          <w:rFonts w:hint="eastAsia" w:ascii="宋体" w:hAnsi="宋体" w:eastAsia="宋体" w:cs="宋体"/>
          <w:bCs/>
          <w:kern w:val="0"/>
          <w:szCs w:val="24"/>
          <w:lang w:val="en-US" w:eastAsia="zh-CN"/>
        </w:rPr>
        <w:t>B</w:t>
      </w:r>
      <w:r>
        <w:rPr>
          <w:rFonts w:hint="default" w:ascii="宋体" w:hAnsi="宋体" w:eastAsia="宋体" w:cs="宋体"/>
          <w:bCs/>
          <w:kern w:val="0"/>
          <w:szCs w:val="24"/>
        </w:rPr>
        <w:t>：配置管</w:t>
      </w:r>
      <w:r>
        <w:rPr>
          <w:rFonts w:hint="default" w:ascii="宋体" w:hAnsi="宋体" w:eastAsia="宋体" w:cs="宋体"/>
          <w:bCs/>
          <w:kern w:val="0"/>
          <w:szCs w:val="24"/>
          <w:lang w:val="en-US" w:eastAsia="zh-CN"/>
        </w:rPr>
        <w:t>理截图</w:t>
      </w:r>
      <w:r>
        <w:tab/>
      </w:r>
      <w:r>
        <w:fldChar w:fldCharType="begin"/>
      </w:r>
      <w:r>
        <w:instrText xml:space="preserve"> PAGEREF _Toc1414 \h </w:instrText>
      </w:r>
      <w:r>
        <w:fldChar w:fldCharType="separate"/>
      </w:r>
      <w:r>
        <w:t>28</w:t>
      </w:r>
      <w:r>
        <w:fldChar w:fldCharType="end"/>
      </w:r>
      <w:r>
        <w:rPr>
          <w:rFonts w:hint="eastAsia" w:ascii="宋体" w:hAnsi="宋体" w:eastAsia="宋体" w:cs="宋体"/>
          <w:bCs/>
          <w:color w:val="000000"/>
          <w:kern w:val="0"/>
          <w:szCs w:val="28"/>
          <w:lang w:val="en-US" w:eastAsia="zh-CN"/>
        </w:rPr>
        <w:fldChar w:fldCharType="end"/>
      </w:r>
    </w:p>
    <w:p w14:paraId="1F4D7CE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r>
        <w:rPr>
          <w:rFonts w:hint="eastAsia" w:ascii="宋体" w:hAnsi="宋体" w:eastAsia="宋体" w:cs="宋体"/>
          <w:bCs/>
          <w:color w:val="000000"/>
          <w:kern w:val="0"/>
          <w:szCs w:val="28"/>
          <w:lang w:val="en-US" w:eastAsia="zh-CN"/>
        </w:rPr>
        <w:fldChar w:fldCharType="end"/>
      </w:r>
    </w:p>
    <w:p w14:paraId="1B94339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0D8774C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1E47ADA2">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6BB8D8D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18CB48C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16C04A1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36E07BE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76E8AD7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1081918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05E6C46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6D669EE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Cs/>
          <w:color w:val="000000"/>
          <w:kern w:val="0"/>
          <w:szCs w:val="28"/>
          <w:lang w:val="en-US" w:eastAsia="zh-CN"/>
        </w:rPr>
      </w:pPr>
    </w:p>
    <w:p w14:paraId="6190D10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lang w:val="en-US" w:eastAsia="zh-CN"/>
        </w:rPr>
      </w:pPr>
    </w:p>
    <w:p w14:paraId="4B01877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rPr>
      </w:pPr>
      <w:bookmarkStart w:id="0" w:name="_Toc29996"/>
      <w:r>
        <w:rPr>
          <w:rFonts w:hint="eastAsia" w:ascii="宋体" w:hAnsi="宋体" w:eastAsia="宋体" w:cs="宋体"/>
          <w:b/>
          <w:bCs/>
          <w:color w:val="000000"/>
          <w:kern w:val="0"/>
          <w:sz w:val="28"/>
          <w:szCs w:val="28"/>
          <w:lang w:val="en-US" w:eastAsia="zh-CN"/>
        </w:rPr>
        <w:t xml:space="preserve">1 </w:t>
      </w:r>
      <w:r>
        <w:rPr>
          <w:rFonts w:hint="default" w:ascii="宋体" w:hAnsi="宋体" w:eastAsia="宋体" w:cs="宋体"/>
          <w:b/>
          <w:bCs/>
          <w:color w:val="000000"/>
          <w:kern w:val="0"/>
          <w:sz w:val="28"/>
          <w:szCs w:val="28"/>
        </w:rPr>
        <w:t>引言</w:t>
      </w:r>
      <w:bookmarkEnd w:id="0"/>
    </w:p>
    <w:p w14:paraId="0A6C693B">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 w:name="_Toc1482"/>
      <w:r>
        <w:rPr>
          <w:rFonts w:hint="default" w:ascii="宋体" w:hAnsi="宋体" w:eastAsia="宋体" w:cs="宋体"/>
          <w:b/>
          <w:bCs/>
          <w:color w:val="000000"/>
          <w:kern w:val="0"/>
          <w:sz w:val="24"/>
          <w:szCs w:val="24"/>
        </w:rPr>
        <w:t>项目背景</w:t>
      </w:r>
      <w:bookmarkEnd w:id="1"/>
    </w:p>
    <w:p w14:paraId="577E74C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为及时掌握云南省企业就业与失业情况，规范企业数据采集、审核、汇总、分析和上报流程，有必要建设统一的《云南省企业就业失业数据采集系统》。</w:t>
      </w:r>
    </w:p>
    <w:p w14:paraId="19C5A08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当前企业就业失业数据的统计工作涉及企业填报、市级审核、省级汇总以及上报部委等多个环节，业务链条较长，参与角色较多，若缺少统一的信息系统支撑，容易出现数据口径不一致、上报不及时、审核效率低、统计分析困难等问题。因此，建设本系统对于提升就业失业数据采集效率、增强数据管理规范性、支撑上级主管部门决策分析具有重要意义。</w:t>
      </w:r>
    </w:p>
    <w:p w14:paraId="6CF4AC3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项目正是在这一背景下启动，旨在通过信息化手段建立标准化、可追踪的数据采集与管理平台，面向企业用户、市级管理部门、省级管理部门及系统管理员，围绕企业备案、月度数据填报、逐级审核、汇总分析、通知发布及系统管理等核心业务，实现全省就业失业监测工作的统一与规范。</w:t>
      </w:r>
    </w:p>
    <w:p w14:paraId="648DE223">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2" w:name="_Toc10146"/>
      <w:r>
        <w:rPr>
          <w:rFonts w:hint="default" w:ascii="宋体" w:hAnsi="宋体" w:eastAsia="宋体" w:cs="宋体"/>
          <w:b/>
          <w:bCs/>
          <w:color w:val="000000"/>
          <w:kern w:val="0"/>
          <w:sz w:val="24"/>
          <w:szCs w:val="24"/>
        </w:rPr>
        <w:t>项目目标</w:t>
      </w:r>
      <w:bookmarkEnd w:id="2"/>
    </w:p>
    <w:p w14:paraId="5165AFE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项目的建设目标主要包括以下几个方面：建立统一的企业就业失业数据采集平台，实现企业基础信息备案、按规定周期（支持半月报与整月报动态切换）的数据填报和历史数据查询；建立省、市、企业三级业务协同机制，实现企业上报、市局审核、省局汇总与上报的闭环管理；为满足移动办公需求，同步推出手机端应用，实现企业便捷上报与省级移动审核；提供数据汇总、图表分析、多维分析、数据导出等功能，为管理部门提供统计分析支撑；通过通知管理、用户管理、角色管理、上报时限管理和系统监控等功能，提升系统运行的规范性和可维护性；同时实现与国家失业监测系统的数据接口对接，提高数据共享和上报效率。</w:t>
      </w:r>
    </w:p>
    <w:p w14:paraId="03A1FEE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Segoe UI" w:hAnsi="Segoe UI" w:eastAsia="Segoe UI" w:cs="Segoe UI"/>
          <w:i w:val="0"/>
          <w:iCs w:val="0"/>
          <w:caps w:val="0"/>
          <w:color w:val="0F1115"/>
          <w:spacing w:val="0"/>
          <w:sz w:val="16"/>
          <w:szCs w:val="16"/>
          <w:shd w:val="clear" w:fill="FFFFFF"/>
        </w:rPr>
      </w:pPr>
      <w:r>
        <w:rPr>
          <w:rFonts w:hint="eastAsia" w:ascii="Times New Roman" w:hAnsi="Times New Roman" w:eastAsia="宋体" w:cs="宋体"/>
          <w:color w:val="000000"/>
          <w:kern w:val="0"/>
          <w:sz w:val="24"/>
          <w:szCs w:val="24"/>
        </w:rPr>
        <w:t>项目将严格遵循云南省关于就业失业监测的业务规范，确保数据上报口径与国家失业监测系统标准接口保持一致，并在国产化软硬件环境下完成适配部署。</w:t>
      </w:r>
    </w:p>
    <w:p w14:paraId="62EB7CBA">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3" w:name="_Toc2486"/>
      <w:r>
        <w:rPr>
          <w:rFonts w:hint="default" w:ascii="宋体" w:hAnsi="宋体" w:eastAsia="宋体" w:cs="宋体"/>
          <w:b/>
          <w:bCs/>
          <w:color w:val="000000"/>
          <w:kern w:val="0"/>
          <w:sz w:val="24"/>
          <w:szCs w:val="24"/>
        </w:rPr>
        <w:t>文档范围与读者对象</w:t>
      </w:r>
      <w:bookmarkEnd w:id="3"/>
    </w:p>
    <w:p w14:paraId="40FAC0A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本文档为《云南省企业就业失业数据采集系统》的项目计划，旨在明确项目的范围、进度、成本、质量、风险、人力资源及配置管理等方面的具体安排，作为项目团队执行与控制的基准。</w:t>
      </w:r>
    </w:p>
    <w:p w14:paraId="36E7279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主要面向项目开发团队、测试团队、配置管理人员、质量保证人员以及项目甲方代表。开发人员应依据本计划开展编码与单元测试工作，测试团队应参照计划中的里程碑和质量目标设计测试用例，配置管理人员需依据配置管理策略建立版本控制与变更控制流程，甲方代表可通过本计划了解项目整体推进节奏与交付成果。此外，本文档也可供项目后期运维人员参考，以便理解系统建设过程中的关键决策与约束条件。</w:t>
      </w:r>
    </w:p>
    <w:p w14:paraId="71367F33">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4" w:name="_Toc1170"/>
      <w:r>
        <w:rPr>
          <w:rFonts w:hint="default" w:ascii="宋体" w:hAnsi="宋体" w:eastAsia="宋体" w:cs="宋体"/>
          <w:b/>
          <w:bCs/>
          <w:color w:val="000000"/>
          <w:kern w:val="0"/>
          <w:sz w:val="24"/>
          <w:szCs w:val="24"/>
        </w:rPr>
        <w:t>术语与定义</w:t>
      </w:r>
      <w:bookmarkEnd w:id="4"/>
    </w:p>
    <w:p w14:paraId="4644D79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中涉及的术语定义如下：调查期指省级管理部门规定的企业就业失业数据填报的时间周期，根据最新业务需求变更，1-3月份企业需进行“半月报”，4-12月份（及7月）企业需进行“整月报”；备案指企业在首次使用系统时需提交的基础信息，包括统一社会信用代码、企业名称、所属行业、联系方式等，经省级审核通过后方可进行数据填报；审核分为市级初审和省级终审，市级负责辖区内企业填报数据的审核与退回，省级负责全省数据的汇总与最终确认（含手机端移动审核）；退回指当数据不符合要求时，审核方将数据退回至上一级并附明原因，由企业修改后重新提交；基线是指项目计划、需求文档等配置项在经过正式评审和批准后形成的稳定版本，后续变更必须经过正规变更流程；变更单是记录需求变更请求的正式文件，包含变更描述、原因分析、影响评估及审批意见；配置管理是指通过版本控制工具对项目文档、代码等配置项进行标识、存储、控制和审计的过程，确保变更的可追溯性；工作分解结构是将项目可交付成果分解为更小、更易管理工作包的方法，是进度和成本估算的基础。</w:t>
      </w:r>
    </w:p>
    <w:p w14:paraId="34942A6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p>
    <w:p w14:paraId="18C8F07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lang w:val="en-US" w:eastAsia="zh-CN"/>
        </w:rPr>
      </w:pPr>
      <w:bookmarkStart w:id="5" w:name="_Toc2276"/>
      <w:r>
        <w:rPr>
          <w:rFonts w:hint="default" w:ascii="宋体" w:hAnsi="宋体" w:eastAsia="宋体" w:cs="宋体"/>
          <w:b/>
          <w:bCs/>
          <w:color w:val="000000"/>
          <w:kern w:val="0"/>
          <w:sz w:val="28"/>
          <w:szCs w:val="28"/>
          <w:lang w:val="en-US" w:eastAsia="zh-CN"/>
        </w:rPr>
        <w:t>2</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项目范围管理</w:t>
      </w:r>
      <w:bookmarkEnd w:id="5"/>
    </w:p>
    <w:p w14:paraId="27E2ED9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6" w:name="_Toc21674"/>
      <w:r>
        <w:rPr>
          <w:rFonts w:hint="default" w:ascii="宋体" w:hAnsi="宋体" w:eastAsia="宋体" w:cs="宋体"/>
          <w:b/>
          <w:bCs/>
          <w:color w:val="000000"/>
          <w:kern w:val="0"/>
          <w:sz w:val="24"/>
          <w:szCs w:val="24"/>
        </w:rPr>
        <w:t>2.1 产品范围</w:t>
      </w:r>
      <w:bookmarkEnd w:id="6"/>
    </w:p>
    <w:p w14:paraId="0C9964F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产品范围涵盖《云南省企业就业失业数据采集系统》的全部功能模块，具体包括企业端数据采集与备案子系统、市级端数据审核与辖区调度子系统、省级端数据管理与分析子系统以及省级端系统管理与后台维护子系统四个主要部分。</w:t>
      </w:r>
    </w:p>
    <w:p w14:paraId="2B1E007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eastAsia" w:ascii="宋体" w:hAnsi="宋体" w:eastAsia="宋体" w:cs="宋体"/>
          <w:b/>
          <w:bCs/>
          <w:color w:val="000000"/>
          <w:kern w:val="0"/>
          <w:sz w:val="24"/>
          <w:szCs w:val="24"/>
        </w:rPr>
      </w:pPr>
      <w:bookmarkStart w:id="7" w:name="_Toc217"/>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.1</w:t>
      </w:r>
      <w:r>
        <w:rPr>
          <w:rFonts w:hint="default" w:ascii="宋体" w:hAnsi="宋体" w:eastAsia="宋体" w:cs="宋体"/>
          <w:b/>
          <w:bCs/>
          <w:color w:val="000000"/>
          <w:kern w:val="0"/>
          <w:sz w:val="24"/>
          <w:szCs w:val="24"/>
        </w:rPr>
        <w:t xml:space="preserve"> 企业端数据采集与备案子系统</w:t>
      </w:r>
      <w:bookmarkEnd w:id="7"/>
    </w:p>
    <w:p w14:paraId="28D84D2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数据采集与备案子系统面向全省各企业用户，提供企业基础信息的首次备案与变更申请功能，企业在首次使用系统时需录入统一社会信用代码、企业名称、所属行业、联系方式等基本信息，经省级审核通过后方可开展后续业务。该系统支持企业在规定的调查期内按照模板填报就业失业数据，系统后台将根据当前月份动态切换填报周期与合法性校验规则（1-3月份强制校验半月报时限，4-12月份校验整月报时限），包括数据的暂存与提交功能，并在填报过程中进行合法性校验——当调查期就业人数小于建档期就业人数时，系统强制要求填写减少原因及说明，超过上报时间则禁止提交。同时，该核心上报功能全面支持在手机端操作实现。此外，企业端还提供历史报表流转状态查询、各级政策通知浏览、密码修改以及忘记密码找回等账户安全管理功能。</w:t>
      </w:r>
    </w:p>
    <w:p w14:paraId="13C271C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Times New Roman" w:hAnsi="Times New Roman" w:eastAsia="宋体" w:cs="宋体"/>
          <w:color w:val="000000"/>
          <w:kern w:val="0"/>
          <w:sz w:val="24"/>
          <w:szCs w:val="24"/>
        </w:rPr>
      </w:pPr>
      <w:bookmarkStart w:id="8" w:name="_Toc16571"/>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.2</w:t>
      </w:r>
      <w:r>
        <w:rPr>
          <w:rFonts w:hint="default" w:ascii="宋体" w:hAnsi="宋体" w:eastAsia="宋体" w:cs="宋体"/>
          <w:b/>
          <w:bCs/>
          <w:color w:val="000000"/>
          <w:kern w:val="0"/>
          <w:sz w:val="24"/>
          <w:szCs w:val="24"/>
        </w:rPr>
        <w:t xml:space="preserve"> 市级端数据审核与辖区调度子系统</w:t>
      </w:r>
      <w:bookmarkEnd w:id="8"/>
    </w:p>
    <w:p w14:paraId="3912228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数据审核与辖区调度子系统面向各市级管理部门，提供对企业上报数据的审核与退回操作。市级用户可查看企业填报的数据详情及历史记录，审核通过后数据自动上报至省级，退回时系统强制要求填写退回原因并将该原因与数据一并记录，同时通知企业用户。该系统还提供辖区填报进度统计看板，以图表形式展示辖区企业总数、已报数、未报数、审核通过率等关键指标。同时支持按调查期、企业维度导出审核通过的数据为Excel文件，提供退回历史查询功能，以及通知发布和账户安全管理等功能。</w:t>
      </w:r>
    </w:p>
    <w:p w14:paraId="00897E1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Times New Roman" w:hAnsi="Times New Roman" w:eastAsia="宋体" w:cs="宋体"/>
          <w:color w:val="000000"/>
          <w:kern w:val="0"/>
          <w:sz w:val="24"/>
          <w:szCs w:val="24"/>
        </w:rPr>
      </w:pPr>
      <w:bookmarkStart w:id="9" w:name="_Toc6901"/>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.3</w:t>
      </w:r>
      <w:r>
        <w:rPr>
          <w:rFonts w:hint="default" w:ascii="宋体" w:hAnsi="宋体" w:eastAsia="宋体" w:cs="宋体"/>
          <w:b/>
          <w:bCs/>
          <w:color w:val="000000"/>
          <w:kern w:val="0"/>
          <w:sz w:val="24"/>
          <w:szCs w:val="24"/>
        </w:rPr>
        <w:t xml:space="preserve"> 省级端数据管理与分析子系统</w:t>
      </w:r>
      <w:bookmarkEnd w:id="9"/>
    </w:p>
    <w:p w14:paraId="311552B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管理与分析子系统面向省级管理部门，提供全省数据的统一汇总与修正功能。系统按调查期对各市上报数据进行汇总并生成全省统计结果，对于明显错误的数据允许修正，但原始上报数据不可被覆盖，修正数据需单独存储并完整记录修改日志，确保可追溯性。该系统还提供多维度统计分析与图表展示，包括按地区、行业、企业性质等维度进行分析，支持取样分析、对比分析和趋势分析，分析结果可导出为Excel文件。此外，省级端数据管理子系统还负责企业备案信息的审核、数据上报至部级系统、通知发布与浏览、数据质量监控与预警、审计日志查询以及账户安全管理等功能。</w:t>
      </w:r>
    </w:p>
    <w:p w14:paraId="3DC56C3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宋体" w:hAnsi="宋体" w:eastAsia="宋体" w:cs="宋体"/>
          <w:b/>
          <w:bCs/>
          <w:color w:val="000000"/>
          <w:kern w:val="0"/>
          <w:sz w:val="24"/>
          <w:szCs w:val="24"/>
        </w:rPr>
      </w:pPr>
      <w:bookmarkStart w:id="10" w:name="_Toc18711"/>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.4</w:t>
      </w:r>
      <w:r>
        <w:rPr>
          <w:rFonts w:hint="default" w:ascii="宋体" w:hAnsi="宋体" w:eastAsia="宋体" w:cs="宋体"/>
          <w:b/>
          <w:bCs/>
          <w:color w:val="000000"/>
          <w:kern w:val="0"/>
          <w:sz w:val="24"/>
          <w:szCs w:val="24"/>
        </w:rPr>
        <w:t xml:space="preserve"> 省级端系统管理与后台维护子系统</w:t>
      </w:r>
      <w:bookmarkEnd w:id="10"/>
    </w:p>
    <w:p w14:paraId="6E185D4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与后台维护子系统面向省级系统管理员，提供用户与角色的统一管理功能。系统支持用户的新增、修改与删除操作，新增用户时可填写基本信息并分配角色，删除用户时系统校验该用户是否存在已上报业务数据，若存在则禁止删除以保证数据完整性。角色管理方面，支持角色的创建、修改与删除，并为不同角色分配相应的功能权限，系统预定义省级用户、市级用户、企业用户等基础角色，删除角色时若该角色已被用户使用，系统提示并解除关联后方可删除。该系统还提供上报时限管理功能，支持新增和修改调查期时间范围以控制企业填报周期；系统监控功能实时展示CPU、内存、硬盘等资源使用情况；操作日志管理功能记录用户登录、权限变更、配置修改等系统级关键操作，并支持按条件查询与追溯。</w:t>
      </w:r>
    </w:p>
    <w:p w14:paraId="65DCA7B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宋体" w:hAnsi="宋体" w:eastAsia="宋体" w:cs="宋体"/>
          <w:b/>
          <w:bCs/>
          <w:color w:val="000000"/>
          <w:kern w:val="0"/>
          <w:sz w:val="24"/>
          <w:szCs w:val="24"/>
          <w:lang w:val="en-US" w:eastAsia="zh-CN"/>
        </w:rPr>
      </w:pPr>
      <w:bookmarkStart w:id="11" w:name="_Toc10481"/>
      <w:r>
        <w:rPr>
          <w:rFonts w:hint="default" w:ascii="宋体" w:hAnsi="宋体" w:eastAsia="宋体" w:cs="宋体"/>
          <w:b/>
          <w:bCs/>
          <w:color w:val="000000"/>
          <w:kern w:val="0"/>
          <w:sz w:val="24"/>
          <w:szCs w:val="24"/>
          <w:lang w:val="en-US" w:eastAsia="zh-CN"/>
        </w:rPr>
        <w:t>2.1</w:t>
      </w:r>
      <w:r>
        <w:rPr>
          <w:rFonts w:hint="eastAsia" w:ascii="宋体" w:hAnsi="宋体" w:eastAsia="宋体" w:cs="宋体"/>
          <w:b/>
          <w:bCs/>
          <w:color w:val="000000"/>
          <w:kern w:val="0"/>
          <w:sz w:val="24"/>
          <w:szCs w:val="24"/>
          <w:lang w:val="en-US" w:eastAsia="zh-CN"/>
        </w:rPr>
        <w:t>.5</w:t>
      </w:r>
      <w:r>
        <w:rPr>
          <w:rFonts w:hint="default" w:ascii="宋体" w:hAnsi="宋体" w:eastAsia="宋体" w:cs="宋体"/>
          <w:b/>
          <w:bCs/>
          <w:color w:val="000000"/>
          <w:kern w:val="0"/>
          <w:sz w:val="24"/>
          <w:szCs w:val="24"/>
          <w:lang w:val="en-US" w:eastAsia="zh-CN"/>
        </w:rPr>
        <w:t xml:space="preserve"> 排除范围</w:t>
      </w:r>
      <w:bookmarkEnd w:id="11"/>
    </w:p>
    <w:p w14:paraId="4C81B91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本项目明确排除以下范围：功能方面，不涵盖底层物理硬件设备的部署与日常维护，不包含企业内部的人力资源管理系统或企业财务结算业务处理。</w:t>
      </w:r>
    </w:p>
    <w:p w14:paraId="5CC6994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数据方面，禁止处理与就业失业监测无关的员工个人隐私明细数据（如未脱敏的个人生物特征数据）及非结构化原始凭证，所有采集的企业与个人数据仅限在云南省政务云境内存储。</w:t>
      </w:r>
    </w:p>
    <w:p w14:paraId="72E72CE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兼容性方面，不支Windows Server</w:t>
      </w:r>
      <w:r>
        <w:rPr>
          <w:rFonts w:hint="eastAsia" w:ascii="Times New Roman" w:hAnsi="Times New Roman" w:eastAsia="宋体" w:cs="宋体"/>
          <w:color w:val="000000"/>
          <w:kern w:val="0"/>
          <w:sz w:val="24"/>
          <w:szCs w:val="24"/>
          <w:lang w:val="en-US" w:eastAsia="zh-CN"/>
        </w:rPr>
        <w:t xml:space="preserve"> </w:t>
      </w:r>
      <w:r>
        <w:rPr>
          <w:rFonts w:hint="default" w:ascii="Times New Roman" w:hAnsi="Times New Roman" w:eastAsia="宋体" w:cs="宋体"/>
          <w:color w:val="000000"/>
          <w:kern w:val="0"/>
          <w:sz w:val="24"/>
          <w:szCs w:val="24"/>
        </w:rPr>
        <w:t>2012以下版本系统，不支持未满足国家信息安全等级保护三级标准的运行环境，核心代码严禁引入未经安全审查的第三方开源组件。</w:t>
      </w:r>
    </w:p>
    <w:p w14:paraId="2A43D23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2" w:name="_Toc10391"/>
      <w:r>
        <w:rPr>
          <w:rFonts w:hint="default" w:ascii="宋体" w:hAnsi="宋体" w:eastAsia="宋体" w:cs="宋体"/>
          <w:b/>
          <w:bCs/>
          <w:color w:val="000000"/>
          <w:kern w:val="0"/>
          <w:sz w:val="24"/>
          <w:szCs w:val="24"/>
        </w:rPr>
        <w:t>2.2 主要交付物</w:t>
      </w:r>
      <w:bookmarkEnd w:id="12"/>
    </w:p>
    <w:p w14:paraId="0343E49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本项目的主要交付物包括可运行的软件系统、项目文档以及配置管理与变更记录。</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软件系统为《云南省企业就业失业数据采集系统》，包含Web端应用与手机端应用，涵盖企业端（Web+手机端上报）、市级端、省级端数据管理与分析（Web+手机端审核）、省级端系统管理四个子系统。</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项目文档包括项目计划文档（含计划迭代最终版与历史记录）、需求规格说明书。</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配置管理与变更记录包括Git提交历史截图、需求变更申请单、需求变更通知单。</w:t>
      </w:r>
    </w:p>
    <w:p w14:paraId="64F78A9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3" w:name="_Toc29240"/>
      <w:r>
        <w:rPr>
          <w:rFonts w:hint="default" w:ascii="宋体" w:hAnsi="宋体" w:eastAsia="宋体" w:cs="宋体"/>
          <w:b/>
          <w:bCs/>
          <w:color w:val="000000"/>
          <w:kern w:val="0"/>
          <w:sz w:val="24"/>
          <w:szCs w:val="24"/>
        </w:rPr>
        <w:t>2.3 工作分解结构（WBS）</w:t>
      </w:r>
      <w:bookmarkEnd w:id="13"/>
    </w:p>
    <w:p w14:paraId="4260FA4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本项目按功能模块进行分解，具体如下：</w:t>
      </w:r>
    </w:p>
    <w:p w14:paraId="7DC1AD8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企业端：包含备案信息录入与变更、月度数据填报（暂存/提交）、历史查询、通知浏览、账户管理（密码修改、忘记密码）等功能。</w:t>
      </w:r>
    </w:p>
    <w:p w14:paraId="4F1F375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市级端：包含数据审核（通过/退回并填写原因）、统计看板、数据导出、退回历史查询、通知发布、账户管理等功能。</w:t>
      </w:r>
    </w:p>
    <w:p w14:paraId="47852FF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省级端（数据分析）：包含全省数据汇总、数据修正（留痕）、多维度统计分析（图表导出）、企业备案审核</w:t>
      </w:r>
      <w:r>
        <w:rPr>
          <w:rFonts w:hint="eastAsia" w:ascii="Times New Roman" w:hAnsi="Times New Roman" w:eastAsia="宋体" w:cs="宋体"/>
          <w:color w:val="000000"/>
          <w:kern w:val="0"/>
          <w:sz w:val="24"/>
          <w:szCs w:val="24"/>
          <w:lang w:eastAsia="zh-CN"/>
        </w:rPr>
        <w:t>、</w:t>
      </w:r>
      <w:r>
        <w:rPr>
          <w:rFonts w:hint="default" w:ascii="Times New Roman" w:hAnsi="Times New Roman" w:eastAsia="宋体" w:cs="宋体"/>
          <w:color w:val="000000"/>
          <w:kern w:val="0"/>
          <w:sz w:val="24"/>
          <w:szCs w:val="24"/>
        </w:rPr>
        <w:t>省级移动端业务审核、数据上报至部级系统、质量监控预警、审计日志查询等功能。</w:t>
      </w:r>
    </w:p>
    <w:p w14:paraId="383361A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省级端（系统管理）：包含用户管理（增删改查，删除校验）、角色与权限管理、调查期配置、系统监控（CPU/内存/硬盘）、操作日志管理等功能。</w:t>
      </w:r>
    </w:p>
    <w:p w14:paraId="16614AF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非功能需求实现：包含性能优化（高并发响应）、安全性（加密、角色隔离）、可靠性（事务、容错）、易用性、可维护性、可扩展性、兼容性、可审计性等。</w:t>
      </w:r>
    </w:p>
    <w:p w14:paraId="1A3F59F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文档与部署：包含用户手册、部署手册、测试报告、数据库脚本、Docker镜像及Kubernetes配置。</w:t>
      </w:r>
    </w:p>
    <w:p w14:paraId="367F500F">
      <w:pPr>
        <w:keepNext w:val="0"/>
        <w:keepLines w:val="0"/>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宋体"/>
          <w:b/>
          <w:bCs/>
          <w:color w:val="000000"/>
          <w:kern w:val="0"/>
          <w:sz w:val="24"/>
          <w:szCs w:val="24"/>
        </w:rPr>
      </w:pPr>
      <w:r>
        <w:rPr>
          <w:rFonts w:hint="default" w:ascii="Times New Roman" w:hAnsi="Times New Roman" w:eastAsia="宋体" w:cs="宋体"/>
          <w:b/>
          <w:bCs/>
          <w:color w:val="000000"/>
          <w:kern w:val="0"/>
          <w:sz w:val="24"/>
          <w:szCs w:val="24"/>
        </w:rPr>
        <w:t>WBS字典简要说明</w:t>
      </w:r>
    </w:p>
    <w:p w14:paraId="3565DCE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企业端：实现企业用户所有操作界面与后台逻辑，确保数据填报的合法性校验及与市级、省级的流转。</w:t>
      </w:r>
    </w:p>
    <w:p w14:paraId="783A14A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市级端：实现市级审核员对辖区内企业数据的审核、退回、统计及通知管理，确保审核流程可追溯。</w:t>
      </w:r>
    </w:p>
    <w:p w14:paraId="0C38927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省级端（数据分析）：实现省级用户对全省数据的汇总、修正、分析及上报，提供决策支持。</w:t>
      </w:r>
    </w:p>
    <w:p w14:paraId="08DAD6C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省级端（系统管理）：实现系统管理员对用户、角色、调查期、系统运行状态的统一管理及日志审计。</w:t>
      </w:r>
    </w:p>
    <w:p w14:paraId="7E2C863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非功能需求实现：针对SRS第5章的各项非功能要求进行设计、编码与测试，保障系统质量。</w:t>
      </w:r>
    </w:p>
    <w:p w14:paraId="3D7FC43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pPr>
      <w:r>
        <w:rPr>
          <w:rFonts w:hint="default" w:ascii="Times New Roman" w:hAnsi="Times New Roman" w:eastAsia="宋体" w:cs="宋体"/>
          <w:color w:val="000000"/>
          <w:kern w:val="0"/>
          <w:sz w:val="24"/>
          <w:szCs w:val="24"/>
        </w:rPr>
        <w:t>文档与部署：完成所有项目文档编写、系统打包、环境配置及部署验证，确保系统可交付运行。</w:t>
      </w:r>
    </w:p>
    <w:p w14:paraId="67AB391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4" w:name="_Toc2311"/>
      <w:r>
        <w:rPr>
          <w:rFonts w:hint="default" w:ascii="宋体" w:hAnsi="宋体" w:eastAsia="宋体" w:cs="宋体"/>
          <w:b/>
          <w:bCs/>
          <w:color w:val="000000"/>
          <w:kern w:val="0"/>
          <w:sz w:val="24"/>
          <w:szCs w:val="24"/>
        </w:rPr>
        <w:t>2.4 范围验收标准</w:t>
      </w:r>
      <w:bookmarkEnd w:id="14"/>
    </w:p>
    <w:p w14:paraId="66A058C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的验收标准为企业用户能够完成备案信息的首次录入与变更申请，系统对关键字段进行格式校验并提交省级审核；能够在调查期内填报就业失业数据，支持暂存与提交，当就业人数异常时强制填写减少原因，超期后禁止提交；能够按调查期查询历史填报数据且仅支持查看；能够浏览通知列表及详情；能够修改密码并通过忘记密码流程找回账户。</w:t>
      </w:r>
    </w:p>
    <w:p w14:paraId="5E9CD00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的验收标准为市级用户能够查看待审核数据列表，对数据执行通过或退回操作，退回时必须填写原因并自动通知企业；能够查看统计看板，展示辖区企业总数、已报数、未报数及通过率；能够按条件导出审核通过的数据为Excel文件；能够查询退回历史并展示原因；能够发布通知并推送至企业端。</w:t>
      </w:r>
    </w:p>
    <w:p w14:paraId="4EBE21F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子系统的验收标准为省级用户能够按调查期汇总全省数据，对错误数据进行修正且原始数据不被覆盖、修改日志完整记录；能够按地区、行业等维度生成统计图表并导出Excel；能够审核企业备案信息；能够将汇总数据上报至部级系统；能够自动检测缺报、数据波动异常并发出预警；能够按条件查询审计日志。</w:t>
      </w:r>
    </w:p>
    <w:p w14:paraId="3268A23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子系统的验收标准为系统管理员能够新增、修改、删除用户，删除用户时若存在上报数据则禁止删除；能够创建、修改、删除角色并分配权限，删除角色时若已被用户使用则需解除关联；能够新增和修改调查期时间范围；能够实时查看CPU、内存、硬盘等监控指标；能够记录并查询用户登录、权限变更等操作日志。</w:t>
      </w:r>
    </w:p>
    <w:p w14:paraId="6524FC9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r>
        <w:rPr>
          <w:rFonts w:hint="default" w:ascii="Times New Roman" w:hAnsi="Times New Roman" w:eastAsia="宋体" w:cs="宋体"/>
          <w:color w:val="000000"/>
          <w:kern w:val="0"/>
          <w:sz w:val="24"/>
          <w:szCs w:val="24"/>
        </w:rPr>
        <w:t>非功能需求的验收标准依据SRS第5章，要求常规操作响应时间在合理范围内，系统具备高并发处理能力；核心业务流程具备事务回滚机制；数据传输与存储加密，角色权限隔离；界面提供清晰的填写提示与错误指引；支持国产化环境部署；所有数据修正和关键操作均留痕可审计。文档与部署的验收标准为项目计划、需求规格说明书齐全</w:t>
      </w:r>
      <w:r>
        <w:rPr>
          <w:rFonts w:hint="eastAsia" w:ascii="Times New Roman" w:hAnsi="Times New Roman" w:eastAsia="宋体" w:cs="宋体"/>
          <w:color w:val="000000"/>
          <w:kern w:val="0"/>
          <w:sz w:val="24"/>
          <w:szCs w:val="24"/>
          <w:lang w:eastAsia="zh-CN"/>
        </w:rPr>
        <w:t>。</w:t>
      </w:r>
    </w:p>
    <w:p w14:paraId="7699657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15" w:name="_Toc16692"/>
      <w:r>
        <w:rPr>
          <w:rFonts w:hint="default" w:ascii="宋体" w:hAnsi="宋体" w:eastAsia="宋体" w:cs="宋体"/>
          <w:b/>
          <w:bCs/>
          <w:color w:val="000000"/>
          <w:kern w:val="0"/>
          <w:sz w:val="28"/>
          <w:szCs w:val="28"/>
          <w:lang w:val="en-US" w:eastAsia="zh-CN"/>
        </w:rPr>
        <w:t>3</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进度管理</w:t>
      </w:r>
      <w:bookmarkEnd w:id="15"/>
    </w:p>
    <w:p w14:paraId="2335F55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6" w:name="_Toc23506"/>
      <w:r>
        <w:rPr>
          <w:rFonts w:hint="default" w:ascii="宋体" w:hAnsi="宋体" w:eastAsia="宋体" w:cs="宋体"/>
          <w:b/>
          <w:bCs/>
          <w:color w:val="000000"/>
          <w:kern w:val="0"/>
          <w:sz w:val="24"/>
          <w:szCs w:val="24"/>
        </w:rPr>
        <w:t>3.1 活动定义</w:t>
      </w:r>
      <w:bookmarkEnd w:id="16"/>
    </w:p>
    <w:p w14:paraId="60B3BFF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为确保《云南省企业就业失业数据采集系统》的高效推进，项目组以上一阶段明确的WBS工作包为依据，将其进一步细化为团队十名成员可独立执行与追踪的具体活动。</w:t>
      </w:r>
    </w:p>
    <w:p w14:paraId="044B9E7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在前期准备与架构阶段，主要活动包括需求基线评审、数据库物理模型建立以及Docker与Kubernetes底层容器化部署环境的搭建。在核心业务模块开发阶段，活动被严格按照四大子系统进行拆解。</w:t>
      </w:r>
    </w:p>
    <w:p w14:paraId="6834324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针对企业端，细分出了企业首次备案与变更模块开发、基于月份动态判断（半月报/整月报）的数据填报与合法性强制校验逻辑编写、填报草稿暂存机制开发、历史只读查询页面与通知中心展示开发，以及包含找回密码流程的账户管理开发。同时，新增手机端应用开发活动，包含移动端跨平台框架搭建、企业手机端填报交互页面开发及后端接口对接。</w:t>
      </w:r>
    </w:p>
    <w:p w14:paraId="194BB1A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针对市级端，定义了待审队列与审批流转开发（包含退回原因必填与自动通知触发逻辑）、涵盖企业总数与通过率的渐变色统计看板渲染、多条件结构化数据Excel导出模块，以及向辖区下发通知的管理功能开发。</w:t>
      </w:r>
    </w:p>
    <w:p w14:paraId="68F5129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针对省级端，数据分析模块的活动细化为全省填报数据定时汇总入库、带有独立日志留痕且不覆盖原始数据的人工修正机制开发、基于多维度的数据可视化图表开发、企业备案的终审流转、对接国家部委标准接口的数据上报功能，自动预警缺报与数据异常波动的质量监控模块开发</w:t>
      </w:r>
      <w:r>
        <w:rPr>
          <w:rFonts w:hint="eastAsia" w:ascii="Times New Roman" w:hAnsi="Times New Roman" w:eastAsia="宋体" w:cs="宋体"/>
          <w:color w:val="000000"/>
          <w:kern w:val="0"/>
          <w:sz w:val="24"/>
          <w:szCs w:val="24"/>
          <w:lang w:eastAsia="zh-CN"/>
        </w:rPr>
        <w:t>、</w:t>
      </w:r>
      <w:r>
        <w:rPr>
          <w:rFonts w:hint="default" w:ascii="Times New Roman" w:hAnsi="Times New Roman" w:eastAsia="宋体" w:cs="宋体"/>
          <w:color w:val="000000"/>
          <w:kern w:val="0"/>
          <w:sz w:val="24"/>
          <w:szCs w:val="24"/>
        </w:rPr>
        <w:t>以及新增的省级领导手机端移动审核审批流开发与联调；系统管理模块则被分解为；系统管理模块则被分解为带有业务数据校验保护机制的用户与角色增删改查开发、动态调查期时间窗口配置开发、系统CPU/内存等底层运行状态的实时监控大屏开发，以及全方位操作审计日志溯源功能开发。</w:t>
      </w:r>
    </w:p>
    <w:p w14:paraId="141F95B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此外，测试与交付维度的活动则涵盖了高并发响应优化、全链路数据加密等非功能性需求的编码与验证，以及测试报告、用户部署手册的统筹编写。</w:t>
      </w:r>
    </w:p>
    <w:p w14:paraId="6AF2FE0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7" w:name="_Toc22461"/>
      <w:r>
        <w:rPr>
          <w:rFonts w:hint="default" w:ascii="宋体" w:hAnsi="宋体" w:eastAsia="宋体" w:cs="宋体"/>
          <w:b/>
          <w:bCs/>
          <w:color w:val="000000"/>
          <w:kern w:val="0"/>
          <w:sz w:val="24"/>
          <w:szCs w:val="24"/>
        </w:rPr>
        <w:t>3.2 活动排序</w:t>
      </w:r>
      <w:bookmarkEnd w:id="17"/>
    </w:p>
    <w:p w14:paraId="6594834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在全面梳理出具体活动后，项目经理依据软件工程规范与各项业务流转的内在逻辑，明确了活动之间的依赖关系并构建了进度网络图。</w:t>
      </w:r>
    </w:p>
    <w:p w14:paraId="690E5E2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本项目的活动排序主要遵循“前置基础支撑后置业务，上游数据驱动下游审核”的流转逻辑。</w:t>
      </w:r>
    </w:p>
    <w:p w14:paraId="47643F5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首先，需求基线化与底层政务云软硬件环境适配、数据库架构设计是所有后续开发的绝对前置节点，必须优先完成。在进入编码阶段后，系统层面的基础支撑必须最先就绪，因此省级端“系统管理与后台维护子系统”中的角色权限控制底座与调查期时间范围配置活动被排在首位，作为全省用户登录鉴权与操作时间窗口管控的先决条件。紧接着展开的是业务闭环的排序：企业端的“基础备案信息录入与数据填报”活动必须优先于市级端开发，因为它是整个系统的业务源头与数据入口；随后才能并行推进市级端“数据审核与退回调度”活动的开发，以承接企业端上报的数据流；当市级审核节点打通后，省级端的“全省数据汇总入库、多维图表分析与异常预警”活动方具备真实的联调数据源，从而启动开发；最终流转至“对接部级系统接口数据上报”活动。</w:t>
      </w:r>
    </w:p>
    <w:p w14:paraId="054EDF2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贯穿整个周期的非功能性活动中，代码加密与并发处理等底层优化活动与功能开发并行，而跨层级的业务联调测试、渗透安全测试、系统试运行以及最终的操作手册编写则严格作为尾部节点，被置于所有核心业务代码冻结之后。通过识别这些强依赖关系，项目组明确了从权限搭建到填报、审核、汇总上报的项目关键路径，为后续甘特图的绘制提供了坚实依据。</w:t>
      </w:r>
    </w:p>
    <w:p w14:paraId="725495E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8" w:name="_Toc283"/>
      <w:r>
        <w:rPr>
          <w:rFonts w:hint="default" w:ascii="宋体" w:hAnsi="宋体" w:eastAsia="宋体" w:cs="宋体"/>
          <w:b/>
          <w:bCs/>
          <w:color w:val="000000"/>
          <w:kern w:val="0"/>
          <w:sz w:val="24"/>
          <w:szCs w:val="24"/>
        </w:rPr>
        <w:t>3.3 活动历时估算</w:t>
      </w:r>
      <w:bookmarkEnd w:id="18"/>
    </w:p>
    <w:p w14:paraId="49438C9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完成工作分解结构（WBS）的细化后，项目组综合运用了多种科学的估算方法对各项开发活动的历时进行了精密测算。针对常态化的增删改查表单与常规UI页面开发，团队采用了定额估算法，依据团队历史同类政务项目的生产率常数直接折算工时；针对系统后端的复杂数据汇总与高并发处理模块，引入了经验导出模型（如COCOMO模型），根据预估的代码行数结合团队人员能力指数推算整体研发周期；而对于本次需求变更中新增的“手机端跨平台适配”以及“半月报/整月报动态切换”等存在技术不确定性的高风险活动，则采用了PERT（三点估算法），综合评估了最乐观、最悲观与最可能的完成时间，以此消除估算偏差。通过这些综合手段，确保了底层工时数据的客观性与准确性。</w:t>
      </w:r>
    </w:p>
    <w:p w14:paraId="49AA36C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9" w:name="_Toc27727"/>
      <w:r>
        <w:rPr>
          <w:rFonts w:hint="default" w:ascii="宋体" w:hAnsi="宋体" w:eastAsia="宋体" w:cs="宋体"/>
          <w:b/>
          <w:bCs/>
          <w:color w:val="000000"/>
          <w:kern w:val="0"/>
          <w:sz w:val="24"/>
          <w:szCs w:val="24"/>
        </w:rPr>
        <w:t>3.4 制定进度计划</w:t>
      </w:r>
      <w:bookmarkEnd w:id="19"/>
    </w:p>
    <w:p w14:paraId="62DA8FB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基于活动排序与历时估算，项目组全面梳理了各模块的前置与后置依赖，采用关键路径法（CPM）推演出了项目的最长执行路径。在应对新增手机端需求所带来的巨大进度压力时，我们引入了时间压缩法进行缓冲：采用了“快速跟进（Fast Tracking）”策略，让Web端后台接口开发与手机端UI渲染并行推进；并在必要节点规划了适度的“赶工（Crashing）”以增加测试资源投入。尽管采取了压缩手段，经严格测算，整体关键路径基线仍需从原定的8周合理顺延至10周。</w:t>
      </w:r>
    </w:p>
    <w:p w14:paraId="70B00B5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项目整体的进度排期已使用 Microsoft Project 软件进行了严密的甘特图绘制，详细配置了任务结构、资源分配、依赖关系与关键里程碑。鉴于本项目包含Web端与移动端双线并行开发，WBS任务拆解颗粒度较细，导致甘特图节点繁多、幅面过大，无法在本文档页面中清晰、完整地展示。因此，我们已将排版完备的甘特图源文件（.mpp格式）以及导出的高清PDF全景图作为独立附件放置于本文档外部，请审阅专家查阅配套提交物。</w:t>
      </w:r>
    </w:p>
    <w:p w14:paraId="06B7A39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20" w:name="_Toc30899"/>
      <w:r>
        <w:rPr>
          <w:rFonts w:hint="default" w:ascii="宋体" w:hAnsi="宋体" w:eastAsia="宋体" w:cs="宋体"/>
          <w:b/>
          <w:bCs/>
          <w:color w:val="000000"/>
          <w:kern w:val="0"/>
          <w:sz w:val="24"/>
          <w:szCs w:val="24"/>
        </w:rPr>
        <w:t>3.5 里程碑清单</w:t>
      </w:r>
      <w:bookmarkEnd w:id="20"/>
    </w:p>
    <w:p w14:paraId="2FA8A396">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里程碑一：需求与架构基线冻结（第2周末）。完成底层政务云软硬件环境搭建与数据库物理设计。</w:t>
      </w:r>
    </w:p>
    <w:p w14:paraId="36068219">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里程碑二：Web端核心功能联调（第5周末）。完成企业端Web页面数据填报校验逻辑与市级端审核退回闭环的集成测试。</w:t>
      </w:r>
    </w:p>
    <w:p w14:paraId="4090D264">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里程碑三：手机端移动办公模块攻坚完成（第7周末）。新增的手机端企业上报界面与省级移动端审核审批流全部开发完毕，并打通前后端数据流转。</w:t>
      </w:r>
    </w:p>
    <w:p w14:paraId="1DCB3D7C">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里程碑四：全链路系统测试与合规审查（第9周末）。完成等保三级安全渗透测试、多机型真机兼容性测试及并发压力测试，系统内重大缺陷实现清零闭环。</w:t>
      </w:r>
    </w:p>
    <w:p w14:paraId="5548A7DF">
      <w:pPr>
        <w:keepNext w:val="0"/>
        <w:keepLines w:val="0"/>
        <w:pageBreakBefore w:val="0"/>
        <w:widowControl/>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里程碑五：系统验收与正式上线（第10周末）。完成全部</w:t>
      </w:r>
      <w:r>
        <w:rPr>
          <w:rFonts w:hint="eastAsia" w:ascii="Times New Roman" w:hAnsi="Times New Roman" w:eastAsia="宋体" w:cs="宋体"/>
          <w:color w:val="000000"/>
          <w:kern w:val="0"/>
          <w:sz w:val="24"/>
          <w:szCs w:val="24"/>
          <w:lang w:val="en-US" w:eastAsia="zh-CN"/>
        </w:rPr>
        <w:t>文档</w:t>
      </w:r>
      <w:r>
        <w:rPr>
          <w:rFonts w:hint="default" w:ascii="Times New Roman" w:hAnsi="Times New Roman" w:eastAsia="宋体" w:cs="宋体"/>
          <w:color w:val="000000"/>
          <w:kern w:val="0"/>
          <w:sz w:val="24"/>
          <w:szCs w:val="24"/>
        </w:rPr>
        <w:t>编制、生产环境部署，经甲方签署验收报告后正式交付运行。</w:t>
      </w:r>
    </w:p>
    <w:p w14:paraId="75323A4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21" w:name="_Toc7611"/>
      <w:r>
        <w:rPr>
          <w:rFonts w:hint="default" w:ascii="宋体" w:hAnsi="宋体" w:eastAsia="宋体" w:cs="宋体"/>
          <w:b/>
          <w:bCs/>
          <w:color w:val="000000"/>
          <w:kern w:val="0"/>
          <w:sz w:val="24"/>
          <w:szCs w:val="24"/>
        </w:rPr>
        <w:t>3.6 进度控制</w:t>
      </w:r>
      <w:bookmarkEnd w:id="21"/>
    </w:p>
    <w:p w14:paraId="6C4D983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项目在历经需求变更后仍能在10周内准时履约，项目组建立了一套动态的进度监控与偏差纠正机制。在日常执行中，项目经理依托甘特图基准，在每周五的课内实验与里程碑评审会上，定期收集各开发组的实际工时消耗与任务完成百分比。团队引入了挣值管理体系中的进度绩效指数（SPI</w:t>
      </w:r>
      <w:r>
        <w:rPr>
          <w:rFonts w:hint="eastAsia" w:ascii="Times New Roman" w:hAnsi="Times New Roman" w:eastAsia="宋体" w:cs="宋体"/>
          <w:color w:val="000000"/>
          <w:kern w:val="0"/>
          <w:sz w:val="24"/>
          <w:szCs w:val="24"/>
          <w:lang w:eastAsia="zh-CN"/>
        </w:rPr>
        <w:t>）</w:t>
      </w:r>
      <w:r>
        <w:rPr>
          <w:rFonts w:hint="default" w:ascii="Times New Roman" w:hAnsi="Times New Roman" w:eastAsia="宋体" w:cs="宋体"/>
          <w:color w:val="000000"/>
          <w:kern w:val="0"/>
          <w:sz w:val="24"/>
          <w:szCs w:val="24"/>
        </w:rPr>
        <w:t>作为核心监测指标。</w:t>
      </w:r>
    </w:p>
    <w:p w14:paraId="2634808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偏差处理机制如下：当监测到某项非关键路径任务轻微滞后（SPI在0.9至1.0之间）时，组内通过资源微调自行消化；一旦SPI跌破0.9或关键路径活动发生实质性延误，将立即触发红色预警机制。项目经理将紧急召开偏差分析会议，查明系技术瓶颈还是人力不足所致，并果断采取纠偏措施——包括但不限于：实施局部“赶工”安排周末加班、申请外部技术专家协助攻关、或者在配置控制委员会（SCCB）的授权下暂时削减边缘非核心功能（如复杂报表导出格式优化）以保全核心业务逻辑的准时上线。</w:t>
      </w:r>
    </w:p>
    <w:p w14:paraId="141E62B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lang w:val="en-US" w:eastAsia="zh-CN"/>
        </w:rPr>
      </w:pPr>
    </w:p>
    <w:p w14:paraId="5A3C58E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22" w:name="_Toc29564"/>
      <w:r>
        <w:rPr>
          <w:rFonts w:hint="default" w:ascii="宋体" w:hAnsi="宋体" w:eastAsia="宋体" w:cs="宋体"/>
          <w:b/>
          <w:bCs/>
          <w:color w:val="000000"/>
          <w:kern w:val="0"/>
          <w:sz w:val="28"/>
          <w:szCs w:val="28"/>
          <w:lang w:val="en-US" w:eastAsia="zh-CN"/>
        </w:rPr>
        <w:t>4. 成本管理</w:t>
      </w:r>
      <w:bookmarkEnd w:id="22"/>
    </w:p>
    <w:p w14:paraId="7F60C6B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23" w:name="_Toc31068"/>
      <w:r>
        <w:rPr>
          <w:rFonts w:hint="default" w:ascii="宋体" w:hAnsi="宋体" w:eastAsia="宋体" w:cs="宋体"/>
          <w:b/>
          <w:bCs/>
          <w:color w:val="000000"/>
          <w:kern w:val="0"/>
          <w:sz w:val="24"/>
          <w:szCs w:val="24"/>
        </w:rPr>
        <w:t>4.1 成本构成</w:t>
      </w:r>
      <w:bookmarkEnd w:id="23"/>
    </w:p>
    <w:p w14:paraId="274580B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本项目的总成本严格按照科学的工程财务规范进行测算，全面涵盖了直接成本、间接成本以及管理储备三大板块。</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直接成本是项目支出的核心，主要由11名团队成员（包含项目经理、需求分析师、前后端开发、测试及配置管理员等）在 10周（原定8周，因新增手机端与周期变更需求额外增加2周） 研发周期内的人力资源薪资构成，按行业平均人力单价折算，预计人力直接成本为 375,000元。</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此外，直接成本还包含5,000元的软硬件采购费，其中特意拨付1,000元用于团队集中购买Codex、Claude及GitHub Copilot等智能体编程辅助工具的共享账号，以及4,000元用于租赁云南省政务云标准版测试服务器。</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间接成本主要涵盖团队在研发期间的场地分摊、日常水电、办公耗材以及针对等保三级规范和信创底座适配的内部技术培训费用，该部分按照直接成本的 15%进行定额计提，约为56,250元。</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为了有效应对因国家失业监测系统接口标准突变或不可预见的技术瓶颈所带来的风险，项目组特别设立了53,750元 的管理储备金。</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综合以上各项，本《云南省企业就业失业数据采集系统》项目的整体估算成本设定为 485,000元（已包含因需求变更追加的成本）。</w:t>
      </w:r>
    </w:p>
    <w:p w14:paraId="1097CEC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4" w:name="_Toc4420"/>
      <w:r>
        <w:rPr>
          <w:rFonts w:hint="default" w:ascii="宋体" w:hAnsi="宋体" w:eastAsia="宋体" w:cs="宋体"/>
          <w:b/>
          <w:bCs/>
          <w:color w:val="000000"/>
          <w:kern w:val="0"/>
          <w:sz w:val="24"/>
          <w:szCs w:val="24"/>
        </w:rPr>
        <w:t>4.2 成本估算方法</w:t>
      </w:r>
      <w:bookmarkEnd w:id="24"/>
    </w:p>
    <w:p w14:paraId="456CE8D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为确保预算数据的精准度与合理性，项目组综合采用了类比估算、自下而上估算以及功能点估算三种测算方法进行交叉验证。</w:t>
      </w:r>
    </w:p>
    <w:p w14:paraId="632F218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在项目启动初期，项目经理首先运用了类比估算法，参考了以往同等规模的“省级社保基础数据上报平台”项目，得出了约40万元的宏观指导基准。</w:t>
      </w:r>
    </w:p>
    <w:p w14:paraId="60E3B15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随后，在完成详细的工作分解结构（WBS）后，团队执行了严谨的自下而上估算，将四个核心子系统拆解为120余项具体活动，并由各活动负责人结合智能体工具带来的编码提效系数，详细评估出各项任务所需的人时与资源消耗，逐层向上汇总得出精确的项目底线成本。</w:t>
      </w:r>
    </w:p>
    <w:p w14:paraId="18B8428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了进一步验证估算的可靠性，项目组还引入了功能点估算法（FP），经测算，本系统的未调整功能点（UFP）总量约为350个，结合10人团队的历史生产率常数，推算出系统的预期核心代码量与测试用例数，由此折算出的工作量成本与自下而上的汇总结果误差在5%以内，最终夯实了总体预算数据的科学基础。</w:t>
      </w:r>
    </w:p>
    <w:p w14:paraId="5559DF2F">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5" w:name="_Toc20519"/>
      <w:r>
        <w:rPr>
          <w:rFonts w:hint="default" w:ascii="宋体" w:hAnsi="宋体" w:eastAsia="宋体" w:cs="宋体"/>
          <w:b/>
          <w:bCs/>
          <w:color w:val="000000"/>
          <w:kern w:val="0"/>
          <w:sz w:val="24"/>
          <w:szCs w:val="24"/>
        </w:rPr>
        <w:t>4.3 成本预算</w:t>
      </w:r>
      <w:bookmarkEnd w:id="25"/>
    </w:p>
    <w:p w14:paraId="6C1F6C1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在确立了 48.5 万元 的总预算额度后，项目组将其科学地分摊至 WBS 的各个核心工作包中，并按 10 周 的项目时间轴生成了成本基准支出计划。在资金分配上，系统管控与质量保证模块获批 55,000 元预算；企业端数据采集与备案子系统（含手机端上报开发）因涉及繁琐的半月报/整月报表单校验与多端页面交互，分配预算为 110,000 元；市级端数据审核与辖区调度子系统分配 65,000 元；省级端数据管理与分析子系统（含手机端审核开发）由于承担了全省数据并发汇总、复杂 Echarts 多维统计大屏渲染以及部级接口对接等重难点任务，获得了最高的 145,000 元预算；文档编写、全链路联调与最终交付部署包分配 56,250 元；剩余 53,750 元作为管理储备与应急池单独封存。</w:t>
      </w:r>
    </w:p>
    <w:p w14:paraId="2F67D06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按照时间序列铺排，项目的成本支出将呈现标准的 S 型曲线：在第 1 至第 2 周的需求分析与架构搭建期，资金消耗较为平缓，累计约占 15%；在第 3 至第 8 周的核心编码与集成联调高峰期（包含额外增加的手机端业务与半月报逻辑开发），随着大量开发人力与云计算资源的集中投入，成本支出将快速爬升，累计消耗将达到预算的 75%；在最后两周（第 9 至第 10 周）的系统试运行与验收阶段，成本曲线再度趋于平缓。</w:t>
      </w:r>
    </w:p>
    <w:p w14:paraId="54381FE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26" w:name="_Toc13852"/>
      <w:r>
        <w:rPr>
          <w:rFonts w:hint="default" w:ascii="宋体" w:hAnsi="宋体" w:eastAsia="宋体" w:cs="宋体"/>
          <w:b/>
          <w:bCs/>
          <w:color w:val="000000"/>
          <w:kern w:val="0"/>
          <w:sz w:val="24"/>
          <w:szCs w:val="24"/>
        </w:rPr>
        <w:t>4.4 成本控制</w:t>
      </w:r>
      <w:bookmarkEnd w:id="26"/>
    </w:p>
    <w:p w14:paraId="5C9A2B1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组制定了严格的预算变更流程与成本动态监控机制，以确保项目资金不超支。在日常执行过程中，项目经理将全面引入挣值管理体系，在每周五的课内实验与里程碑评审会上，定期计算项目的成本绩效指数与进度绩效指数。一旦发现CPI跌破0.95的安全红线，项目组将立刻触发预警机制，召开专项会议排查资源浪费或返工重灾区，并采取加班赶工或优化智能体提示词等纠偏措施。</w:t>
      </w:r>
    </w:p>
    <w:p w14:paraId="4C9922A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当既定需求发生实质性变化并由此引发成本超支风险时，必须走正规的预算变更流程。需求提出方需提交详尽的变更申请单，阐明修改内容及其对成本基准的具体影响金额，随后由配置控制委员会进行影响面评估与审批。</w:t>
      </w:r>
    </w:p>
    <w:p w14:paraId="5513F51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只有在负责人签字同意后，方可动用50,000元的管理储备金来追加相应模块的开发预算，且所有成本基准的修改操作及历史审批流转记录，均需完整保存在Git等配置管理工具中以备期末验收审计。</w:t>
      </w:r>
    </w:p>
    <w:p w14:paraId="3F303AB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p>
    <w:p w14:paraId="0AC1042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default" w:ascii="宋体" w:hAnsi="宋体" w:eastAsia="宋体" w:cs="宋体"/>
          <w:b/>
          <w:bCs/>
          <w:color w:val="000000"/>
          <w:kern w:val="0"/>
          <w:sz w:val="28"/>
          <w:szCs w:val="28"/>
          <w:lang w:val="en-US" w:eastAsia="zh-CN"/>
        </w:rPr>
      </w:pPr>
      <w:bookmarkStart w:id="27" w:name="_Toc14606"/>
      <w:r>
        <w:rPr>
          <w:rFonts w:hint="default" w:ascii="宋体" w:hAnsi="宋体" w:eastAsia="宋体" w:cs="宋体"/>
          <w:b/>
          <w:bCs/>
          <w:color w:val="000000"/>
          <w:kern w:val="0"/>
          <w:sz w:val="28"/>
          <w:szCs w:val="28"/>
          <w:lang w:val="en-US" w:eastAsia="zh-CN"/>
        </w:rPr>
        <w:t>5</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质量管理</w:t>
      </w:r>
      <w:bookmarkEnd w:id="27"/>
    </w:p>
    <w:p w14:paraId="4ED1C82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8" w:name="_Toc31667"/>
      <w:r>
        <w:rPr>
          <w:rFonts w:hint="default" w:ascii="宋体" w:hAnsi="宋体" w:eastAsia="宋体" w:cs="宋体"/>
          <w:b/>
          <w:bCs/>
          <w:color w:val="000000"/>
          <w:kern w:val="0"/>
          <w:sz w:val="24"/>
          <w:szCs w:val="24"/>
        </w:rPr>
        <w:t>5.1 质量目标</w:t>
      </w:r>
      <w:bookmarkEnd w:id="28"/>
    </w:p>
    <w:p w14:paraId="2A99EDE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本项目以《需求规格说明书》第5章的非功能性需求为根本准绳，致力于交付高标准、严要求的政务级软件系统。</w:t>
      </w:r>
    </w:p>
    <w:p w14:paraId="668BBD4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在性能目标方面，系统必须具备处理全省大规模企业集中访问与数据交互的能力，关键业务接口（如大批量审核数据的Excel导出、多维度统计看板加载）的响应延迟需严格控制在500ms以内。</w:t>
      </w:r>
    </w:p>
    <w:p w14:paraId="3B1BEE2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在可靠性目标方面，核心业务流程（如数据提交省级审核、退回重报等）必须具备完整的事务回滚与容错恢复机制，确保在极值并发或网络波动下暂存数据与审核进度不丢失。</w:t>
      </w:r>
    </w:p>
    <w:p w14:paraId="29DBCCC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在安全性目标方面，系统必须满足国家信息安全等级保护三级标准，实现严格的角色权限隔离（企业、市级、省级），对敏感明细数据传输与存储实施加密，并彻底杜绝引入未经安全审查的第三方开源组件。</w:t>
      </w:r>
    </w:p>
    <w:p w14:paraId="7F9A6BB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val="en-US" w:eastAsia="zh-CN"/>
        </w:rPr>
      </w:pPr>
      <w:r>
        <w:rPr>
          <w:rFonts w:hint="default" w:ascii="Times New Roman" w:hAnsi="Times New Roman" w:eastAsia="宋体" w:cs="宋体"/>
          <w:color w:val="000000"/>
          <w:kern w:val="0"/>
          <w:sz w:val="24"/>
          <w:szCs w:val="24"/>
        </w:rPr>
        <w:t>此外，在可维护性与兼容性方面，系统需全面适配国产化信创软硬件底座，代码结构需保持高内聚低耦合；同时，所有数据修正及权限变更行为必须做到百分之百留痕，达成严苛的可审计性目标。</w:t>
      </w:r>
    </w:p>
    <w:p w14:paraId="14059D6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9" w:name="_Toc21381"/>
      <w:r>
        <w:rPr>
          <w:rFonts w:hint="default" w:ascii="宋体" w:hAnsi="宋体" w:eastAsia="宋体" w:cs="宋体"/>
          <w:b/>
          <w:bCs/>
          <w:color w:val="000000"/>
          <w:kern w:val="0"/>
          <w:sz w:val="24"/>
          <w:szCs w:val="24"/>
        </w:rPr>
        <w:t>5.2 质量计划内容</w:t>
      </w:r>
      <w:bookmarkEnd w:id="29"/>
    </w:p>
    <w:p w14:paraId="06478CD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为确保上述质量目标的全面达成，项目组制定了贯穿全生命周期的综合质量计划。</w:t>
      </w:r>
    </w:p>
    <w:p w14:paraId="5579CE7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本计划的核心内容明确了以“预防为主、持续改进”为原则的质量把控活动，包括前期的需求基线评审、开发过程中的持续集成与自动化构建，以及交付前的全链路压测。</w:t>
      </w:r>
    </w:p>
    <w:p w14:paraId="7905201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在职责划分上，项目经理全面统筹项目质量，指定的质量保证（QA）专员独立负责监督工程化流程的规范落地，而开发与测试人员则分别对所交付的代码质量和缺陷检出率负责。</w:t>
      </w:r>
    </w:p>
    <w:p w14:paraId="6C31C7A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在资源配置方面，项目组将充分利用智能体编程工具进行辅助代码审查，并依托政务云提供的专属测试服务器开展沙箱环境验证。</w:t>
      </w:r>
    </w:p>
    <w:p w14:paraId="0A3167E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整个质量计划通过建立明确的准入与准出控制手段，确保每一个WBS工作包在进入下一阶段前，都必须经过严格的质量门禁核查。</w:t>
      </w:r>
    </w:p>
    <w:p w14:paraId="74B6A44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0" w:name="_Toc9791"/>
      <w:r>
        <w:rPr>
          <w:rFonts w:hint="default" w:ascii="宋体" w:hAnsi="宋体" w:eastAsia="宋体" w:cs="宋体"/>
          <w:b/>
          <w:bCs/>
          <w:color w:val="000000"/>
          <w:kern w:val="0"/>
          <w:sz w:val="24"/>
          <w:szCs w:val="24"/>
        </w:rPr>
        <w:t>5.3 质量保证</w:t>
      </w:r>
      <w:bookmarkEnd w:id="30"/>
    </w:p>
    <w:p w14:paraId="6337D49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质量保证工作侧重于项目过程的合规性与规范性，旨在通过构建科学的体系来防止缺陷的产生。</w:t>
      </w:r>
    </w:p>
    <w:p w14:paraId="6C46218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组将定期开展过程审计，重点检查十名团队成员是否严格遵循了既定的软件工程规范。这其中包括审计需求变更流程的执行情况，核实当需求发生变动时是否正式提交了变更申请单、是否经过了配置控制委员会的签字审批，以及版本控制库（Git）中的分支管理策略与提交日志是否规范完整。</w:t>
      </w:r>
    </w:p>
    <w:p w14:paraId="39FC0C4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另一方面，团队还将实施产品审计，对项目运行周期内产生的各阶段非代码类阶段性交付物（如项目计划基线版本、需求规格说明书、数据库物理设计报告、系统操作手册等）进行独立的形式与内容双重审查，确保文档的完整性、一致性以及与系统实际功能的高度吻合，从而向上级主管部门和干系人提供项目质量符合标准的充分信心。</w:t>
      </w:r>
    </w:p>
    <w:p w14:paraId="60793F0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1" w:name="_Toc13103"/>
      <w:r>
        <w:rPr>
          <w:rFonts w:hint="default" w:ascii="宋体" w:hAnsi="宋体" w:eastAsia="宋体" w:cs="宋体"/>
          <w:b/>
          <w:bCs/>
          <w:color w:val="000000"/>
          <w:kern w:val="0"/>
          <w:sz w:val="24"/>
          <w:szCs w:val="24"/>
        </w:rPr>
        <w:t>5.4 质量控制</w:t>
      </w:r>
      <w:bookmarkEnd w:id="31"/>
    </w:p>
    <w:p w14:paraId="7924D22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质量控制工作聚焦于具体的产出物，通过一系列查错与纠偏手段，力保最终交付的系统质量过关。</w:t>
      </w:r>
    </w:p>
    <w:p w14:paraId="74ADE06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在编码阶段，团队将严格落实技术评审与代码走查机制，针对核心的数据库E-R结构、跨端权限校验逻辑以及并发数据暂存逻辑进行组内同行评审，并借助智能编程工具对语法规范与潜在漏洞进行实时静态扫描。</w:t>
      </w:r>
    </w:p>
    <w:p w14:paraId="0786D81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动态测试层面，实施由微观到宏观的三级测试体系：首先由开发人员完成各独立模块的单元测试；随后开展集成测试，重点验证企业端填报、市级端审核退回、省级端汇总上报这一跨子系统核心数据链路的正确性；最后进行全局系统测试，涵盖功能验收测试、等保三级安全渗透测试以及模拟全省上报高峰期的并发压力测试。</w:t>
      </w:r>
    </w:p>
    <w:p w14:paraId="387B8F4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对于测试阶段发现的任何异常，项目组将引入标准化的缺陷跟踪管理机制，详细记录缺陷的发现时间、重现步骤、严重等级及处理状态，确保所有中高级别缺陷在系统上线发布前被彻底清零闭环。</w:t>
      </w:r>
    </w:p>
    <w:p w14:paraId="5EC6572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2" w:name="_Toc504"/>
      <w:r>
        <w:rPr>
          <w:rFonts w:hint="default" w:ascii="宋体" w:hAnsi="宋体" w:eastAsia="宋体" w:cs="宋体"/>
          <w:b/>
          <w:bCs/>
          <w:color w:val="000000"/>
          <w:kern w:val="0"/>
          <w:sz w:val="24"/>
          <w:szCs w:val="24"/>
        </w:rPr>
        <w:t>5.5 质量成本</w:t>
      </w:r>
      <w:bookmarkEnd w:id="32"/>
    </w:p>
    <w:p w14:paraId="1D9ADE8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为在有限的资源内实现质量效益的最大化，项目组对质量成本进行了科学的规划与度量。</w:t>
      </w:r>
    </w:p>
    <w:p w14:paraId="629108E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项目大力倾斜于预防成本的投入，包括在项目启动初期为十名成员安排关于政务云国产化部署规范、智能体辅助编程工具高效使用以及等保三级安全合规体系的专项技术培训，以期从源头降低代码返工率。</w:t>
      </w:r>
    </w:p>
    <w:p w14:paraId="21504EE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评估成本方面，团队合理拨付了用于实施代码走查、环境搭建、自动化测试脚手架构建以及开展多轮次系统集成测试的人力与时间资源。通过做重预防与评估环节，项目组致力于将内部缺陷成本压缩至最低水平。</w:t>
      </w:r>
    </w:p>
    <w:p w14:paraId="6CA5F27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同时，项目设立了零外部缺陷成本的极致目标，即坚决杜绝带有重大逻辑漏洞或数据泄漏风险的系统被发布至生产环境，从而彻底避免因处理全省范围内的线上故障投诉、数据脏写修复以及行政问责所带来的巨额隐性外部损失。</w:t>
      </w:r>
    </w:p>
    <w:p w14:paraId="336D38C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p>
    <w:p w14:paraId="2B2F2F3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Times New Roman" w:hAnsi="Times New Roman" w:eastAsia="宋体" w:cs="宋体"/>
          <w:color w:val="000000"/>
          <w:kern w:val="0"/>
          <w:sz w:val="24"/>
          <w:szCs w:val="24"/>
        </w:rPr>
      </w:pPr>
      <w:bookmarkStart w:id="33" w:name="_Toc26111"/>
      <w:r>
        <w:rPr>
          <w:rFonts w:hint="default" w:ascii="宋体" w:hAnsi="宋体" w:eastAsia="宋体" w:cs="宋体"/>
          <w:b/>
          <w:bCs/>
          <w:color w:val="000000"/>
          <w:kern w:val="0"/>
          <w:sz w:val="28"/>
          <w:szCs w:val="28"/>
          <w:lang w:val="en-US" w:eastAsia="zh-CN"/>
        </w:rPr>
        <w:t>6</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人力资源管理</w:t>
      </w:r>
      <w:bookmarkEnd w:id="33"/>
    </w:p>
    <w:p w14:paraId="7951604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34" w:name="_Toc30009"/>
      <w:r>
        <w:rPr>
          <w:rFonts w:hint="default" w:ascii="宋体" w:hAnsi="宋体" w:eastAsia="宋体" w:cs="宋体"/>
          <w:b/>
          <w:bCs/>
          <w:color w:val="000000"/>
          <w:kern w:val="0"/>
          <w:sz w:val="24"/>
          <w:szCs w:val="24"/>
        </w:rPr>
        <w:t>6.1 项目角色与职责</w:t>
      </w:r>
      <w:bookmarkEnd w:id="34"/>
    </w:p>
    <w:p w14:paraId="4E220DA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w:t>
      </w:r>
      <w:r>
        <w:rPr>
          <w:rFonts w:hint="eastAsia" w:ascii="Times New Roman" w:hAnsi="Times New Roman" w:eastAsia="宋体" w:cs="宋体"/>
          <w:color w:val="000000"/>
          <w:kern w:val="0"/>
          <w:sz w:val="24"/>
          <w:szCs w:val="24"/>
          <w:lang w:val="en-US" w:eastAsia="zh-CN"/>
        </w:rPr>
        <w:t>本项目</w:t>
      </w:r>
      <w:r>
        <w:rPr>
          <w:rFonts w:hint="default" w:ascii="Times New Roman" w:hAnsi="Times New Roman" w:eastAsia="宋体" w:cs="宋体"/>
          <w:color w:val="000000"/>
          <w:kern w:val="0"/>
          <w:sz w:val="24"/>
          <w:szCs w:val="24"/>
        </w:rPr>
        <w:t>的高效落地与规范管理，本项目组建了一支权责分明、技能互补的11人跨职能研发团队。</w:t>
      </w:r>
    </w:p>
    <w:p w14:paraId="6EF4B02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王皓翔担任本项目的项目经理（PM），全面负责项目进度、成本与范围的统筹把控，主持每周的例会与里程碑评审，主导配置控制委员会的变更审批流程，并全权负责最终交付物的基线发布。</w:t>
      </w:r>
    </w:p>
    <w:p w14:paraId="01B37F0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雷嘉瑞担任业务大组长兼核心需求分析师，负责主导《需求规格说明书》的细化与基线化，深度梳理省、市、企三端业务流转逻辑，并协助评估全生命周期的需求变更影响。</w:t>
      </w:r>
    </w:p>
    <w:p w14:paraId="2266FAD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吴文皓担任系统架构师兼后端开发骨干，主导政务云环境下的容器化部署方案及达梦数据库物理设计。</w:t>
      </w:r>
    </w:p>
    <w:p w14:paraId="50733C5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前端开发由刘欣怡与彭小芳共同承担，重点负责企业端填报表单的响应式交互开发以及省级端多维度统计大屏的视图渲染。</w:t>
      </w:r>
    </w:p>
    <w:p w14:paraId="3638F5E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后端核心业务逻辑由胡瀚与汪诗涵负责，聚焦于系统接口开发、并发数据暂存与事务回滚机制实现，并主力探索使用智能体编程工具提升代码产出效率。</w:t>
      </w:r>
    </w:p>
    <w:p w14:paraId="7CF6E60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彭希言担任软件测试工程师，主导编写测试用例并执行全链路功能与性能压测。王李嘉航担任配置管理员，全权负责版本控制库的权限管理与配置变更历史的归档留痕。</w:t>
      </w:r>
    </w:p>
    <w:p w14:paraId="4A5CB8D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张子敬出任质量保证专员，负责过程审计并监督各项工程化规范与等保三级安全标准的落地。</w:t>
      </w:r>
    </w:p>
    <w:p w14:paraId="7290834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吴珈乐担任实施与运维工程师，负责编制用户操作手册并在课内验收环节协助进行系统原型的现场演示保障。</w:t>
      </w:r>
    </w:p>
    <w:p w14:paraId="619B8B4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35" w:name="_Toc20557"/>
      <w:r>
        <w:rPr>
          <w:rFonts w:hint="default" w:ascii="宋体" w:hAnsi="宋体" w:eastAsia="宋体" w:cs="宋体"/>
          <w:b/>
          <w:bCs/>
          <w:color w:val="000000"/>
          <w:kern w:val="0"/>
          <w:sz w:val="24"/>
          <w:szCs w:val="24"/>
        </w:rPr>
        <w:t>6.2 人员配备计划</w:t>
      </w:r>
      <w:bookmarkEnd w:id="35"/>
    </w:p>
    <w:p w14:paraId="4587623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本项目的开发周期严格设定为 10 周，人员配备计划根据项目生命周期各阶段的任务重心进行动态调配。</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在第 1 至第 2 周的前期需求与架构设计阶段，项目经理王皓翔、需求分析师雷嘉瑞与架构师吴文皓构成核心投入力量，重点完成需求基线确立与底层环境打通；此时，配置管理员王李嘉航与质量保证专员张子敬同步介入以规范初始化流程，前端开发刘欣怡与彭小芳则在此阶段完成Web端与手机端高保真原型的设计与评审。</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进入第 3 至第 8 周的核心编码阶段，研发力量达到全员峰值，刘欣怡、彭小芳、吴文皓、胡瀚、汪诗涵满负荷投入，除既定Web端任务外，同步承担手机端（企业上报与省审核）的前端渲染与接口开发，并完成1-3月半月报复杂逻辑判断的编码，利用智能体编程工具进行各模块的敏捷开发与并行联调；测试工程师彭希言开始密集穿插进行单元与集成测试，王李嘉航严格控制代码合并的基线质量。</w:t>
      </w:r>
      <w:r>
        <w:rPr>
          <w:rFonts w:hint="default" w:ascii="Times New Roman" w:hAnsi="Times New Roman" w:eastAsia="宋体" w:cs="宋体"/>
          <w:color w:val="000000"/>
          <w:kern w:val="0"/>
          <w:sz w:val="24"/>
          <w:szCs w:val="24"/>
        </w:rPr>
        <w:br w:type="textWrapping"/>
      </w:r>
      <w:r>
        <w:rPr>
          <w:rFonts w:hint="eastAsia" w:ascii="Times New Roman" w:hAnsi="Times New Roman" w:eastAsia="宋体" w:cs="宋体"/>
          <w:color w:val="000000"/>
          <w:kern w:val="0"/>
          <w:sz w:val="24"/>
          <w:szCs w:val="24"/>
          <w:lang w:val="en-US" w:eastAsia="zh-CN"/>
        </w:rPr>
        <w:tab/>
      </w:r>
      <w:r>
        <w:rPr>
          <w:rFonts w:hint="default" w:ascii="Times New Roman" w:hAnsi="Times New Roman" w:eastAsia="宋体" w:cs="宋体"/>
          <w:color w:val="000000"/>
          <w:kern w:val="0"/>
          <w:sz w:val="24"/>
          <w:szCs w:val="24"/>
        </w:rPr>
        <w:t>在第 9 至第 10 周 的测试验收与部署阶段，彭希言与实施工程师吴珈乐成为主导力量，全面开展系统级联调、手机端多机型真机验证与部署环境验证；QA 张子敬执行最终的产品审计，王皓翔与雷嘉瑞则统筹全员梳理项目计划的迭代历史、变更单据及版本控制截图，确保最终交付的物料矩阵满足各项验收基准。</w:t>
      </w:r>
    </w:p>
    <w:p w14:paraId="5A17AA2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36" w:name="_Toc13496"/>
      <w:r>
        <w:rPr>
          <w:rFonts w:hint="default" w:ascii="宋体" w:hAnsi="宋体" w:eastAsia="宋体" w:cs="宋体"/>
          <w:b/>
          <w:bCs/>
          <w:color w:val="000000"/>
          <w:kern w:val="0"/>
          <w:sz w:val="24"/>
          <w:szCs w:val="24"/>
        </w:rPr>
        <w:t>6.3 培训计划</w:t>
      </w:r>
      <w:bookmarkEnd w:id="36"/>
    </w:p>
    <w:p w14:paraId="1480F7F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为抹平团队成员之间的技术栈差异并确保系统研发符合政务领域的严苛规范，项目组制定了针对性的双线培训计划。</w:t>
      </w:r>
    </w:p>
    <w:p w14:paraId="48CE861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技术培训层面，项目经理王皓翔将在启动初期组织全员智能体辅助编程实操工坊，重点规范团队共享智能体工具账号的使用，指导成员利用高效提示词生成标准化的框架代码；配置管理员王李嘉航将开展版本控制专项培训，明确分支合并策略与需求变更引发的SCCB基线打回流程，确保期末提交的配置历史记录清晰规范、责任到人。</w:t>
      </w:r>
    </w:p>
    <w:p w14:paraId="4D817DA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业务与合规培训层面，需求分析师雷嘉瑞将为全体产研人员深度解读《云南省企业就业失业监测业务规范》，重点剖析企业人数异常强制说明及市级退回重报等核心流转逻辑，防止因业务理解偏差导致代码重构；架构师吴文皓则针对系统的等保三级约束进行安全规范分享，确保团队在数据传输加密、密码校验及防暴力破解机制等核心安全红线上达成统一共识，保障项目高质量合规交付。</w:t>
      </w:r>
    </w:p>
    <w:p w14:paraId="4226444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p>
    <w:p w14:paraId="356013B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37" w:name="_Toc14004"/>
      <w:r>
        <w:rPr>
          <w:rFonts w:hint="default" w:ascii="宋体" w:hAnsi="宋体" w:eastAsia="宋体" w:cs="宋体"/>
          <w:b/>
          <w:bCs/>
          <w:color w:val="000000"/>
          <w:kern w:val="0"/>
          <w:sz w:val="28"/>
          <w:szCs w:val="28"/>
          <w:lang w:val="en-US" w:eastAsia="zh-CN"/>
        </w:rPr>
        <w:t>7</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风险管理</w:t>
      </w:r>
      <w:bookmarkEnd w:id="37"/>
    </w:p>
    <w:p w14:paraId="523F8BE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38" w:name="_Toc12921"/>
      <w:r>
        <w:rPr>
          <w:rFonts w:hint="default" w:ascii="宋体" w:hAnsi="宋体" w:eastAsia="宋体" w:cs="宋体"/>
          <w:b/>
          <w:bCs/>
          <w:color w:val="000000"/>
          <w:kern w:val="0"/>
          <w:sz w:val="24"/>
          <w:szCs w:val="24"/>
        </w:rPr>
        <w:t>7.1 风险识别</w:t>
      </w:r>
      <w:bookmarkEnd w:id="38"/>
    </w:p>
    <w:p w14:paraId="1536B94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为保障项目在8周的紧凑周期内顺利实现高质量交付，项目组在启动阶段进行了全方位的风险识别工作。</w:t>
      </w:r>
    </w:p>
    <w:p w14:paraId="76A4D33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在技术风险方面，由于团队首次在满足等保三级标准的政务云信创底座上进行全栈开发，存在潜在的环境配置兼容性盲区；同时，本项目大规模引入Codex、GitHub Copilot等智能体编程工具，极易产生非标准化的冗余代码或携带有未授权开源协议的安全隐患代码。</w:t>
      </w:r>
    </w:p>
    <w:p w14:paraId="67ABA0C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在进度风险方面，省、市、企三级业务流转逻辑繁杂，若在开发中途遇到上级主管部门（指导教师）对业务统计维度的突发调整，一旦未能严格把控变更边界，极易引发范围蔓延与返工延期。</w:t>
      </w:r>
    </w:p>
    <w:p w14:paraId="72DC272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在人员风险方面，11人跨职能团队在协作过程中，可能因部分成员课业冲突导致实际研发工时投入不足，或因个别开发人员对智能体提示词掌握不熟练而导致代码产出不达标。</w:t>
      </w:r>
    </w:p>
    <w:p w14:paraId="656E40E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在外部依赖风险方面，系统最终需与国家部级失业监测系统进行接口对接，该对接缺乏真实的联调测试环境；</w:t>
      </w:r>
    </w:p>
    <w:p w14:paraId="35BA24A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此外，团队集资购买的共享智能体账号也存在因网络波动或跨端登录限制而导致服务中断的外部隐患。</w:t>
      </w:r>
    </w:p>
    <w:p w14:paraId="52D4BC0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highlight w:val="none"/>
        </w:rPr>
      </w:pPr>
      <w:bookmarkStart w:id="39" w:name="_Toc19376"/>
      <w:r>
        <w:rPr>
          <w:rFonts w:hint="default" w:ascii="宋体" w:hAnsi="宋体" w:eastAsia="宋体" w:cs="宋体"/>
          <w:b/>
          <w:bCs/>
          <w:color w:val="000000"/>
          <w:kern w:val="0"/>
          <w:sz w:val="24"/>
          <w:szCs w:val="24"/>
          <w:highlight w:val="none"/>
        </w:rPr>
        <w:t>7.2 风险分析</w:t>
      </w:r>
      <w:bookmarkEnd w:id="39"/>
    </w:p>
    <w:p w14:paraId="4A848F2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在完成风险识别后，项目经理王皓翔组织核心成员采用概率-影响矩阵对各项风险进行了严密的定性分析，以科学排定风险应对的优先级。</w:t>
      </w:r>
    </w:p>
    <w:p w14:paraId="6BC268E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经过评估，智能体生成代码的安全合规风险与需求变更失控导致的进度延期风险，因其发生概率较高且一旦爆发将直接导致项目无法通过期末验收或系统崩溃，被明确判定为处于矩阵红区的高概率-高影响类核心风险，必须配置最高级别的监控资源。</w:t>
      </w:r>
    </w:p>
    <w:p w14:paraId="1A3BBDB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国产化信创底座的适配阻碍与外部国家级接口联调不畅，虽然发生概率适中，但会对系统的最终集成产生毁灭性阻碍，被划归为中概率-高影响的次级核心风险。</w:t>
      </w:r>
    </w:p>
    <w:p w14:paraId="6FC46AA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此外，共享智能体账号的偶发性掉线以及团队成员短期的时间协调冲突，虽然发生概率较高，但因其只对局部开发效率产生短暂影响，被判定为高概率-低影响的黄区风险。</w:t>
      </w:r>
    </w:p>
    <w:p w14:paraId="135C4CA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项目组将主要管理精力集中倾斜于矩阵红区与黄区边界以上的风险事件，确保关键路径不受威胁。</w:t>
      </w:r>
    </w:p>
    <w:p w14:paraId="2984C61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0" w:name="_Toc25961"/>
      <w:r>
        <w:rPr>
          <w:rFonts w:hint="default" w:ascii="宋体" w:hAnsi="宋体" w:eastAsia="宋体" w:cs="宋体"/>
          <w:b/>
          <w:bCs/>
          <w:color w:val="000000"/>
          <w:kern w:val="0"/>
          <w:sz w:val="24"/>
          <w:szCs w:val="24"/>
        </w:rPr>
        <w:t>7.3 风险应对计划</w:t>
      </w:r>
      <w:bookmarkEnd w:id="40"/>
    </w:p>
    <w:p w14:paraId="3151F53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针对上述风险矩阵的分析结果，项目组制定了包含规避、减轻、转移与接受在内的综合应对计划。</w:t>
      </w:r>
    </w:p>
    <w:p w14:paraId="3FDB80B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对于需求蔓延这一高危风险，项目组采取坚决的“规避”策略，严格执行配置管理与需求变更控制流程，任何既定基线外的功能修改都必须提交正式的变更申请单，并经由项目经理王皓翔与需求组长雷嘉瑞领衔的配置控制委员会签字审批后方可执行，从制度层面锁死范围蔓延。</w:t>
      </w:r>
    </w:p>
    <w:p w14:paraId="36235BB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对于技术兼容性与代码质量风险，团队采取“减轻”策略，由架构师吴文皓在项目第1周提前在政务云沙箱环境中完成核心技术栈的概念验证打通，同时要求QA专员张子敬增加对智能体生成代码的安全静态扫描频次与同行评审力度，及早暴露并修复漏洞。</w:t>
      </w:r>
    </w:p>
    <w:p w14:paraId="655A402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在“转移”策略方面，项目组将底层网络带宽稳定性的风险通过服务级别协议转移给政务云供应商，并通过同时储备多家不同厂商的备用智能体账号，来转移单一海外工具账号被封禁带来的断供风险。</w:t>
      </w:r>
    </w:p>
    <w:p w14:paraId="665BE34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最后，对于一些极低概率或影响甚微的浏览器UI错位等边缘风险，项目组采取主动“接受”策略，计划直接动用前期成本规划中预留的50,000元管理储备金或进度缓冲期来进行兜底修复，不干扰主线开发节奏。</w:t>
      </w:r>
    </w:p>
    <w:p w14:paraId="2F96DAF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1" w:name="_Toc1874"/>
      <w:r>
        <w:rPr>
          <w:rFonts w:hint="default" w:ascii="宋体" w:hAnsi="宋体" w:eastAsia="宋体" w:cs="宋体"/>
          <w:b/>
          <w:bCs/>
          <w:color w:val="000000"/>
          <w:kern w:val="0"/>
          <w:sz w:val="24"/>
          <w:szCs w:val="24"/>
        </w:rPr>
        <w:t>7.4 风险跟踪表</w:t>
      </w:r>
      <w:bookmarkEnd w:id="41"/>
    </w:p>
    <w:p w14:paraId="258B9DE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r>
        <w:rPr>
          <w:rFonts w:hint="default" w:ascii="Times New Roman" w:hAnsi="Times New Roman" w:eastAsia="宋体" w:cs="宋体"/>
          <w:color w:val="000000"/>
          <w:kern w:val="0"/>
          <w:sz w:val="24"/>
          <w:szCs w:val="24"/>
        </w:rPr>
        <w:t>为确保项目风险得到持续、动态的监控与闭环管理，项目组建立并维护了风险跟踪表。该表在每周的例会与里程碑评审中进行滚动更新，记录风险的演化态势与应对执行情况。本项目核心风险跟踪记录如下</w:t>
      </w:r>
      <w:r>
        <w:rPr>
          <w:rFonts w:hint="eastAsia" w:ascii="Times New Roman" w:hAnsi="Times New Roman" w:eastAsia="宋体" w:cs="宋体"/>
          <w:color w:val="000000"/>
          <w:kern w:val="0"/>
          <w:sz w:val="24"/>
          <w:szCs w:val="24"/>
          <w:lang w:eastAsia="zh-CN"/>
        </w:rPr>
        <w:t>：</w:t>
      </w:r>
    </w:p>
    <w:p w14:paraId="0D919D6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宋体"/>
          <w:color w:val="000000"/>
          <w:kern w:val="0"/>
          <w:sz w:val="24"/>
          <w:szCs w:val="24"/>
          <w:lang w:val="en-US" w:eastAsia="zh-CN"/>
        </w:rPr>
      </w:pPr>
      <w:r>
        <w:rPr>
          <w:rFonts w:hint="eastAsia" w:ascii="Times New Roman" w:hAnsi="Times New Roman" w:eastAsia="宋体" w:cs="宋体"/>
          <w:color w:val="000000"/>
          <w:kern w:val="0"/>
          <w:sz w:val="24"/>
          <w:szCs w:val="24"/>
          <w:lang w:val="en-US" w:eastAsia="zh-CN"/>
        </w:rPr>
        <w:t>表7.4-1</w:t>
      </w:r>
      <w:r>
        <w:rPr>
          <w:rFonts w:hint="default" w:ascii="Times New Roman" w:hAnsi="Times New Roman" w:eastAsia="宋体" w:cs="宋体"/>
          <w:color w:val="000000"/>
          <w:kern w:val="0"/>
          <w:sz w:val="24"/>
          <w:szCs w:val="24"/>
        </w:rPr>
        <w:t>风险跟踪表</w:t>
      </w:r>
    </w:p>
    <w:tbl>
      <w:tblPr>
        <w:tblStyle w:val="10"/>
        <w:tblW w:w="89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9"/>
        <w:gridCol w:w="722"/>
        <w:gridCol w:w="1439"/>
        <w:gridCol w:w="990"/>
        <w:gridCol w:w="990"/>
        <w:gridCol w:w="776"/>
        <w:gridCol w:w="1403"/>
        <w:gridCol w:w="791"/>
        <w:gridCol w:w="990"/>
      </w:tblGrid>
      <w:tr w14:paraId="5F485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809" w:type="dxa"/>
            <w:tcBorders>
              <w:top w:val="single" w:color="000000" w:sz="8" w:space="0"/>
              <w:left w:val="single" w:color="000000" w:sz="8" w:space="0"/>
              <w:bottom w:val="single" w:color="000000" w:sz="8" w:space="0"/>
              <w:right w:val="single" w:color="000000" w:sz="8" w:space="0"/>
            </w:tcBorders>
            <w:shd w:val="clear" w:color="auto" w:fill="F0F0F0"/>
            <w:vAlign w:val="center"/>
          </w:tcPr>
          <w:p w14:paraId="4406C136">
            <w:pPr>
              <w:keepNext w:val="0"/>
              <w:keepLines w:val="0"/>
              <w:widowControl/>
              <w:suppressLineNumbers w:val="0"/>
              <w:jc w:val="center"/>
              <w:textAlignment w:val="center"/>
              <w:rPr>
                <w:rFonts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风险编号</w:t>
            </w:r>
          </w:p>
        </w:tc>
        <w:tc>
          <w:tcPr>
            <w:tcW w:w="722" w:type="dxa"/>
            <w:tcBorders>
              <w:top w:val="single" w:color="000000" w:sz="8" w:space="0"/>
              <w:left w:val="nil"/>
              <w:bottom w:val="single" w:color="000000" w:sz="8" w:space="0"/>
              <w:right w:val="single" w:color="000000" w:sz="8" w:space="0"/>
            </w:tcBorders>
            <w:shd w:val="clear" w:color="auto" w:fill="F0F0F0"/>
            <w:vAlign w:val="center"/>
          </w:tcPr>
          <w:p w14:paraId="47A39176">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风险类别</w:t>
            </w:r>
          </w:p>
        </w:tc>
        <w:tc>
          <w:tcPr>
            <w:tcW w:w="1439" w:type="dxa"/>
            <w:tcBorders>
              <w:top w:val="single" w:color="000000" w:sz="8" w:space="0"/>
              <w:left w:val="nil"/>
              <w:bottom w:val="single" w:color="000000" w:sz="8" w:space="0"/>
              <w:right w:val="single" w:color="000000" w:sz="8" w:space="0"/>
            </w:tcBorders>
            <w:shd w:val="clear" w:color="auto" w:fill="F0F0F0"/>
            <w:vAlign w:val="center"/>
          </w:tcPr>
          <w:p w14:paraId="41F32E69">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风险描述</w:t>
            </w:r>
          </w:p>
        </w:tc>
        <w:tc>
          <w:tcPr>
            <w:tcW w:w="990" w:type="dxa"/>
            <w:tcBorders>
              <w:top w:val="single" w:color="000000" w:sz="8" w:space="0"/>
              <w:left w:val="nil"/>
              <w:bottom w:val="single" w:color="000000" w:sz="8" w:space="0"/>
              <w:right w:val="single" w:color="000000" w:sz="8" w:space="0"/>
            </w:tcBorders>
            <w:shd w:val="clear" w:color="auto" w:fill="F0F0F0"/>
            <w:vAlign w:val="center"/>
          </w:tcPr>
          <w:p w14:paraId="7986AEFC">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概率</w:t>
            </w:r>
          </w:p>
        </w:tc>
        <w:tc>
          <w:tcPr>
            <w:tcW w:w="990" w:type="dxa"/>
            <w:tcBorders>
              <w:top w:val="single" w:color="000000" w:sz="8" w:space="0"/>
              <w:left w:val="nil"/>
              <w:bottom w:val="single" w:color="000000" w:sz="8" w:space="0"/>
              <w:right w:val="single" w:color="000000" w:sz="8" w:space="0"/>
            </w:tcBorders>
            <w:shd w:val="clear" w:color="auto" w:fill="F0F0F0"/>
            <w:vAlign w:val="center"/>
          </w:tcPr>
          <w:p w14:paraId="6FB84ADC">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影响</w:t>
            </w:r>
          </w:p>
        </w:tc>
        <w:tc>
          <w:tcPr>
            <w:tcW w:w="776" w:type="dxa"/>
            <w:tcBorders>
              <w:top w:val="single" w:color="000000" w:sz="8" w:space="0"/>
              <w:left w:val="nil"/>
              <w:bottom w:val="single" w:color="000000" w:sz="8" w:space="0"/>
              <w:right w:val="single" w:color="000000" w:sz="8" w:space="0"/>
            </w:tcBorders>
            <w:shd w:val="clear" w:color="auto" w:fill="F0F0F0"/>
            <w:vAlign w:val="center"/>
          </w:tcPr>
          <w:p w14:paraId="1AB8588C">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风险等级</w:t>
            </w:r>
          </w:p>
        </w:tc>
        <w:tc>
          <w:tcPr>
            <w:tcW w:w="1403" w:type="dxa"/>
            <w:tcBorders>
              <w:top w:val="single" w:color="000000" w:sz="8" w:space="0"/>
              <w:left w:val="nil"/>
              <w:bottom w:val="single" w:color="000000" w:sz="8" w:space="0"/>
              <w:right w:val="single" w:color="000000" w:sz="8" w:space="0"/>
            </w:tcBorders>
            <w:shd w:val="clear" w:color="auto" w:fill="F0F0F0"/>
            <w:vAlign w:val="center"/>
          </w:tcPr>
          <w:p w14:paraId="12024A4E">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应对策略计划</w:t>
            </w:r>
          </w:p>
        </w:tc>
        <w:tc>
          <w:tcPr>
            <w:tcW w:w="791" w:type="dxa"/>
            <w:tcBorders>
              <w:top w:val="single" w:color="000000" w:sz="8" w:space="0"/>
              <w:left w:val="nil"/>
              <w:bottom w:val="single" w:color="000000" w:sz="8" w:space="0"/>
              <w:right w:val="single" w:color="000000" w:sz="8" w:space="0"/>
            </w:tcBorders>
            <w:shd w:val="clear" w:color="auto" w:fill="F0F0F0"/>
            <w:vAlign w:val="center"/>
          </w:tcPr>
          <w:p w14:paraId="2C522C4D">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责任人</w:t>
            </w:r>
          </w:p>
        </w:tc>
        <w:tc>
          <w:tcPr>
            <w:tcW w:w="990" w:type="dxa"/>
            <w:tcBorders>
              <w:top w:val="single" w:color="000000" w:sz="8" w:space="0"/>
              <w:left w:val="nil"/>
              <w:bottom w:val="single" w:color="000000" w:sz="8" w:space="0"/>
              <w:right w:val="single" w:color="000000" w:sz="8" w:space="0"/>
            </w:tcBorders>
            <w:shd w:val="clear" w:color="auto" w:fill="F0F0F0"/>
            <w:vAlign w:val="center"/>
          </w:tcPr>
          <w:p w14:paraId="2F5811F4">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当前状态</w:t>
            </w:r>
          </w:p>
        </w:tc>
      </w:tr>
      <w:tr w14:paraId="7E474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9"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0C655C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R-01</w:t>
            </w:r>
          </w:p>
        </w:tc>
        <w:tc>
          <w:tcPr>
            <w:tcW w:w="722" w:type="dxa"/>
            <w:tcBorders>
              <w:top w:val="nil"/>
              <w:left w:val="nil"/>
              <w:bottom w:val="single" w:color="000000" w:sz="8" w:space="0"/>
              <w:right w:val="single" w:color="000000" w:sz="8" w:space="0"/>
            </w:tcBorders>
            <w:shd w:val="clear" w:color="auto" w:fill="auto"/>
            <w:vAlign w:val="center"/>
          </w:tcPr>
          <w:p w14:paraId="05053D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技术风险</w:t>
            </w:r>
          </w:p>
        </w:tc>
        <w:tc>
          <w:tcPr>
            <w:tcW w:w="1439" w:type="dxa"/>
            <w:tcBorders>
              <w:top w:val="nil"/>
              <w:left w:val="nil"/>
              <w:bottom w:val="single" w:color="000000" w:sz="8" w:space="0"/>
              <w:right w:val="single" w:color="000000" w:sz="8" w:space="0"/>
            </w:tcBorders>
            <w:shd w:val="clear" w:color="auto" w:fill="auto"/>
            <w:vAlign w:val="center"/>
          </w:tcPr>
          <w:p w14:paraId="3D262B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智能体生成的代码存在安全漏洞或不符合政务系统等保三级规范。</w:t>
            </w:r>
          </w:p>
        </w:tc>
        <w:tc>
          <w:tcPr>
            <w:tcW w:w="990" w:type="dxa"/>
            <w:tcBorders>
              <w:top w:val="nil"/>
              <w:left w:val="nil"/>
              <w:bottom w:val="single" w:color="000000" w:sz="8" w:space="0"/>
              <w:right w:val="single" w:color="000000" w:sz="8" w:space="0"/>
            </w:tcBorders>
            <w:shd w:val="clear" w:color="auto" w:fill="auto"/>
            <w:vAlign w:val="center"/>
          </w:tcPr>
          <w:p w14:paraId="3216A8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709CA3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776" w:type="dxa"/>
            <w:tcBorders>
              <w:top w:val="nil"/>
              <w:left w:val="nil"/>
              <w:bottom w:val="single" w:color="000000" w:sz="8" w:space="0"/>
              <w:right w:val="single" w:color="000000" w:sz="8" w:space="0"/>
            </w:tcBorders>
            <w:shd w:val="clear" w:color="auto" w:fill="auto"/>
            <w:vAlign w:val="center"/>
          </w:tcPr>
          <w:p w14:paraId="03C8E6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严重</w:t>
            </w:r>
          </w:p>
        </w:tc>
        <w:tc>
          <w:tcPr>
            <w:tcW w:w="1403" w:type="dxa"/>
            <w:tcBorders>
              <w:top w:val="nil"/>
              <w:left w:val="nil"/>
              <w:bottom w:val="single" w:color="000000" w:sz="8" w:space="0"/>
              <w:right w:val="single" w:color="000000" w:sz="8" w:space="0"/>
            </w:tcBorders>
            <w:shd w:val="clear" w:color="auto" w:fill="auto"/>
            <w:vAlign w:val="center"/>
          </w:tcPr>
          <w:p w14:paraId="57A85F7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减轻：加强代码走查，QA使用代码分析工具进行扫描。</w:t>
            </w:r>
          </w:p>
        </w:tc>
        <w:tc>
          <w:tcPr>
            <w:tcW w:w="791" w:type="dxa"/>
            <w:tcBorders>
              <w:top w:val="nil"/>
              <w:left w:val="nil"/>
              <w:bottom w:val="single" w:color="000000" w:sz="8" w:space="0"/>
              <w:right w:val="single" w:color="000000" w:sz="8" w:space="0"/>
            </w:tcBorders>
            <w:shd w:val="clear" w:color="auto" w:fill="auto"/>
            <w:vAlign w:val="center"/>
          </w:tcPr>
          <w:p w14:paraId="30C98D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张子敬</w:t>
            </w:r>
          </w:p>
        </w:tc>
        <w:tc>
          <w:tcPr>
            <w:tcW w:w="990" w:type="dxa"/>
            <w:tcBorders>
              <w:top w:val="nil"/>
              <w:left w:val="nil"/>
              <w:bottom w:val="single" w:color="000000" w:sz="8" w:space="0"/>
              <w:right w:val="single" w:color="000000" w:sz="8" w:space="0"/>
            </w:tcBorders>
            <w:shd w:val="clear" w:color="auto" w:fill="auto"/>
            <w:vAlign w:val="center"/>
          </w:tcPr>
          <w:p w14:paraId="103D90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5F560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550F72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R-02</w:t>
            </w:r>
          </w:p>
        </w:tc>
        <w:tc>
          <w:tcPr>
            <w:tcW w:w="722" w:type="dxa"/>
            <w:tcBorders>
              <w:top w:val="nil"/>
              <w:left w:val="nil"/>
              <w:bottom w:val="single" w:color="000000" w:sz="8" w:space="0"/>
              <w:right w:val="single" w:color="000000" w:sz="8" w:space="0"/>
            </w:tcBorders>
            <w:shd w:val="clear" w:color="auto" w:fill="auto"/>
            <w:vAlign w:val="center"/>
          </w:tcPr>
          <w:p w14:paraId="0631B1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范围风险</w:t>
            </w:r>
          </w:p>
        </w:tc>
        <w:tc>
          <w:tcPr>
            <w:tcW w:w="1439" w:type="dxa"/>
            <w:tcBorders>
              <w:top w:val="nil"/>
              <w:left w:val="nil"/>
              <w:bottom w:val="single" w:color="000000" w:sz="8" w:space="0"/>
              <w:right w:val="single" w:color="000000" w:sz="8" w:space="0"/>
            </w:tcBorders>
            <w:shd w:val="clear" w:color="auto" w:fill="auto"/>
            <w:vAlign w:val="center"/>
          </w:tcPr>
          <w:p w14:paraId="2984C9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业务规则复杂，开发期间甲方或指导老师提出统计维度调整，导致范围蔓延。</w:t>
            </w:r>
          </w:p>
        </w:tc>
        <w:tc>
          <w:tcPr>
            <w:tcW w:w="990" w:type="dxa"/>
            <w:tcBorders>
              <w:top w:val="nil"/>
              <w:left w:val="nil"/>
              <w:bottom w:val="single" w:color="000000" w:sz="8" w:space="0"/>
              <w:right w:val="single" w:color="000000" w:sz="8" w:space="0"/>
            </w:tcBorders>
            <w:shd w:val="clear" w:color="auto" w:fill="auto"/>
            <w:vAlign w:val="center"/>
          </w:tcPr>
          <w:p w14:paraId="204BD9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1570F3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776" w:type="dxa"/>
            <w:tcBorders>
              <w:top w:val="nil"/>
              <w:left w:val="nil"/>
              <w:bottom w:val="single" w:color="000000" w:sz="8" w:space="0"/>
              <w:right w:val="single" w:color="000000" w:sz="8" w:space="0"/>
            </w:tcBorders>
            <w:shd w:val="clear" w:color="auto" w:fill="auto"/>
            <w:vAlign w:val="center"/>
          </w:tcPr>
          <w:p w14:paraId="62D6C6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严重</w:t>
            </w:r>
          </w:p>
        </w:tc>
        <w:tc>
          <w:tcPr>
            <w:tcW w:w="1403" w:type="dxa"/>
            <w:tcBorders>
              <w:top w:val="nil"/>
              <w:left w:val="nil"/>
              <w:bottom w:val="single" w:color="000000" w:sz="8" w:space="0"/>
              <w:right w:val="single" w:color="000000" w:sz="8" w:space="0"/>
            </w:tcBorders>
            <w:shd w:val="clear" w:color="auto" w:fill="auto"/>
            <w:vAlign w:val="center"/>
          </w:tcPr>
          <w:p w14:paraId="083113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规避：严格执行变更控制，任何基线外需求必须提交变更单并审批。</w:t>
            </w:r>
          </w:p>
        </w:tc>
        <w:tc>
          <w:tcPr>
            <w:tcW w:w="791" w:type="dxa"/>
            <w:tcBorders>
              <w:top w:val="nil"/>
              <w:left w:val="nil"/>
              <w:bottom w:val="single" w:color="000000" w:sz="8" w:space="0"/>
              <w:right w:val="single" w:color="000000" w:sz="8" w:space="0"/>
            </w:tcBorders>
            <w:shd w:val="clear" w:color="auto" w:fill="auto"/>
            <w:vAlign w:val="center"/>
          </w:tcPr>
          <w:p w14:paraId="577C148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王皓翔</w:t>
            </w:r>
          </w:p>
        </w:tc>
        <w:tc>
          <w:tcPr>
            <w:tcW w:w="990" w:type="dxa"/>
            <w:tcBorders>
              <w:top w:val="nil"/>
              <w:left w:val="nil"/>
              <w:bottom w:val="single" w:color="000000" w:sz="8" w:space="0"/>
              <w:right w:val="single" w:color="000000" w:sz="8" w:space="0"/>
            </w:tcBorders>
            <w:shd w:val="clear" w:color="auto" w:fill="auto"/>
            <w:vAlign w:val="center"/>
          </w:tcPr>
          <w:p w14:paraId="0BD857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37F6B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6"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77D18E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R-03</w:t>
            </w:r>
          </w:p>
        </w:tc>
        <w:tc>
          <w:tcPr>
            <w:tcW w:w="722" w:type="dxa"/>
            <w:tcBorders>
              <w:top w:val="nil"/>
              <w:left w:val="nil"/>
              <w:bottom w:val="single" w:color="000000" w:sz="8" w:space="0"/>
              <w:right w:val="single" w:color="000000" w:sz="8" w:space="0"/>
            </w:tcBorders>
            <w:shd w:val="clear" w:color="auto" w:fill="auto"/>
            <w:vAlign w:val="center"/>
          </w:tcPr>
          <w:p w14:paraId="243123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技术风险</w:t>
            </w:r>
          </w:p>
        </w:tc>
        <w:tc>
          <w:tcPr>
            <w:tcW w:w="1439" w:type="dxa"/>
            <w:tcBorders>
              <w:top w:val="nil"/>
              <w:left w:val="nil"/>
              <w:bottom w:val="single" w:color="000000" w:sz="8" w:space="0"/>
              <w:right w:val="single" w:color="000000" w:sz="8" w:space="0"/>
            </w:tcBorders>
            <w:shd w:val="clear" w:color="auto" w:fill="auto"/>
            <w:vAlign w:val="center"/>
          </w:tcPr>
          <w:p w14:paraId="4C7B9F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国产化信创底座适配出现兼容性阻碍。</w:t>
            </w:r>
          </w:p>
        </w:tc>
        <w:tc>
          <w:tcPr>
            <w:tcW w:w="990" w:type="dxa"/>
            <w:tcBorders>
              <w:top w:val="nil"/>
              <w:left w:val="nil"/>
              <w:bottom w:val="single" w:color="000000" w:sz="8" w:space="0"/>
              <w:right w:val="single" w:color="000000" w:sz="8" w:space="0"/>
            </w:tcBorders>
            <w:shd w:val="clear" w:color="auto" w:fill="auto"/>
            <w:vAlign w:val="center"/>
          </w:tcPr>
          <w:p w14:paraId="4A7974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w:t>
            </w:r>
          </w:p>
        </w:tc>
        <w:tc>
          <w:tcPr>
            <w:tcW w:w="990" w:type="dxa"/>
            <w:tcBorders>
              <w:top w:val="nil"/>
              <w:left w:val="nil"/>
              <w:bottom w:val="single" w:color="000000" w:sz="8" w:space="0"/>
              <w:right w:val="single" w:color="000000" w:sz="8" w:space="0"/>
            </w:tcBorders>
            <w:shd w:val="clear" w:color="auto" w:fill="auto"/>
            <w:vAlign w:val="center"/>
          </w:tcPr>
          <w:p w14:paraId="2D6EDE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776" w:type="dxa"/>
            <w:tcBorders>
              <w:top w:val="nil"/>
              <w:left w:val="nil"/>
              <w:bottom w:val="single" w:color="000000" w:sz="8" w:space="0"/>
              <w:right w:val="single" w:color="000000" w:sz="8" w:space="0"/>
            </w:tcBorders>
            <w:shd w:val="clear" w:color="auto" w:fill="auto"/>
            <w:vAlign w:val="center"/>
          </w:tcPr>
          <w:p w14:paraId="6B301A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1403" w:type="dxa"/>
            <w:tcBorders>
              <w:top w:val="nil"/>
              <w:left w:val="nil"/>
              <w:bottom w:val="single" w:color="000000" w:sz="8" w:space="0"/>
              <w:right w:val="single" w:color="000000" w:sz="8" w:space="0"/>
            </w:tcBorders>
            <w:shd w:val="clear" w:color="auto" w:fill="auto"/>
            <w:vAlign w:val="center"/>
          </w:tcPr>
          <w:p w14:paraId="6EF45E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减轻：在政务云沙箱环境完成核心技术栈的PoC打通。</w:t>
            </w:r>
          </w:p>
        </w:tc>
        <w:tc>
          <w:tcPr>
            <w:tcW w:w="791" w:type="dxa"/>
            <w:tcBorders>
              <w:top w:val="nil"/>
              <w:left w:val="nil"/>
              <w:bottom w:val="single" w:color="000000" w:sz="8" w:space="0"/>
              <w:right w:val="single" w:color="000000" w:sz="8" w:space="0"/>
            </w:tcBorders>
            <w:shd w:val="clear" w:color="auto" w:fill="auto"/>
            <w:vAlign w:val="center"/>
          </w:tcPr>
          <w:p w14:paraId="42307D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吴文皓</w:t>
            </w:r>
          </w:p>
        </w:tc>
        <w:tc>
          <w:tcPr>
            <w:tcW w:w="990" w:type="dxa"/>
            <w:tcBorders>
              <w:top w:val="nil"/>
              <w:left w:val="nil"/>
              <w:bottom w:val="single" w:color="000000" w:sz="8" w:space="0"/>
              <w:right w:val="single" w:color="000000" w:sz="8" w:space="0"/>
            </w:tcBorders>
            <w:shd w:val="clear" w:color="auto" w:fill="auto"/>
            <w:vAlign w:val="center"/>
          </w:tcPr>
          <w:p w14:paraId="70C234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778E4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6D7FA3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R-04</w:t>
            </w:r>
          </w:p>
        </w:tc>
        <w:tc>
          <w:tcPr>
            <w:tcW w:w="722" w:type="dxa"/>
            <w:tcBorders>
              <w:top w:val="nil"/>
              <w:left w:val="nil"/>
              <w:bottom w:val="single" w:color="000000" w:sz="8" w:space="0"/>
              <w:right w:val="single" w:color="000000" w:sz="8" w:space="0"/>
            </w:tcBorders>
            <w:shd w:val="clear" w:color="auto" w:fill="auto"/>
            <w:vAlign w:val="center"/>
          </w:tcPr>
          <w:p w14:paraId="1C7898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外部依赖</w:t>
            </w:r>
          </w:p>
        </w:tc>
        <w:tc>
          <w:tcPr>
            <w:tcW w:w="1439" w:type="dxa"/>
            <w:tcBorders>
              <w:top w:val="nil"/>
              <w:left w:val="nil"/>
              <w:bottom w:val="single" w:color="000000" w:sz="8" w:space="0"/>
              <w:right w:val="single" w:color="000000" w:sz="8" w:space="0"/>
            </w:tcBorders>
            <w:shd w:val="clear" w:color="auto" w:fill="auto"/>
            <w:vAlign w:val="center"/>
          </w:tcPr>
          <w:p w14:paraId="3C140D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缺乏国家部级失业监测系统真实测试环境，导致接口联调阻滞。</w:t>
            </w:r>
          </w:p>
        </w:tc>
        <w:tc>
          <w:tcPr>
            <w:tcW w:w="990" w:type="dxa"/>
            <w:tcBorders>
              <w:top w:val="nil"/>
              <w:left w:val="nil"/>
              <w:bottom w:val="single" w:color="000000" w:sz="8" w:space="0"/>
              <w:right w:val="single" w:color="000000" w:sz="8" w:space="0"/>
            </w:tcBorders>
            <w:shd w:val="clear" w:color="auto" w:fill="auto"/>
            <w:vAlign w:val="center"/>
          </w:tcPr>
          <w:p w14:paraId="23D886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w:t>
            </w:r>
          </w:p>
        </w:tc>
        <w:tc>
          <w:tcPr>
            <w:tcW w:w="990" w:type="dxa"/>
            <w:tcBorders>
              <w:top w:val="nil"/>
              <w:left w:val="nil"/>
              <w:bottom w:val="single" w:color="000000" w:sz="8" w:space="0"/>
              <w:right w:val="single" w:color="000000" w:sz="8" w:space="0"/>
            </w:tcBorders>
            <w:shd w:val="clear" w:color="auto" w:fill="auto"/>
            <w:vAlign w:val="center"/>
          </w:tcPr>
          <w:p w14:paraId="5C3F6D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776" w:type="dxa"/>
            <w:tcBorders>
              <w:top w:val="nil"/>
              <w:left w:val="nil"/>
              <w:bottom w:val="single" w:color="000000" w:sz="8" w:space="0"/>
              <w:right w:val="single" w:color="000000" w:sz="8" w:space="0"/>
            </w:tcBorders>
            <w:shd w:val="clear" w:color="auto" w:fill="auto"/>
            <w:vAlign w:val="center"/>
          </w:tcPr>
          <w:p w14:paraId="5F179E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1403" w:type="dxa"/>
            <w:tcBorders>
              <w:top w:val="nil"/>
              <w:left w:val="nil"/>
              <w:bottom w:val="single" w:color="000000" w:sz="8" w:space="0"/>
              <w:right w:val="single" w:color="000000" w:sz="8" w:space="0"/>
            </w:tcBorders>
            <w:shd w:val="clear" w:color="auto" w:fill="auto"/>
            <w:vAlign w:val="center"/>
          </w:tcPr>
          <w:p w14:paraId="1B9499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减轻：前期根据接口文档开发Mock服务先行验证，预留缓冲期。</w:t>
            </w:r>
          </w:p>
        </w:tc>
        <w:tc>
          <w:tcPr>
            <w:tcW w:w="791" w:type="dxa"/>
            <w:tcBorders>
              <w:top w:val="nil"/>
              <w:left w:val="nil"/>
              <w:bottom w:val="single" w:color="000000" w:sz="8" w:space="0"/>
              <w:right w:val="single" w:color="000000" w:sz="8" w:space="0"/>
            </w:tcBorders>
            <w:shd w:val="clear" w:color="auto" w:fill="auto"/>
            <w:vAlign w:val="center"/>
          </w:tcPr>
          <w:p w14:paraId="43D070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汪诗涵</w:t>
            </w:r>
          </w:p>
        </w:tc>
        <w:tc>
          <w:tcPr>
            <w:tcW w:w="990" w:type="dxa"/>
            <w:tcBorders>
              <w:top w:val="nil"/>
              <w:left w:val="nil"/>
              <w:bottom w:val="single" w:color="000000" w:sz="8" w:space="0"/>
              <w:right w:val="single" w:color="000000" w:sz="8" w:space="0"/>
            </w:tcBorders>
            <w:shd w:val="clear" w:color="auto" w:fill="auto"/>
            <w:vAlign w:val="center"/>
          </w:tcPr>
          <w:p w14:paraId="765375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5CC34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4"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3353D1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R-05</w:t>
            </w:r>
          </w:p>
        </w:tc>
        <w:tc>
          <w:tcPr>
            <w:tcW w:w="722" w:type="dxa"/>
            <w:tcBorders>
              <w:top w:val="nil"/>
              <w:left w:val="nil"/>
              <w:bottom w:val="single" w:color="000000" w:sz="8" w:space="0"/>
              <w:right w:val="single" w:color="000000" w:sz="8" w:space="0"/>
            </w:tcBorders>
            <w:shd w:val="clear" w:color="auto" w:fill="auto"/>
            <w:vAlign w:val="center"/>
          </w:tcPr>
          <w:p w14:paraId="441274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外部依赖</w:t>
            </w:r>
          </w:p>
        </w:tc>
        <w:tc>
          <w:tcPr>
            <w:tcW w:w="1439" w:type="dxa"/>
            <w:tcBorders>
              <w:top w:val="nil"/>
              <w:left w:val="nil"/>
              <w:bottom w:val="single" w:color="000000" w:sz="8" w:space="0"/>
              <w:right w:val="single" w:color="000000" w:sz="8" w:space="0"/>
            </w:tcBorders>
            <w:shd w:val="clear" w:color="auto" w:fill="auto"/>
            <w:vAlign w:val="center"/>
          </w:tcPr>
          <w:p w14:paraId="50A579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团队智能体账号因网络波动或跨端限制导致服务中断。</w:t>
            </w:r>
          </w:p>
        </w:tc>
        <w:tc>
          <w:tcPr>
            <w:tcW w:w="990" w:type="dxa"/>
            <w:tcBorders>
              <w:top w:val="nil"/>
              <w:left w:val="nil"/>
              <w:bottom w:val="single" w:color="000000" w:sz="8" w:space="0"/>
              <w:right w:val="single" w:color="000000" w:sz="8" w:space="0"/>
            </w:tcBorders>
            <w:shd w:val="clear" w:color="auto" w:fill="auto"/>
            <w:vAlign w:val="center"/>
          </w:tcPr>
          <w:p w14:paraId="0CBA1B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1C2C7A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低</w:t>
            </w:r>
          </w:p>
        </w:tc>
        <w:tc>
          <w:tcPr>
            <w:tcW w:w="776" w:type="dxa"/>
            <w:tcBorders>
              <w:top w:val="nil"/>
              <w:left w:val="nil"/>
              <w:bottom w:val="single" w:color="000000" w:sz="8" w:space="0"/>
              <w:right w:val="single" w:color="000000" w:sz="8" w:space="0"/>
            </w:tcBorders>
            <w:shd w:val="clear" w:color="auto" w:fill="auto"/>
            <w:vAlign w:val="center"/>
          </w:tcPr>
          <w:p w14:paraId="0DB444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w:t>
            </w:r>
          </w:p>
        </w:tc>
        <w:tc>
          <w:tcPr>
            <w:tcW w:w="1403" w:type="dxa"/>
            <w:tcBorders>
              <w:top w:val="nil"/>
              <w:left w:val="nil"/>
              <w:bottom w:val="single" w:color="000000" w:sz="8" w:space="0"/>
              <w:right w:val="single" w:color="000000" w:sz="8" w:space="0"/>
            </w:tcBorders>
            <w:shd w:val="clear" w:color="auto" w:fill="auto"/>
            <w:vAlign w:val="center"/>
          </w:tcPr>
          <w:p w14:paraId="488496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转移：储备多家不同厂商的免费或备用账号兜底。</w:t>
            </w:r>
          </w:p>
        </w:tc>
        <w:tc>
          <w:tcPr>
            <w:tcW w:w="791" w:type="dxa"/>
            <w:tcBorders>
              <w:top w:val="nil"/>
              <w:left w:val="nil"/>
              <w:bottom w:val="single" w:color="000000" w:sz="8" w:space="0"/>
              <w:right w:val="single" w:color="000000" w:sz="8" w:space="0"/>
            </w:tcBorders>
            <w:shd w:val="clear" w:color="auto" w:fill="auto"/>
            <w:vAlign w:val="center"/>
          </w:tcPr>
          <w:p w14:paraId="6AFC20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胡瀚</w:t>
            </w:r>
          </w:p>
        </w:tc>
        <w:tc>
          <w:tcPr>
            <w:tcW w:w="990" w:type="dxa"/>
            <w:tcBorders>
              <w:top w:val="nil"/>
              <w:left w:val="nil"/>
              <w:bottom w:val="single" w:color="000000" w:sz="8" w:space="0"/>
              <w:right w:val="single" w:color="000000" w:sz="8" w:space="0"/>
            </w:tcBorders>
            <w:shd w:val="clear" w:color="auto" w:fill="auto"/>
            <w:vAlign w:val="center"/>
          </w:tcPr>
          <w:p w14:paraId="0AB51F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5C147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0"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0CFF308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R-06</w:t>
            </w:r>
          </w:p>
        </w:tc>
        <w:tc>
          <w:tcPr>
            <w:tcW w:w="722" w:type="dxa"/>
            <w:tcBorders>
              <w:top w:val="nil"/>
              <w:left w:val="nil"/>
              <w:bottom w:val="single" w:color="000000" w:sz="8" w:space="0"/>
              <w:right w:val="single" w:color="000000" w:sz="8" w:space="0"/>
            </w:tcBorders>
            <w:shd w:val="clear" w:color="auto" w:fill="auto"/>
            <w:vAlign w:val="center"/>
          </w:tcPr>
          <w:p w14:paraId="1D400A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人员风险</w:t>
            </w:r>
          </w:p>
        </w:tc>
        <w:tc>
          <w:tcPr>
            <w:tcW w:w="1439" w:type="dxa"/>
            <w:tcBorders>
              <w:top w:val="nil"/>
              <w:left w:val="nil"/>
              <w:bottom w:val="single" w:color="000000" w:sz="8" w:space="0"/>
              <w:right w:val="single" w:color="000000" w:sz="8" w:space="0"/>
            </w:tcBorders>
            <w:shd w:val="clear" w:color="auto" w:fill="auto"/>
            <w:vAlign w:val="center"/>
          </w:tcPr>
          <w:p w14:paraId="791741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团队部分成员因课业冲突，无法保证约定研发工时，导致进度滞后。</w:t>
            </w:r>
          </w:p>
        </w:tc>
        <w:tc>
          <w:tcPr>
            <w:tcW w:w="990" w:type="dxa"/>
            <w:tcBorders>
              <w:top w:val="nil"/>
              <w:left w:val="nil"/>
              <w:bottom w:val="single" w:color="000000" w:sz="8" w:space="0"/>
              <w:right w:val="single" w:color="000000" w:sz="8" w:space="0"/>
            </w:tcBorders>
            <w:shd w:val="clear" w:color="auto" w:fill="auto"/>
            <w:vAlign w:val="center"/>
          </w:tcPr>
          <w:p w14:paraId="451C4A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0725FD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低</w:t>
            </w:r>
          </w:p>
        </w:tc>
        <w:tc>
          <w:tcPr>
            <w:tcW w:w="776" w:type="dxa"/>
            <w:tcBorders>
              <w:top w:val="nil"/>
              <w:left w:val="nil"/>
              <w:bottom w:val="single" w:color="000000" w:sz="8" w:space="0"/>
              <w:right w:val="single" w:color="000000" w:sz="8" w:space="0"/>
            </w:tcBorders>
            <w:shd w:val="clear" w:color="auto" w:fill="auto"/>
            <w:vAlign w:val="center"/>
          </w:tcPr>
          <w:p w14:paraId="1C0E55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w:t>
            </w:r>
          </w:p>
        </w:tc>
        <w:tc>
          <w:tcPr>
            <w:tcW w:w="1403" w:type="dxa"/>
            <w:tcBorders>
              <w:top w:val="nil"/>
              <w:left w:val="nil"/>
              <w:bottom w:val="single" w:color="000000" w:sz="8" w:space="0"/>
              <w:right w:val="single" w:color="000000" w:sz="8" w:space="0"/>
            </w:tcBorders>
            <w:shd w:val="clear" w:color="auto" w:fill="auto"/>
            <w:vAlign w:val="center"/>
          </w:tcPr>
          <w:p w14:paraId="6118B6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接受：合理安排任务并行度，动用预留的进度缓冲池时间赶工。</w:t>
            </w:r>
          </w:p>
        </w:tc>
        <w:tc>
          <w:tcPr>
            <w:tcW w:w="791" w:type="dxa"/>
            <w:tcBorders>
              <w:top w:val="nil"/>
              <w:left w:val="nil"/>
              <w:bottom w:val="single" w:color="000000" w:sz="8" w:space="0"/>
              <w:right w:val="single" w:color="000000" w:sz="8" w:space="0"/>
            </w:tcBorders>
            <w:shd w:val="clear" w:color="auto" w:fill="auto"/>
            <w:vAlign w:val="center"/>
          </w:tcPr>
          <w:p w14:paraId="051119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雷嘉瑞</w:t>
            </w:r>
          </w:p>
        </w:tc>
        <w:tc>
          <w:tcPr>
            <w:tcW w:w="990" w:type="dxa"/>
            <w:tcBorders>
              <w:top w:val="nil"/>
              <w:left w:val="nil"/>
              <w:bottom w:val="single" w:color="000000" w:sz="8" w:space="0"/>
              <w:right w:val="single" w:color="000000" w:sz="8" w:space="0"/>
            </w:tcBorders>
            <w:shd w:val="clear" w:color="auto" w:fill="auto"/>
            <w:vAlign w:val="center"/>
          </w:tcPr>
          <w:p w14:paraId="79CE5A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3E2E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59"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3AABCB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R-07</w:t>
            </w:r>
          </w:p>
        </w:tc>
        <w:tc>
          <w:tcPr>
            <w:tcW w:w="722" w:type="dxa"/>
            <w:tcBorders>
              <w:top w:val="nil"/>
              <w:left w:val="nil"/>
              <w:bottom w:val="single" w:color="000000" w:sz="8" w:space="0"/>
              <w:right w:val="single" w:color="000000" w:sz="8" w:space="0"/>
            </w:tcBorders>
            <w:shd w:val="clear" w:color="auto" w:fill="auto"/>
            <w:vAlign w:val="center"/>
          </w:tcPr>
          <w:p w14:paraId="047AF8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技术风险</w:t>
            </w:r>
          </w:p>
        </w:tc>
        <w:tc>
          <w:tcPr>
            <w:tcW w:w="1439" w:type="dxa"/>
            <w:tcBorders>
              <w:top w:val="nil"/>
              <w:left w:val="nil"/>
              <w:bottom w:val="single" w:color="000000" w:sz="8" w:space="0"/>
              <w:right w:val="single" w:color="000000" w:sz="8" w:space="0"/>
            </w:tcBorders>
            <w:shd w:val="clear" w:color="auto" w:fill="auto"/>
            <w:vAlign w:val="center"/>
          </w:tcPr>
          <w:p w14:paraId="7DAD095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新增手机端应用，面临移动端跨平台兼容性、不同手机型号屏幕适配及操作系统的兼容阻碍。</w:t>
            </w:r>
          </w:p>
        </w:tc>
        <w:tc>
          <w:tcPr>
            <w:tcW w:w="990" w:type="dxa"/>
            <w:tcBorders>
              <w:top w:val="nil"/>
              <w:left w:val="nil"/>
              <w:bottom w:val="single" w:color="000000" w:sz="8" w:space="0"/>
              <w:right w:val="single" w:color="000000" w:sz="8" w:space="0"/>
            </w:tcBorders>
            <w:shd w:val="clear" w:color="auto" w:fill="auto"/>
            <w:vAlign w:val="center"/>
          </w:tcPr>
          <w:p w14:paraId="40C014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00A798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w:t>
            </w:r>
          </w:p>
        </w:tc>
        <w:tc>
          <w:tcPr>
            <w:tcW w:w="776" w:type="dxa"/>
            <w:tcBorders>
              <w:top w:val="nil"/>
              <w:left w:val="nil"/>
              <w:bottom w:val="single" w:color="000000" w:sz="8" w:space="0"/>
              <w:right w:val="single" w:color="000000" w:sz="8" w:space="0"/>
            </w:tcBorders>
            <w:shd w:val="clear" w:color="auto" w:fill="auto"/>
            <w:vAlign w:val="center"/>
          </w:tcPr>
          <w:p w14:paraId="2203EB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1403" w:type="dxa"/>
            <w:tcBorders>
              <w:top w:val="nil"/>
              <w:left w:val="nil"/>
              <w:bottom w:val="single" w:color="000000" w:sz="8" w:space="0"/>
              <w:right w:val="single" w:color="000000" w:sz="8" w:space="0"/>
            </w:tcBorders>
            <w:shd w:val="clear" w:color="auto" w:fill="auto"/>
            <w:vAlign w:val="center"/>
          </w:tcPr>
          <w:p w14:paraId="7D3EAD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减轻：前端采用成熟的跨平台UI框架，测试阶段增加真机兼容性专项测试。</w:t>
            </w:r>
          </w:p>
        </w:tc>
        <w:tc>
          <w:tcPr>
            <w:tcW w:w="791" w:type="dxa"/>
            <w:tcBorders>
              <w:top w:val="nil"/>
              <w:left w:val="nil"/>
              <w:bottom w:val="single" w:color="000000" w:sz="8" w:space="0"/>
              <w:right w:val="single" w:color="000000" w:sz="8" w:space="0"/>
            </w:tcBorders>
            <w:shd w:val="clear" w:color="auto" w:fill="auto"/>
            <w:vAlign w:val="center"/>
          </w:tcPr>
          <w:p w14:paraId="36FC40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吴文皓</w:t>
            </w:r>
          </w:p>
        </w:tc>
        <w:tc>
          <w:tcPr>
            <w:tcW w:w="990" w:type="dxa"/>
            <w:tcBorders>
              <w:top w:val="nil"/>
              <w:left w:val="nil"/>
              <w:bottom w:val="single" w:color="000000" w:sz="8" w:space="0"/>
              <w:right w:val="single" w:color="000000" w:sz="8" w:space="0"/>
            </w:tcBorders>
            <w:shd w:val="clear" w:color="auto" w:fill="auto"/>
            <w:vAlign w:val="center"/>
          </w:tcPr>
          <w:p w14:paraId="2EE686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监控中</w:t>
            </w:r>
          </w:p>
        </w:tc>
      </w:tr>
      <w:tr w14:paraId="5265A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07" w:hRule="atLeast"/>
        </w:trPr>
        <w:tc>
          <w:tcPr>
            <w:tcW w:w="809" w:type="dxa"/>
            <w:tcBorders>
              <w:top w:val="nil"/>
              <w:left w:val="single" w:color="000000" w:sz="8" w:space="0"/>
              <w:bottom w:val="single" w:color="000000" w:sz="8" w:space="0"/>
              <w:right w:val="single" w:color="000000" w:sz="8" w:space="0"/>
            </w:tcBorders>
            <w:shd w:val="clear" w:color="auto" w:fill="auto"/>
            <w:vAlign w:val="center"/>
          </w:tcPr>
          <w:p w14:paraId="679596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R-08</w:t>
            </w:r>
          </w:p>
        </w:tc>
        <w:tc>
          <w:tcPr>
            <w:tcW w:w="722" w:type="dxa"/>
            <w:tcBorders>
              <w:top w:val="nil"/>
              <w:left w:val="nil"/>
              <w:bottom w:val="single" w:color="000000" w:sz="8" w:space="0"/>
              <w:right w:val="single" w:color="000000" w:sz="8" w:space="0"/>
            </w:tcBorders>
            <w:shd w:val="clear" w:color="auto" w:fill="auto"/>
            <w:vAlign w:val="center"/>
          </w:tcPr>
          <w:p w14:paraId="7FC7F1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进度风险</w:t>
            </w:r>
          </w:p>
        </w:tc>
        <w:tc>
          <w:tcPr>
            <w:tcW w:w="1439" w:type="dxa"/>
            <w:tcBorders>
              <w:top w:val="nil"/>
              <w:left w:val="nil"/>
              <w:bottom w:val="single" w:color="000000" w:sz="8" w:space="0"/>
              <w:right w:val="single" w:color="000000" w:sz="8" w:space="0"/>
            </w:tcBorders>
            <w:shd w:val="clear" w:color="auto" w:fill="auto"/>
            <w:vAlign w:val="center"/>
          </w:tcPr>
          <w:p w14:paraId="44F8E7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用户中途要求增加手机端整套功能及半月报/整月报复杂逻辑，原定8周工期无法覆盖，面临严重违约风险。</w:t>
            </w:r>
          </w:p>
        </w:tc>
        <w:tc>
          <w:tcPr>
            <w:tcW w:w="990" w:type="dxa"/>
            <w:tcBorders>
              <w:top w:val="nil"/>
              <w:left w:val="nil"/>
              <w:bottom w:val="single" w:color="000000" w:sz="8" w:space="0"/>
              <w:right w:val="single" w:color="000000" w:sz="8" w:space="0"/>
            </w:tcBorders>
            <w:shd w:val="clear" w:color="auto" w:fill="auto"/>
            <w:vAlign w:val="center"/>
          </w:tcPr>
          <w:p w14:paraId="66CAC4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w:t>
            </w:r>
          </w:p>
        </w:tc>
        <w:tc>
          <w:tcPr>
            <w:tcW w:w="990" w:type="dxa"/>
            <w:tcBorders>
              <w:top w:val="nil"/>
              <w:left w:val="nil"/>
              <w:bottom w:val="single" w:color="000000" w:sz="8" w:space="0"/>
              <w:right w:val="single" w:color="000000" w:sz="8" w:space="0"/>
            </w:tcBorders>
            <w:shd w:val="clear" w:color="auto" w:fill="auto"/>
            <w:vAlign w:val="center"/>
          </w:tcPr>
          <w:p w14:paraId="21794A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严重</w:t>
            </w:r>
          </w:p>
        </w:tc>
        <w:tc>
          <w:tcPr>
            <w:tcW w:w="776" w:type="dxa"/>
            <w:tcBorders>
              <w:top w:val="nil"/>
              <w:left w:val="nil"/>
              <w:bottom w:val="single" w:color="000000" w:sz="8" w:space="0"/>
              <w:right w:val="single" w:color="000000" w:sz="8" w:space="0"/>
            </w:tcBorders>
            <w:shd w:val="clear" w:color="auto" w:fill="auto"/>
            <w:vAlign w:val="center"/>
          </w:tcPr>
          <w:p w14:paraId="0F5C13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严重</w:t>
            </w:r>
          </w:p>
        </w:tc>
        <w:tc>
          <w:tcPr>
            <w:tcW w:w="1403" w:type="dxa"/>
            <w:tcBorders>
              <w:top w:val="nil"/>
              <w:left w:val="nil"/>
              <w:bottom w:val="single" w:color="000000" w:sz="8" w:space="0"/>
              <w:right w:val="single" w:color="000000" w:sz="8" w:space="0"/>
            </w:tcBorders>
            <w:shd w:val="clear" w:color="auto" w:fill="auto"/>
            <w:vAlign w:val="center"/>
          </w:tcPr>
          <w:p w14:paraId="3D4F93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接受/转移：启动标准变更流程，评估后整体开发工期额外增加2周（延至10周），重新进行计划迭代并获甲方审批通过。</w:t>
            </w:r>
          </w:p>
        </w:tc>
        <w:tc>
          <w:tcPr>
            <w:tcW w:w="791" w:type="dxa"/>
            <w:tcBorders>
              <w:top w:val="nil"/>
              <w:left w:val="nil"/>
              <w:bottom w:val="single" w:color="000000" w:sz="8" w:space="0"/>
              <w:right w:val="single" w:color="000000" w:sz="8" w:space="0"/>
            </w:tcBorders>
            <w:shd w:val="clear" w:color="auto" w:fill="auto"/>
            <w:vAlign w:val="center"/>
          </w:tcPr>
          <w:p w14:paraId="3EF936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王皓翔</w:t>
            </w:r>
          </w:p>
        </w:tc>
        <w:tc>
          <w:tcPr>
            <w:tcW w:w="990" w:type="dxa"/>
            <w:tcBorders>
              <w:top w:val="nil"/>
              <w:left w:val="nil"/>
              <w:bottom w:val="single" w:color="000000" w:sz="8" w:space="0"/>
              <w:right w:val="single" w:color="000000" w:sz="8" w:space="0"/>
            </w:tcBorders>
            <w:shd w:val="clear" w:color="auto" w:fill="auto"/>
            <w:vAlign w:val="center"/>
          </w:tcPr>
          <w:p w14:paraId="0218FD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已处理/闭环</w:t>
            </w:r>
          </w:p>
        </w:tc>
      </w:tr>
    </w:tbl>
    <w:p w14:paraId="44E9BA7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sans-serif" w:hAnsi="sans-serif" w:eastAsia="宋体" w:cs="sans-serif"/>
          <w:i w:val="0"/>
          <w:iCs w:val="0"/>
          <w:caps w:val="0"/>
          <w:color w:val="2B2D31"/>
          <w:spacing w:val="0"/>
          <w:sz w:val="14"/>
          <w:szCs w:val="14"/>
          <w:shd w:val="clear" w:fill="FFFFFF"/>
          <w:lang w:eastAsia="zh-CN"/>
        </w:rPr>
      </w:pPr>
    </w:p>
    <w:p w14:paraId="5183E622">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42" w:name="_Toc14022"/>
      <w:r>
        <w:rPr>
          <w:rFonts w:hint="default" w:ascii="宋体" w:hAnsi="宋体" w:eastAsia="宋体" w:cs="宋体"/>
          <w:b/>
          <w:bCs/>
          <w:color w:val="000000"/>
          <w:kern w:val="0"/>
          <w:sz w:val="28"/>
          <w:szCs w:val="28"/>
          <w:lang w:val="en-US" w:eastAsia="zh-CN"/>
        </w:rPr>
        <w:t>8</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沟通管理</w:t>
      </w:r>
      <w:bookmarkEnd w:id="42"/>
    </w:p>
    <w:p w14:paraId="6FA3E0C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3" w:name="_Toc399"/>
      <w:r>
        <w:rPr>
          <w:rFonts w:hint="default" w:ascii="宋体" w:hAnsi="宋体" w:eastAsia="宋体" w:cs="宋体"/>
          <w:b/>
          <w:bCs/>
          <w:color w:val="000000"/>
          <w:kern w:val="0"/>
          <w:sz w:val="24"/>
          <w:szCs w:val="24"/>
        </w:rPr>
        <w:t>8.1 干系人识别</w:t>
      </w:r>
      <w:bookmarkEnd w:id="43"/>
    </w:p>
    <w:p w14:paraId="4F0FD24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核心干系人涵盖了项目建设与应用全生命周期中的各类参与者。内部核心干系人主要为11人跨职能研发团队，包括全面统筹进度与成本的项目经理王皓翔、负责需求基线化的需求分析师雷嘉瑞、主导政务云环境部署的系统架构师吴文皓，以及负责前端开发、后端逻辑、软件测试、配置管理与质量保证的其他骨干成员。</w:t>
      </w:r>
    </w:p>
    <w:p w14:paraId="6C0A315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外部关键干系人则包含提出业务统计维度调整要求的上级主管部门及指导教师、负责验收与查阅计划的甲方代表，以及平台最终的受众群体，即全省范围内的企业用、市级管理部门、省级管理部门及系统管理员。</w:t>
      </w:r>
    </w:p>
    <w:p w14:paraId="192F6DE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rPr>
      </w:pPr>
      <w:r>
        <w:rPr>
          <w:rFonts w:hint="default" w:ascii="Times New Roman" w:hAnsi="Times New Roman" w:eastAsia="宋体" w:cs="宋体"/>
          <w:color w:val="000000"/>
          <w:kern w:val="0"/>
          <w:sz w:val="24"/>
          <w:szCs w:val="24"/>
        </w:rPr>
        <w:t>准确识别并管理这些干系人的期望，是确保《云南省企业就业失业数据采集系统》顺利推进的前提。</w:t>
      </w:r>
    </w:p>
    <w:p w14:paraId="5B15E8B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4" w:name="_Toc3000"/>
      <w:r>
        <w:rPr>
          <w:rFonts w:hint="default" w:ascii="宋体" w:hAnsi="宋体" w:eastAsia="宋体" w:cs="宋体"/>
          <w:b/>
          <w:bCs/>
          <w:color w:val="000000"/>
          <w:kern w:val="0"/>
          <w:sz w:val="24"/>
          <w:szCs w:val="24"/>
        </w:rPr>
        <w:t>8.2 沟通方式与频率</w:t>
      </w:r>
      <w:bookmarkEnd w:id="44"/>
    </w:p>
    <w:p w14:paraId="132CE0C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确保项目信息在团队内外高效、透明地流转，项目组建立了一套多频次、结构化的沟通机制。在日常协作与进度追踪方面，项目经理负责主持每周五的课内实验与例会，在会上通报当周任务完成情况并计算成本与进度绩效指数，同时辅以每周定期的周报机制，由团队成员向上汇报个人产出与遭遇的技术阻碍。</w:t>
      </w:r>
    </w:p>
    <w:p w14:paraId="7CDB228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在关键节点把控方面，针对项目生命周期的核心阶段，团队会定期组织正式的里程碑评审会 ，邀请核心干系人对阶段性交付物（如需求基线、系统原型、核心模块上线）进行正式的评审与确认。</w:t>
      </w:r>
    </w:p>
    <w:p w14:paraId="3CE6C78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sz w:val="24"/>
          <w:szCs w:val="24"/>
        </w:rPr>
      </w:pPr>
      <w:r>
        <w:rPr>
          <w:rFonts w:hint="default" w:ascii="Times New Roman" w:hAnsi="Times New Roman" w:eastAsia="宋体" w:cs="宋体"/>
          <w:color w:val="000000"/>
          <w:kern w:val="0"/>
          <w:sz w:val="24"/>
          <w:szCs w:val="24"/>
        </w:rPr>
        <w:t>此外，当遇到重大技术难点、需求变更或风险预警（如CPI跌破安全红线）时，项目组会即时触发专项预警会议进行排查与纠偏 ，确保沟通渠道在常规进度节点与突发事件处置中均能保持高效畅通。</w:t>
      </w:r>
    </w:p>
    <w:p w14:paraId="04983E1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5" w:name="_Toc3047"/>
      <w:r>
        <w:rPr>
          <w:rFonts w:hint="default" w:ascii="宋体" w:hAnsi="宋体" w:eastAsia="宋体" w:cs="宋体"/>
          <w:b/>
          <w:bCs/>
          <w:color w:val="000000"/>
          <w:kern w:val="0"/>
          <w:sz w:val="24"/>
          <w:szCs w:val="24"/>
        </w:rPr>
        <w:t>8.3 文档管理</w:t>
      </w:r>
      <w:bookmarkEnd w:id="45"/>
    </w:p>
    <w:p w14:paraId="64036B5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项目的所有过程资产与阶段性交付物均实施严格的集中存储与规范化管理。所有项目文档（包含项目计划、需求规格说明书</w:t>
      </w:r>
      <w:r>
        <w:rPr>
          <w:rFonts w:hint="eastAsia" w:ascii="Times New Roman" w:hAnsi="Times New Roman" w:eastAsia="宋体" w:cs="宋体"/>
          <w:color w:val="000000"/>
          <w:kern w:val="0"/>
          <w:sz w:val="24"/>
          <w:szCs w:val="24"/>
          <w:lang w:eastAsia="zh-CN"/>
        </w:rPr>
        <w:t>、</w:t>
      </w:r>
      <w:r>
        <w:rPr>
          <w:rFonts w:hint="eastAsia" w:ascii="Times New Roman" w:hAnsi="Times New Roman" w:eastAsia="宋体" w:cs="宋体"/>
          <w:color w:val="000000"/>
          <w:kern w:val="0"/>
          <w:sz w:val="24"/>
          <w:szCs w:val="24"/>
          <w:lang w:val="en-US" w:eastAsia="zh-CN"/>
        </w:rPr>
        <w:t>项目计划点等</w:t>
      </w:r>
      <w:r>
        <w:rPr>
          <w:rFonts w:hint="default" w:ascii="Times New Roman" w:hAnsi="Times New Roman" w:eastAsia="宋体" w:cs="宋体"/>
          <w:color w:val="000000"/>
          <w:kern w:val="0"/>
          <w:sz w:val="24"/>
          <w:szCs w:val="24"/>
        </w:rPr>
        <w:t>）以及经过正式签批的需求变更申请单将统一存储于基于Git的版本控制库中，由专门的配置管理员王李嘉航全权负责版本权限控制与归档留痕。</w:t>
      </w:r>
    </w:p>
    <w:p w14:paraId="2B3F9ED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为了便于资料的检索与全周期的质量审计，项目组制定了统一的命名规则体系，要求所有入库文档遵循标准的命名规范与版本号控制，并在配置控制委员会（SCCB）批准变更后进行版本基线的迭代更新。</w:t>
      </w:r>
    </w:p>
    <w:p w14:paraId="06FE0E1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这一机制确保了团队成员及干系人随时能够获取最新且经过审核的权威项目资料，从而全方位满足政务信息系统对配置状态追踪与质量审计的严苛要求。</w:t>
      </w:r>
    </w:p>
    <w:p w14:paraId="2ACDD5E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p>
    <w:p w14:paraId="29FEF7B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46" w:name="_Toc21705"/>
      <w:r>
        <w:rPr>
          <w:rFonts w:hint="default" w:ascii="宋体" w:hAnsi="宋体" w:eastAsia="宋体" w:cs="宋体"/>
          <w:b/>
          <w:bCs/>
          <w:color w:val="000000"/>
          <w:kern w:val="0"/>
          <w:sz w:val="28"/>
          <w:szCs w:val="28"/>
          <w:lang w:val="en-US" w:eastAsia="zh-CN"/>
        </w:rPr>
        <w:t>9</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配置管理</w:t>
      </w:r>
      <w:bookmarkEnd w:id="46"/>
    </w:p>
    <w:p w14:paraId="0CA1D96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47" w:name="_Toc28035"/>
      <w:r>
        <w:rPr>
          <w:rFonts w:hint="default" w:ascii="宋体" w:hAnsi="宋体" w:eastAsia="宋体" w:cs="宋体"/>
          <w:b/>
          <w:bCs/>
          <w:color w:val="000000"/>
          <w:kern w:val="0"/>
          <w:sz w:val="24"/>
          <w:szCs w:val="24"/>
        </w:rPr>
        <w:t>9.1 配置项识别</w:t>
      </w:r>
      <w:bookmarkEnd w:id="47"/>
    </w:p>
    <w:p w14:paraId="30D06AC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本项目的配置项识别贯穿软件开发的整个生命周期，旨在将所有对项目交付有重大影响的工作产品纳入统一管控。</w:t>
      </w:r>
    </w:p>
    <w:p w14:paraId="08D546E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识别的核心配置项不仅包含前期的《云南省企业就业失业数据采集系统需求规格说明书》与项目计划文档等需求基线物料，还涵盖高保真UI原型。</w:t>
      </w:r>
    </w:p>
    <w:p w14:paraId="37F1EF6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在核心编码与测试阶段，所有的前端代码、后端Java服务源码、自动化测试脚本及测试用例均作为关键配置项入库。</w:t>
      </w:r>
    </w:p>
    <w:p w14:paraId="798AB91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sz w:val="24"/>
          <w:szCs w:val="24"/>
        </w:rPr>
      </w:pPr>
      <w:r>
        <w:rPr>
          <w:rFonts w:hint="default" w:ascii="Times New Roman" w:hAnsi="Times New Roman" w:eastAsia="宋体" w:cs="宋体"/>
          <w:color w:val="000000"/>
          <w:kern w:val="0"/>
          <w:sz w:val="24"/>
          <w:szCs w:val="24"/>
        </w:rPr>
        <w:t>此外，流转过程中的需求变更申请单也被明确识别为受控配置项，确保项目从需求到交付的全链路资产完整可溯。</w:t>
      </w:r>
    </w:p>
    <w:p w14:paraId="2911FBF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8" w:name="_Toc6695"/>
      <w:r>
        <w:rPr>
          <w:rFonts w:hint="default" w:ascii="宋体" w:hAnsi="宋体" w:eastAsia="宋体" w:cs="宋体"/>
          <w:b/>
          <w:bCs/>
          <w:color w:val="000000"/>
          <w:kern w:val="0"/>
          <w:sz w:val="24"/>
          <w:szCs w:val="24"/>
        </w:rPr>
        <w:t>9.2 基线与变更控制</w:t>
      </w:r>
      <w:bookmarkEnd w:id="48"/>
    </w:p>
    <w:p w14:paraId="7C05DCB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项目组针对关键里程碑建立了严格的基线管理机制，主要划分为需求基线、功能基线与产品基线。</w:t>
      </w:r>
    </w:p>
    <w:p w14:paraId="5264EF6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需求基线在需求规格说明书经项目干系人正式评审通过后确立，作为后续设计与开发的唯一依据；功能基线在核心业务模块开发完毕并经内部测试通过后形成，锁定系统核心流转逻辑；产品基线则在系统试运行并完成验收交付前正式打包封装 。针对基线的任何修改均受控于配置控制委员会（SCCB）。</w:t>
      </w:r>
    </w:p>
    <w:p w14:paraId="472F5D7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SCCB由项目经理王皓翔与业务大组长兼需求分析师雷嘉瑞领衔组成，其核心职责是全面评估变更请求对项目进度、成本及质量产生的综合影响，负责对所有既定基线外的功能修改或预算追加申请进行最终的审批决策，从制度层面坚决遏制需求蔓延。</w:t>
      </w:r>
    </w:p>
    <w:p w14:paraId="0A0679D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9" w:name="_Toc31988"/>
      <w:r>
        <w:rPr>
          <w:rFonts w:hint="default" w:ascii="宋体" w:hAnsi="宋体" w:eastAsia="宋体" w:cs="宋体"/>
          <w:b/>
          <w:bCs/>
          <w:color w:val="000000"/>
          <w:kern w:val="0"/>
          <w:sz w:val="24"/>
          <w:szCs w:val="24"/>
        </w:rPr>
        <w:t>9.3 变更控制流程</w:t>
      </w:r>
      <w:bookmarkEnd w:id="49"/>
    </w:p>
    <w:p w14:paraId="6E11F9E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为保障系统的稳定性与开发节奏，项目确立了严密的闭环标准化变更控制流程。</w:t>
      </w:r>
    </w:p>
    <w:p w14:paraId="22607FB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当业务侧或开发团队提出既定基线外的修改需求时，必须首先提交详尽的正式变更申请单，明确阐述变更描述及具体原因。随后，变更请求将进入影响分析阶段，由相关负责人详细评估其对项目成本基准与进度的影响金额或时间延迟。</w:t>
      </w:r>
    </w:p>
    <w:p w14:paraId="03A0CBE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分析报告生成后，提交至SCCB进行正式评审，只有在相关负责人签字批准后，开发团队方可动用管理储备或进度缓冲实施变更代码的编写与配置修改。</w:t>
      </w:r>
    </w:p>
    <w:p w14:paraId="62F3E6C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变更实施完成后，必须经过独立的测试验证环节，确认修改不仅满足新需求且未引入回归缺陷，最终在配置管理员确认归档记录后方可正式关闭该变更流程。</w:t>
      </w:r>
    </w:p>
    <w:p w14:paraId="1119E77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50" w:name="_Toc29388"/>
      <w:r>
        <w:rPr>
          <w:rFonts w:hint="default" w:ascii="宋体" w:hAnsi="宋体" w:eastAsia="宋体" w:cs="宋体"/>
          <w:b/>
          <w:bCs/>
          <w:color w:val="000000"/>
          <w:kern w:val="0"/>
          <w:sz w:val="24"/>
          <w:szCs w:val="24"/>
        </w:rPr>
        <w:t>9.4 版本控制工具</w:t>
      </w:r>
      <w:bookmarkEnd w:id="50"/>
    </w:p>
    <w:p w14:paraId="35F31DB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项目组全面采用Git作为核心版本控制工具，由配置管理员王李嘉航全权负责版本控制库的权限分配与配置变更历史的归档留痕。</w:t>
      </w:r>
    </w:p>
    <w:p w14:paraId="7BA280F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保障跨职能研发团队协作的安全性与代码合并的规范性，团队实施了严谨的分支管理策略。主分支严格与当前生产环境或最新产品基线保持一致，仅接受经过充分集成测试与走查的代码合并；开发分支作为日常功能集成的核心主干；针对企业端填报、市级端审核等不同子系统的研发，开发人员需基于主干拉取独立的功能特性分支，在完成单元测试与安全静态扫描后，经过合并请求审核方可合入主干。</w:t>
      </w:r>
    </w:p>
    <w:p w14:paraId="42182A0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所有的代码与文档提交日志必须规范详尽，要求与对应的需求单或任务单绑定，确保每一次基线演进的变更责任到人且历史流转轨迹清晰可见。</w:t>
      </w:r>
    </w:p>
    <w:p w14:paraId="0ABBF5C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51" w:name="_Toc27963"/>
      <w:r>
        <w:rPr>
          <w:rFonts w:hint="default" w:ascii="宋体" w:hAnsi="宋体" w:eastAsia="宋体" w:cs="宋体"/>
          <w:b/>
          <w:bCs/>
          <w:color w:val="000000"/>
          <w:kern w:val="0"/>
          <w:sz w:val="24"/>
          <w:szCs w:val="24"/>
        </w:rPr>
        <w:t>9.5 配置状态报告与配置审计</w:t>
      </w:r>
      <w:bookmarkEnd w:id="51"/>
    </w:p>
    <w:p w14:paraId="4D5731E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为实现项目资产的透明化管理，配置管理员需定期输出配置状态报告，向项目经理与干系人呈现各配置项的当前版本状态、变更执行情况及基线的演进路线。</w:t>
      </w:r>
    </w:p>
    <w:p w14:paraId="7B1A156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同时，为确保配置管理流程被严格遵守，项目组由质量保证（QA）专员张子敬牵头定期开展配置审计与过程审计工作。</w:t>
      </w:r>
    </w:p>
    <w:p w14:paraId="30EB177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审计内容不仅涵盖核查物理配置库中的代码集与《项目计划》等文档是否完整对应系统的实际状态，更重点核实需求变更流程的执行合规性，即抽查发生的变动是否均具备正式的变更申请单、是否经过了SCCB的签字审批，以及Git库中的分支管理策略与合并记录是否规范完整。</w:t>
      </w:r>
    </w:p>
    <w:p w14:paraId="343E226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r>
        <w:rPr>
          <w:rFonts w:hint="default" w:ascii="Times New Roman" w:hAnsi="Times New Roman" w:eastAsia="宋体" w:cs="宋体"/>
          <w:color w:val="000000"/>
          <w:kern w:val="0"/>
          <w:sz w:val="24"/>
          <w:szCs w:val="24"/>
        </w:rPr>
        <w:t>这一系列审查机制有效保障了最终交付物料矩阵的真实性与合规监管要求</w:t>
      </w:r>
      <w:r>
        <w:rPr>
          <w:rFonts w:hint="eastAsia" w:ascii="Times New Roman" w:hAnsi="Times New Roman" w:eastAsia="宋体" w:cs="宋体"/>
          <w:color w:val="000000"/>
          <w:kern w:val="0"/>
          <w:sz w:val="24"/>
          <w:szCs w:val="24"/>
          <w:lang w:eastAsia="zh-CN"/>
        </w:rPr>
        <w:t>。</w:t>
      </w:r>
    </w:p>
    <w:p w14:paraId="1CFA1C7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p>
    <w:p w14:paraId="42B41625">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52" w:name="_Toc1531"/>
      <w:r>
        <w:rPr>
          <w:rFonts w:hint="default" w:ascii="宋体" w:hAnsi="宋体" w:eastAsia="宋体" w:cs="宋体"/>
          <w:b/>
          <w:bCs/>
          <w:color w:val="000000"/>
          <w:kern w:val="0"/>
          <w:sz w:val="28"/>
          <w:szCs w:val="28"/>
          <w:lang w:val="en-US" w:eastAsia="zh-CN"/>
        </w:rPr>
        <w:t>10</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需求变更管理</w:t>
      </w:r>
      <w:bookmarkEnd w:id="52"/>
    </w:p>
    <w:p w14:paraId="644E3EC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53" w:name="_Toc4036"/>
      <w:r>
        <w:rPr>
          <w:rFonts w:hint="default" w:ascii="宋体" w:hAnsi="宋体" w:eastAsia="宋体" w:cs="宋体"/>
          <w:b/>
          <w:bCs/>
          <w:color w:val="000000"/>
          <w:kern w:val="0"/>
          <w:sz w:val="24"/>
          <w:szCs w:val="24"/>
        </w:rPr>
        <w:t>10.1 基线定义</w:t>
      </w:r>
      <w:bookmarkEnd w:id="53"/>
    </w:p>
    <w:p w14:paraId="65D92B5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初始需求基线是项目研发活动开展的法定基准，特指在项目启动阶段由需求大组长雷嘉瑞主导编制，并经项目经理王皓翔组织团队成员与指导教师共同评审通过后的《云南省企业就业失业数据采集系统需求规格说明书》版本 。该基线锁定并明确了系统在全省就业失业监测场景下的核心业务边界，包括省、市、企三级业务流转逻辑以及等保三级安全合规标准 。一旦该基线经由配置控制委员会（SCCB）批准冻结，即成为后续系统设计、编码实现及功能验收的唯一权威依据 ，任何未经正式流程的私自修改均被视为范围蔓延。</w:t>
      </w:r>
    </w:p>
    <w:p w14:paraId="7E33934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highlight w:val="none"/>
        </w:rPr>
      </w:pPr>
      <w:bookmarkStart w:id="54" w:name="_Toc29121"/>
      <w:r>
        <w:rPr>
          <w:rFonts w:hint="default" w:ascii="宋体" w:hAnsi="宋体" w:eastAsia="宋体" w:cs="宋体"/>
          <w:b/>
          <w:bCs/>
          <w:color w:val="000000"/>
          <w:kern w:val="0"/>
          <w:sz w:val="24"/>
          <w:szCs w:val="24"/>
          <w:highlight w:val="none"/>
        </w:rPr>
        <w:t>10.2 变更请求模板</w:t>
      </w:r>
      <w:bookmarkEnd w:id="54"/>
    </w:p>
    <w:p w14:paraId="78D0271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为了规范本项目的需求变更流程，确保所有超出初始基线的修改都能被有效评估、追踪和控制，项目组制定了标准化的《需求变更申请单》模板。</w:t>
      </w:r>
    </w:p>
    <w:p w14:paraId="05FDA5B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任何业务提出方或开发团队发起的实质性范围、进度或成本变更，均须完整填写该表单，明确变更原因与开发方案，并提交至配置控制委员会（SCCB）进行影响面评估。未获 SCCB 最终签字批准的变更，严禁私自侵入主干分支进行开发。 标准化的空白模板格式如下所示：</w:t>
      </w:r>
    </w:p>
    <w:p w14:paraId="652440D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p>
    <w:p w14:paraId="0CAF21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drawing>
          <wp:inline distT="0" distB="0" distL="114300" distR="114300">
            <wp:extent cx="5270500" cy="6160770"/>
            <wp:effectExtent l="0" t="0" r="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0500" cy="6160770"/>
                    </a:xfrm>
                    <a:prstGeom prst="rect">
                      <a:avLst/>
                    </a:prstGeom>
                    <a:noFill/>
                    <a:ln>
                      <a:noFill/>
                    </a:ln>
                  </pic:spPr>
                </pic:pic>
              </a:graphicData>
            </a:graphic>
          </wp:inline>
        </w:drawing>
      </w:r>
    </w:p>
    <w:p w14:paraId="3FB9579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55" w:name="_Toc7026"/>
      <w:r>
        <w:rPr>
          <w:rFonts w:hint="default" w:ascii="宋体" w:hAnsi="宋体" w:eastAsia="宋体" w:cs="宋体"/>
          <w:b/>
          <w:bCs/>
          <w:color w:val="000000"/>
          <w:kern w:val="0"/>
          <w:sz w:val="24"/>
          <w:szCs w:val="24"/>
        </w:rPr>
        <w:t>10.3 变更记录表</w:t>
      </w:r>
      <w:bookmarkEnd w:id="55"/>
    </w:p>
    <w:tbl>
      <w:tblPr>
        <w:tblStyle w:val="10"/>
        <w:tblW w:w="8026"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90"/>
        <w:gridCol w:w="839"/>
        <w:gridCol w:w="2371"/>
        <w:gridCol w:w="1371"/>
        <w:gridCol w:w="1080"/>
        <w:gridCol w:w="1275"/>
      </w:tblGrid>
      <w:tr w14:paraId="53563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5" w:hRule="atLeast"/>
        </w:trPr>
        <w:tc>
          <w:tcPr>
            <w:tcW w:w="1090" w:type="dxa"/>
            <w:tcBorders>
              <w:top w:val="single" w:color="000000" w:sz="8" w:space="0"/>
              <w:left w:val="single" w:color="000000" w:sz="8" w:space="0"/>
              <w:bottom w:val="single" w:color="000000" w:sz="8" w:space="0"/>
              <w:right w:val="single" w:color="000000" w:sz="8" w:space="0"/>
            </w:tcBorders>
            <w:shd w:val="clear" w:color="auto" w:fill="F0F0F0"/>
            <w:vAlign w:val="center"/>
          </w:tcPr>
          <w:p w14:paraId="7F51E2EE">
            <w:pPr>
              <w:keepNext w:val="0"/>
              <w:keepLines w:val="0"/>
              <w:widowControl/>
              <w:suppressLineNumbers w:val="0"/>
              <w:jc w:val="center"/>
              <w:textAlignment w:val="center"/>
              <w:rPr>
                <w:rFonts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变更请求编号</w:t>
            </w:r>
          </w:p>
        </w:tc>
        <w:tc>
          <w:tcPr>
            <w:tcW w:w="839" w:type="dxa"/>
            <w:tcBorders>
              <w:top w:val="single" w:color="000000" w:sz="8" w:space="0"/>
              <w:left w:val="nil"/>
              <w:bottom w:val="single" w:color="000000" w:sz="8" w:space="0"/>
              <w:right w:val="single" w:color="000000" w:sz="8" w:space="0"/>
            </w:tcBorders>
            <w:shd w:val="clear" w:color="auto" w:fill="F0F0F0"/>
            <w:vAlign w:val="center"/>
          </w:tcPr>
          <w:p w14:paraId="061DA5C5">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申请日期</w:t>
            </w:r>
          </w:p>
        </w:tc>
        <w:tc>
          <w:tcPr>
            <w:tcW w:w="2371" w:type="dxa"/>
            <w:tcBorders>
              <w:top w:val="single" w:color="000000" w:sz="8" w:space="0"/>
              <w:left w:val="nil"/>
              <w:bottom w:val="single" w:color="000000" w:sz="8" w:space="0"/>
              <w:right w:val="single" w:color="000000" w:sz="8" w:space="0"/>
            </w:tcBorders>
            <w:shd w:val="clear" w:color="auto" w:fill="F0F0F0"/>
            <w:vAlign w:val="center"/>
          </w:tcPr>
          <w:p w14:paraId="03F16C69">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变更核心内容简述</w:t>
            </w:r>
          </w:p>
        </w:tc>
        <w:tc>
          <w:tcPr>
            <w:tcW w:w="1371" w:type="dxa"/>
            <w:tcBorders>
              <w:top w:val="single" w:color="000000" w:sz="8" w:space="0"/>
              <w:left w:val="nil"/>
              <w:bottom w:val="single" w:color="000000" w:sz="8" w:space="0"/>
              <w:right w:val="single" w:color="000000" w:sz="8" w:space="0"/>
            </w:tcBorders>
            <w:shd w:val="clear" w:color="auto" w:fill="F0F0F0"/>
            <w:vAlign w:val="center"/>
          </w:tcPr>
          <w:p w14:paraId="480ADA9E">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影响基线评估</w:t>
            </w:r>
          </w:p>
        </w:tc>
        <w:tc>
          <w:tcPr>
            <w:tcW w:w="1080" w:type="dxa"/>
            <w:tcBorders>
              <w:top w:val="single" w:color="000000" w:sz="8" w:space="0"/>
              <w:left w:val="nil"/>
              <w:bottom w:val="single" w:color="000000" w:sz="8" w:space="0"/>
              <w:right w:val="single" w:color="000000" w:sz="8" w:space="0"/>
            </w:tcBorders>
            <w:shd w:val="clear" w:color="auto" w:fill="F0F0F0"/>
            <w:vAlign w:val="center"/>
          </w:tcPr>
          <w:p w14:paraId="5B39C6EF">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审批状态</w:t>
            </w:r>
          </w:p>
        </w:tc>
        <w:tc>
          <w:tcPr>
            <w:tcW w:w="1275" w:type="dxa"/>
            <w:tcBorders>
              <w:top w:val="single" w:color="000000" w:sz="8" w:space="0"/>
              <w:left w:val="nil"/>
              <w:bottom w:val="single" w:color="000000" w:sz="8" w:space="0"/>
              <w:right w:val="single" w:color="000000" w:sz="8" w:space="0"/>
            </w:tcBorders>
            <w:shd w:val="clear" w:color="auto" w:fill="F0F0F0"/>
            <w:vAlign w:val="center"/>
          </w:tcPr>
          <w:p w14:paraId="62EB803E">
            <w:pPr>
              <w:keepNext w:val="0"/>
              <w:keepLines w:val="0"/>
              <w:widowControl/>
              <w:suppressLineNumbers w:val="0"/>
              <w:jc w:val="center"/>
              <w:textAlignment w:val="center"/>
              <w:rPr>
                <w:rFonts w:hint="default" w:ascii="Segoe UI" w:hAnsi="Segoe UI" w:eastAsia="Segoe UI" w:cs="Segoe UI"/>
                <w:b/>
                <w:bCs/>
                <w:i w:val="0"/>
                <w:iCs w:val="0"/>
                <w:color w:val="000000"/>
                <w:sz w:val="24"/>
                <w:szCs w:val="24"/>
                <w:u w:val="none"/>
              </w:rPr>
            </w:pPr>
            <w:r>
              <w:rPr>
                <w:rFonts w:hint="default" w:ascii="Segoe UI" w:hAnsi="Segoe UI" w:eastAsia="Segoe UI" w:cs="Segoe UI"/>
                <w:b/>
                <w:bCs/>
                <w:i w:val="0"/>
                <w:iCs w:val="0"/>
                <w:color w:val="000000"/>
                <w:kern w:val="0"/>
                <w:sz w:val="24"/>
                <w:szCs w:val="24"/>
                <w:u w:val="none"/>
                <w:lang w:val="en-US" w:eastAsia="zh-CN" w:bidi="ar"/>
              </w:rPr>
              <w:t>处理人</w:t>
            </w:r>
          </w:p>
        </w:tc>
      </w:tr>
      <w:tr w14:paraId="4AA0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4" w:hRule="atLeast"/>
        </w:trPr>
        <w:tc>
          <w:tcPr>
            <w:tcW w:w="1090" w:type="dxa"/>
            <w:tcBorders>
              <w:top w:val="nil"/>
              <w:left w:val="single" w:color="000000" w:sz="8" w:space="0"/>
              <w:bottom w:val="single" w:color="000000" w:sz="8" w:space="0"/>
              <w:right w:val="single" w:color="000000" w:sz="8" w:space="0"/>
            </w:tcBorders>
            <w:shd w:val="clear" w:color="auto" w:fill="auto"/>
            <w:vAlign w:val="center"/>
          </w:tcPr>
          <w:p w14:paraId="3F5D51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CR-20260403-01</w:t>
            </w:r>
          </w:p>
        </w:tc>
        <w:tc>
          <w:tcPr>
            <w:tcW w:w="839" w:type="dxa"/>
            <w:tcBorders>
              <w:top w:val="nil"/>
              <w:left w:val="nil"/>
              <w:bottom w:val="single" w:color="000000" w:sz="8" w:space="0"/>
              <w:right w:val="single" w:color="000000" w:sz="8" w:space="0"/>
            </w:tcBorders>
            <w:shd w:val="clear" w:color="auto" w:fill="auto"/>
            <w:vAlign w:val="center"/>
          </w:tcPr>
          <w:p w14:paraId="52E4529F">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2026-4-3</w:t>
            </w:r>
          </w:p>
        </w:tc>
        <w:tc>
          <w:tcPr>
            <w:tcW w:w="2371" w:type="dxa"/>
            <w:tcBorders>
              <w:top w:val="nil"/>
              <w:left w:val="nil"/>
              <w:bottom w:val="single" w:color="000000" w:sz="8" w:space="0"/>
              <w:right w:val="single" w:color="000000" w:sz="8" w:space="0"/>
            </w:tcBorders>
            <w:shd w:val="clear" w:color="auto" w:fill="auto"/>
            <w:vAlign w:val="center"/>
          </w:tcPr>
          <w:p w14:paraId="2A58C5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【周期规则调整】</w:t>
            </w:r>
            <w:r>
              <w:rPr>
                <w:rFonts w:ascii="Arial" w:hAnsi="Arial" w:eastAsia="宋体" w:cs="Arial"/>
                <w:i w:val="0"/>
                <w:iCs w:val="0"/>
                <w:color w:val="2B2D31"/>
                <w:kern w:val="0"/>
                <w:sz w:val="21"/>
                <w:szCs w:val="21"/>
                <w:u w:val="none"/>
                <w:lang w:val="en-US" w:eastAsia="zh-CN" w:bidi="ar"/>
              </w:rPr>
              <w:t>废除单一企业月报，改为“1-3月半月报，4-12月整月报”机制</w:t>
            </w:r>
            <w:bookmarkStart w:id="59" w:name="_GoBack"/>
            <w:bookmarkEnd w:id="59"/>
          </w:p>
        </w:tc>
        <w:tc>
          <w:tcPr>
            <w:tcW w:w="1371" w:type="dxa"/>
            <w:tcBorders>
              <w:top w:val="nil"/>
              <w:left w:val="nil"/>
              <w:bottom w:val="single" w:color="000000" w:sz="8" w:space="0"/>
              <w:right w:val="single" w:color="000000" w:sz="8" w:space="0"/>
            </w:tcBorders>
            <w:shd w:val="clear" w:color="auto" w:fill="auto"/>
            <w:vAlign w:val="center"/>
          </w:tcPr>
          <w:p w14:paraId="6E0C33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范围基线</w:t>
            </w:r>
          </w:p>
        </w:tc>
        <w:tc>
          <w:tcPr>
            <w:tcW w:w="1080" w:type="dxa"/>
            <w:tcBorders>
              <w:top w:val="nil"/>
              <w:left w:val="nil"/>
              <w:bottom w:val="single" w:color="000000" w:sz="8" w:space="0"/>
              <w:right w:val="single" w:color="000000" w:sz="8" w:space="0"/>
            </w:tcBorders>
            <w:shd w:val="clear" w:color="auto" w:fill="auto"/>
            <w:vAlign w:val="center"/>
          </w:tcPr>
          <w:p w14:paraId="480C89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已批准</w:t>
            </w:r>
          </w:p>
        </w:tc>
        <w:tc>
          <w:tcPr>
            <w:tcW w:w="1275" w:type="dxa"/>
            <w:tcBorders>
              <w:top w:val="nil"/>
              <w:left w:val="nil"/>
              <w:bottom w:val="single" w:color="000000" w:sz="8" w:space="0"/>
              <w:right w:val="single" w:color="000000" w:sz="8" w:space="0"/>
            </w:tcBorders>
            <w:shd w:val="clear" w:color="auto" w:fill="auto"/>
            <w:vAlign w:val="center"/>
          </w:tcPr>
          <w:p w14:paraId="520002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王皓翔</w:t>
            </w:r>
          </w:p>
        </w:tc>
      </w:tr>
      <w:tr w14:paraId="53806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2" w:hRule="atLeast"/>
        </w:trPr>
        <w:tc>
          <w:tcPr>
            <w:tcW w:w="1090" w:type="dxa"/>
            <w:tcBorders>
              <w:top w:val="nil"/>
              <w:left w:val="single" w:color="000000" w:sz="8" w:space="0"/>
              <w:bottom w:val="single" w:color="000000" w:sz="8" w:space="0"/>
              <w:right w:val="single" w:color="000000" w:sz="8" w:space="0"/>
            </w:tcBorders>
            <w:shd w:val="clear" w:color="auto" w:fill="auto"/>
            <w:vAlign w:val="center"/>
          </w:tcPr>
          <w:p w14:paraId="68CFF8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CR-20260410-02</w:t>
            </w:r>
          </w:p>
        </w:tc>
        <w:tc>
          <w:tcPr>
            <w:tcW w:w="839" w:type="dxa"/>
            <w:tcBorders>
              <w:top w:val="nil"/>
              <w:left w:val="nil"/>
              <w:bottom w:val="single" w:color="000000" w:sz="8" w:space="0"/>
              <w:right w:val="single" w:color="000000" w:sz="8" w:space="0"/>
            </w:tcBorders>
            <w:shd w:val="clear" w:color="auto" w:fill="auto"/>
            <w:vAlign w:val="center"/>
          </w:tcPr>
          <w:p w14:paraId="00AAC9FD">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2026-4-10</w:t>
            </w:r>
          </w:p>
        </w:tc>
        <w:tc>
          <w:tcPr>
            <w:tcW w:w="2371" w:type="dxa"/>
            <w:tcBorders>
              <w:top w:val="nil"/>
              <w:left w:val="nil"/>
              <w:bottom w:val="single" w:color="000000" w:sz="8" w:space="0"/>
              <w:right w:val="single" w:color="000000" w:sz="8" w:space="0"/>
            </w:tcBorders>
            <w:shd w:val="clear" w:color="auto" w:fill="auto"/>
            <w:vAlign w:val="center"/>
          </w:tcPr>
          <w:p w14:paraId="6B65AE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【新增系统终端】</w:t>
            </w:r>
            <w:r>
              <w:rPr>
                <w:rFonts w:ascii="Arial" w:hAnsi="Arial" w:eastAsia="宋体" w:cs="Arial"/>
                <w:i w:val="0"/>
                <w:iCs w:val="0"/>
                <w:color w:val="2B2D31"/>
                <w:kern w:val="0"/>
                <w:sz w:val="21"/>
                <w:szCs w:val="21"/>
                <w:u w:val="none"/>
                <w:lang w:val="en-US" w:eastAsia="zh-CN" w:bidi="ar"/>
              </w:rPr>
              <w:t>新增手机端企业上报与省移动审核功能，</w:t>
            </w:r>
            <w:r>
              <w:rPr>
                <w:rStyle w:val="14"/>
                <w:rFonts w:eastAsia="宋体"/>
                <w:b w:val="0"/>
                <w:bCs w:val="0"/>
                <w:lang w:val="en-US" w:eastAsia="zh-CN" w:bidi="ar"/>
              </w:rPr>
              <w:t>整体开发工期顺延2周（至10周）</w:t>
            </w:r>
          </w:p>
        </w:tc>
        <w:tc>
          <w:tcPr>
            <w:tcW w:w="1371" w:type="dxa"/>
            <w:tcBorders>
              <w:top w:val="nil"/>
              <w:left w:val="nil"/>
              <w:bottom w:val="single" w:color="000000" w:sz="8" w:space="0"/>
              <w:right w:val="single" w:color="000000" w:sz="8" w:space="0"/>
            </w:tcBorders>
            <w:shd w:val="clear" w:color="auto" w:fill="auto"/>
            <w:vAlign w:val="center"/>
          </w:tcPr>
          <w:p w14:paraId="4E9361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范围、进度、成本基线</w:t>
            </w:r>
          </w:p>
        </w:tc>
        <w:tc>
          <w:tcPr>
            <w:tcW w:w="1080" w:type="dxa"/>
            <w:tcBorders>
              <w:top w:val="nil"/>
              <w:left w:val="nil"/>
              <w:bottom w:val="single" w:color="000000" w:sz="8" w:space="0"/>
              <w:right w:val="single" w:color="000000" w:sz="8" w:space="0"/>
            </w:tcBorders>
            <w:shd w:val="clear" w:color="auto" w:fill="auto"/>
            <w:vAlign w:val="center"/>
          </w:tcPr>
          <w:p w14:paraId="6E3373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已批准</w:t>
            </w:r>
          </w:p>
        </w:tc>
        <w:tc>
          <w:tcPr>
            <w:tcW w:w="1275" w:type="dxa"/>
            <w:tcBorders>
              <w:top w:val="nil"/>
              <w:left w:val="nil"/>
              <w:bottom w:val="single" w:color="000000" w:sz="8" w:space="0"/>
              <w:right w:val="single" w:color="000000" w:sz="8" w:space="0"/>
            </w:tcBorders>
            <w:shd w:val="clear" w:color="auto" w:fill="auto"/>
            <w:vAlign w:val="center"/>
          </w:tcPr>
          <w:p w14:paraId="3A2C4D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王皓翔</w:t>
            </w:r>
          </w:p>
        </w:tc>
      </w:tr>
    </w:tbl>
    <w:p w14:paraId="121F47B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p>
    <w:p w14:paraId="3EA956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lang w:eastAsia="zh-CN"/>
        </w:rPr>
        <w:drawing>
          <wp:inline distT="0" distB="0" distL="114300" distR="114300">
            <wp:extent cx="5271135" cy="6190615"/>
            <wp:effectExtent l="0" t="0" r="12065" b="6985"/>
            <wp:docPr id="3" name="图片 3" descr="微信图片_20260424201017_1734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424201017_1734_8"/>
                    <pic:cNvPicPr>
                      <a:picLocks noChangeAspect="1"/>
                    </pic:cNvPicPr>
                  </pic:nvPicPr>
                  <pic:blipFill>
                    <a:blip r:embed="rId6"/>
                    <a:stretch>
                      <a:fillRect/>
                    </a:stretch>
                  </pic:blipFill>
                  <pic:spPr>
                    <a:xfrm>
                      <a:off x="0" y="0"/>
                      <a:ext cx="5271135" cy="6190615"/>
                    </a:xfrm>
                    <a:prstGeom prst="rect">
                      <a:avLst/>
                    </a:prstGeom>
                  </pic:spPr>
                </pic:pic>
              </a:graphicData>
            </a:graphic>
          </wp:inline>
        </w:drawing>
      </w:r>
    </w:p>
    <w:p w14:paraId="68B2C4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color w:val="000000"/>
          <w:kern w:val="0"/>
          <w:sz w:val="24"/>
          <w:szCs w:val="24"/>
          <w:lang w:eastAsia="zh-CN"/>
        </w:rPr>
      </w:pPr>
      <w:r>
        <w:rPr>
          <w:rFonts w:hint="eastAsia" w:ascii="Times New Roman" w:hAnsi="Times New Roman" w:eastAsia="宋体" w:cs="宋体"/>
          <w:color w:val="000000"/>
          <w:kern w:val="0"/>
          <w:sz w:val="24"/>
          <w:szCs w:val="24"/>
          <w:lang w:eastAsia="zh-CN"/>
        </w:rPr>
        <w:drawing>
          <wp:inline distT="0" distB="0" distL="114300" distR="114300">
            <wp:extent cx="5270500" cy="6045835"/>
            <wp:effectExtent l="0" t="0" r="0" b="12065"/>
            <wp:docPr id="2" name="图片 2" descr="微信图片_20260424201017_1735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424201017_1735_8"/>
                    <pic:cNvPicPr>
                      <a:picLocks noChangeAspect="1"/>
                    </pic:cNvPicPr>
                  </pic:nvPicPr>
                  <pic:blipFill>
                    <a:blip r:embed="rId7"/>
                    <a:stretch>
                      <a:fillRect/>
                    </a:stretch>
                  </pic:blipFill>
                  <pic:spPr>
                    <a:xfrm>
                      <a:off x="0" y="0"/>
                      <a:ext cx="5270500" cy="6045835"/>
                    </a:xfrm>
                    <a:prstGeom prst="rect">
                      <a:avLst/>
                    </a:prstGeom>
                  </pic:spPr>
                </pic:pic>
              </a:graphicData>
            </a:graphic>
          </wp:inline>
        </w:drawing>
      </w:r>
    </w:p>
    <w:p w14:paraId="4205D0D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56" w:name="_Toc1621"/>
      <w:r>
        <w:rPr>
          <w:rFonts w:hint="default" w:ascii="宋体" w:hAnsi="宋体" w:eastAsia="宋体" w:cs="宋体"/>
          <w:b/>
          <w:bCs/>
          <w:color w:val="000000"/>
          <w:kern w:val="0"/>
          <w:sz w:val="28"/>
          <w:szCs w:val="28"/>
          <w:lang w:val="en-US" w:eastAsia="zh-CN"/>
        </w:rPr>
        <w:t>11</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项目计划附录</w:t>
      </w:r>
      <w:bookmarkEnd w:id="56"/>
    </w:p>
    <w:p w14:paraId="5FAE239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57" w:name="_Toc18683"/>
      <w:r>
        <w:rPr>
          <w:rFonts w:hint="default" w:ascii="宋体" w:hAnsi="宋体" w:eastAsia="宋体" w:cs="宋体"/>
          <w:b/>
          <w:bCs/>
          <w:color w:val="000000"/>
          <w:kern w:val="0"/>
          <w:sz w:val="24"/>
          <w:szCs w:val="24"/>
        </w:rPr>
        <w:t>附录</w:t>
      </w:r>
      <w:r>
        <w:rPr>
          <w:rFonts w:hint="eastAsia" w:ascii="宋体" w:hAnsi="宋体" w:eastAsia="宋体" w:cs="宋体"/>
          <w:b/>
          <w:bCs/>
          <w:color w:val="000000"/>
          <w:kern w:val="0"/>
          <w:sz w:val="24"/>
          <w:szCs w:val="24"/>
          <w:lang w:val="en-US" w:eastAsia="zh-CN"/>
        </w:rPr>
        <w:t>A</w:t>
      </w:r>
      <w:r>
        <w:rPr>
          <w:rFonts w:hint="default" w:ascii="宋体" w:hAnsi="宋体" w:eastAsia="宋体" w:cs="宋体"/>
          <w:b/>
          <w:bCs/>
          <w:color w:val="000000"/>
          <w:kern w:val="0"/>
          <w:sz w:val="24"/>
          <w:szCs w:val="24"/>
        </w:rPr>
        <w:t>：甘特图源文件</w:t>
      </w:r>
      <w:bookmarkEnd w:id="57"/>
    </w:p>
    <w:p w14:paraId="2B2C8FB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lang w:val="en-US" w:eastAsia="zh-CN"/>
        </w:rPr>
      </w:pPr>
      <w:r>
        <w:rPr>
          <w:rFonts w:hint="eastAsia" w:ascii="Times New Roman" w:hAnsi="Times New Roman" w:eastAsia="宋体" w:cs="宋体"/>
          <w:color w:val="000000"/>
          <w:kern w:val="0"/>
          <w:sz w:val="24"/>
          <w:szCs w:val="24"/>
          <w:lang w:val="en-US" w:eastAsia="zh-CN"/>
        </w:rPr>
        <w:t>见文件外</w:t>
      </w:r>
    </w:p>
    <w:p w14:paraId="6896A35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lang w:val="en-US" w:eastAsia="zh-CN"/>
        </w:rPr>
      </w:pPr>
      <w:bookmarkStart w:id="58" w:name="_Toc1414"/>
      <w:r>
        <w:rPr>
          <w:rFonts w:hint="default" w:ascii="宋体" w:hAnsi="宋体" w:eastAsia="宋体" w:cs="宋体"/>
          <w:b/>
          <w:bCs/>
          <w:color w:val="000000"/>
          <w:kern w:val="0"/>
          <w:sz w:val="24"/>
          <w:szCs w:val="24"/>
        </w:rPr>
        <w:t>附录</w:t>
      </w:r>
      <w:r>
        <w:rPr>
          <w:rFonts w:hint="eastAsia" w:ascii="宋体" w:hAnsi="宋体" w:eastAsia="宋体" w:cs="宋体"/>
          <w:b/>
          <w:bCs/>
          <w:color w:val="000000"/>
          <w:kern w:val="0"/>
          <w:sz w:val="24"/>
          <w:szCs w:val="24"/>
          <w:lang w:val="en-US" w:eastAsia="zh-CN"/>
        </w:rPr>
        <w:t>B</w:t>
      </w:r>
      <w:r>
        <w:rPr>
          <w:rFonts w:hint="default" w:ascii="宋体" w:hAnsi="宋体" w:eastAsia="宋体" w:cs="宋体"/>
          <w:b/>
          <w:bCs/>
          <w:color w:val="000000"/>
          <w:kern w:val="0"/>
          <w:sz w:val="24"/>
          <w:szCs w:val="24"/>
        </w:rPr>
        <w:t>：配置管</w:t>
      </w:r>
      <w:r>
        <w:rPr>
          <w:rFonts w:hint="default" w:ascii="宋体" w:hAnsi="宋体" w:eastAsia="宋体" w:cs="宋体"/>
          <w:b/>
          <w:bCs/>
          <w:color w:val="000000"/>
          <w:kern w:val="0"/>
          <w:sz w:val="24"/>
          <w:szCs w:val="24"/>
          <w:lang w:val="en-US" w:eastAsia="zh-CN"/>
        </w:rPr>
        <w:t>理截图</w:t>
      </w:r>
      <w:bookmarkEnd w:id="58"/>
    </w:p>
    <w:p w14:paraId="0612134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lang w:val="en-US" w:eastAsia="zh-CN"/>
        </w:rPr>
      </w:pPr>
      <w:r>
        <w:rPr>
          <w:rFonts w:hint="eastAsia" w:ascii="Times New Roman" w:hAnsi="Times New Roman" w:eastAsia="宋体" w:cs="宋体"/>
          <w:color w:val="000000"/>
          <w:kern w:val="0"/>
          <w:sz w:val="24"/>
          <w:szCs w:val="24"/>
          <w:lang w:val="en-US" w:eastAsia="zh-CN"/>
        </w:rPr>
        <w:t>见文件外</w:t>
      </w:r>
    </w:p>
    <w:p w14:paraId="76A77480"/>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0398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B40CA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4CB40CA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BAA32"/>
    <w:multiLevelType w:val="multilevel"/>
    <w:tmpl w:val="060BAA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768AF"/>
    <w:rsid w:val="03656611"/>
    <w:rsid w:val="074758D7"/>
    <w:rsid w:val="23860089"/>
    <w:rsid w:val="25BC7646"/>
    <w:rsid w:val="321A3327"/>
    <w:rsid w:val="324B6E16"/>
    <w:rsid w:val="40FF492F"/>
    <w:rsid w:val="479B13A6"/>
    <w:rsid w:val="4CB47256"/>
    <w:rsid w:val="515B2453"/>
    <w:rsid w:val="549C56E9"/>
    <w:rsid w:val="5E637DC9"/>
    <w:rsid w:val="78306EF8"/>
    <w:rsid w:val="7FB61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0"/>
    <w:pPr>
      <w:ind w:left="840" w:leftChars="4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uiPriority w:val="0"/>
    <w:pPr>
      <w:ind w:left="420" w:leftChars="200"/>
    </w:pPr>
  </w:style>
  <w:style w:type="paragraph" w:styleId="9">
    <w:name w:val="Normal (Web)"/>
    <w:basedOn w:val="1"/>
    <w:qFormat/>
    <w:uiPriority w:val="0"/>
    <w:rPr>
      <w:sz w:val="24"/>
    </w:rPr>
  </w:style>
  <w:style w:type="character" w:styleId="12">
    <w:name w:val="Strong"/>
    <w:basedOn w:val="11"/>
    <w:qFormat/>
    <w:uiPriority w:val="0"/>
    <w:rPr>
      <w:b/>
    </w:rPr>
  </w:style>
  <w:style w:type="character" w:customStyle="1" w:styleId="13">
    <w:name w:val="font31"/>
    <w:basedOn w:val="11"/>
    <w:qFormat/>
    <w:uiPriority w:val="0"/>
    <w:rPr>
      <w:rFonts w:ascii="Arial" w:hAnsi="Arial" w:cs="Arial"/>
      <w:color w:val="2B2D31"/>
      <w:sz w:val="21"/>
      <w:szCs w:val="21"/>
      <w:u w:val="none"/>
    </w:rPr>
  </w:style>
  <w:style w:type="character" w:customStyle="1" w:styleId="14">
    <w:name w:val="font41"/>
    <w:basedOn w:val="11"/>
    <w:uiPriority w:val="0"/>
    <w:rPr>
      <w:rFonts w:hint="default" w:ascii="Arial" w:hAnsi="Arial" w:cs="Arial"/>
      <w:b/>
      <w:bCs/>
      <w:color w:val="2B2D31"/>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14504</Words>
  <Characters>15129</Characters>
  <Lines>0</Lines>
  <Paragraphs>0</Paragraphs>
  <TotalTime>1</TotalTime>
  <ScaleCrop>false</ScaleCrop>
  <LinksUpToDate>false</LinksUpToDate>
  <CharactersWithSpaces>15362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2026-04-08T07:16:00Z</dcterms:created>
  <dc:creator>HP</dc:creator>
  <cp:lastModifiedBy>初战的信仰(｡•̀ᴗ-)✧6</cp:lastModifiedBy>
  <dcterms:modified xsi:type="dcterms:W3CDTF">2026-04-24T12:58:31Z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eyJoZGlkIjoiYTM1NmU0MmY3ZmZjYjc3Yjc2M2MwZTkwYmQxZWU2NTUiLCJ1c2VySWQiOiIzODAzMTk2ODgifQ==</vt:lpwstr>
  </property>
  <property fmtid="{D5CDD505-2E9C-101B-9397-08002B2CF9AE}" pid="4" name="ICV">
    <vt:lpwstr>DF9C6C8C79E24032BDDAFC441031898E_12</vt:lpwstr>
  </property>
</Properties>
</file>