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DECAFC">
      <w:pPr>
        <w:widowControl/>
        <w:spacing w:line="360" w:lineRule="auto"/>
        <w:jc w:val="center"/>
        <w:rPr>
          <w:rFonts w:hint="default" w:ascii="Times New Roman" w:hAnsi="宋体" w:eastAsia="宋体" w:cs="宋体"/>
          <w:b/>
          <w:color w:val="000000"/>
          <w:kern w:val="0"/>
          <w:sz w:val="40"/>
          <w:szCs w:val="40"/>
          <w:lang w:val="en-US" w:eastAsia="zh-CN"/>
        </w:rPr>
      </w:pPr>
    </w:p>
    <w:p w14:paraId="3B23A8A7">
      <w:pPr>
        <w:widowControl/>
        <w:spacing w:line="360" w:lineRule="auto"/>
        <w:jc w:val="center"/>
        <w:rPr>
          <w:rFonts w:hint="eastAsia" w:ascii="Times New Roman" w:hAnsi="宋体" w:eastAsia="宋体" w:cs="宋体"/>
          <w:b/>
          <w:color w:val="000000"/>
          <w:kern w:val="0"/>
          <w:sz w:val="40"/>
          <w:szCs w:val="40"/>
          <w:lang w:val="en-US" w:eastAsia="zh-CN"/>
        </w:rPr>
      </w:pPr>
      <w:r>
        <w:rPr>
          <w:rFonts w:hint="default" w:ascii="Times New Roman" w:hAnsi="宋体" w:eastAsia="宋体" w:cs="宋体"/>
          <w:b/>
          <w:color w:val="000000"/>
          <w:kern w:val="0"/>
          <w:sz w:val="40"/>
          <w:szCs w:val="40"/>
          <w:lang w:val="en-US" w:eastAsia="zh-CN"/>
        </w:rPr>
        <w:t>《云南省企业就业失业数据采集系统》项目计划</w:t>
      </w:r>
    </w:p>
    <w:p w14:paraId="3BC0525E">
      <w:pPr>
        <w:pStyle w:val="5"/>
        <w:tabs>
          <w:tab w:val="right" w:leader="dot" w:pos="8306"/>
        </w:tabs>
        <w:jc w:val="center"/>
        <w:rPr>
          <w:rFonts w:hint="eastAsia" w:ascii="宋体" w:hAnsi="宋体" w:eastAsia="宋体" w:cs="宋体"/>
          <w:b/>
          <w:bCs/>
          <w:color w:val="000000"/>
          <w:kern w:val="0"/>
          <w:sz w:val="36"/>
          <w:szCs w:val="36"/>
          <w:lang w:val="en-US" w:eastAsia="zh-CN"/>
        </w:rPr>
      </w:pPr>
    </w:p>
    <w:p w14:paraId="2E5119CE">
      <w:pPr>
        <w:pStyle w:val="5"/>
        <w:tabs>
          <w:tab w:val="right" w:leader="dot" w:pos="8306"/>
        </w:tabs>
        <w:jc w:val="center"/>
        <w:rPr>
          <w:rFonts w:hint="default" w:ascii="宋体" w:hAnsi="宋体" w:eastAsia="宋体" w:cs="宋体"/>
          <w:b/>
          <w:bCs/>
          <w:color w:val="000000"/>
          <w:kern w:val="0"/>
          <w:sz w:val="36"/>
          <w:szCs w:val="36"/>
          <w:lang w:val="en-US" w:eastAsia="zh-CN"/>
        </w:rPr>
      </w:pPr>
      <w:r>
        <w:rPr>
          <w:rFonts w:hint="eastAsia" w:ascii="宋体" w:hAnsi="宋体" w:eastAsia="宋体" w:cs="宋体"/>
          <w:b/>
          <w:bCs/>
          <w:color w:val="000000"/>
          <w:kern w:val="0"/>
          <w:sz w:val="36"/>
          <w:szCs w:val="36"/>
          <w:lang w:val="en-US" w:eastAsia="zh-CN"/>
        </w:rPr>
        <w:t>目录</w:t>
      </w:r>
    </w:p>
    <w:p w14:paraId="42489B7C">
      <w:pPr>
        <w:pStyle w:val="5"/>
        <w:tabs>
          <w:tab w:val="right" w:leader="dot" w:pos="8306"/>
        </w:tabs>
      </w:pPr>
      <w:r>
        <w:rPr>
          <w:rFonts w:hint="eastAsia" w:ascii="宋体" w:hAnsi="宋体" w:eastAsia="宋体" w:cs="宋体"/>
          <w:b/>
          <w:bCs/>
          <w:color w:val="000000"/>
          <w:kern w:val="0"/>
          <w:sz w:val="28"/>
          <w:szCs w:val="28"/>
          <w:lang w:val="en-US" w:eastAsia="zh-CN"/>
        </w:rPr>
        <w:fldChar w:fldCharType="begin"/>
      </w:r>
      <w:r>
        <w:rPr>
          <w:rFonts w:hint="eastAsia" w:ascii="宋体" w:hAnsi="宋体" w:eastAsia="宋体" w:cs="宋体"/>
          <w:b/>
          <w:bCs/>
          <w:color w:val="000000"/>
          <w:kern w:val="0"/>
          <w:sz w:val="28"/>
          <w:szCs w:val="28"/>
          <w:lang w:val="en-US" w:eastAsia="zh-CN"/>
        </w:rPr>
        <w:instrText xml:space="preserve">TOC \o "1-3" \h \u </w:instrText>
      </w:r>
      <w:r>
        <w:rPr>
          <w:rFonts w:hint="eastAsia" w:ascii="宋体" w:hAnsi="宋体" w:eastAsia="宋体" w:cs="宋体"/>
          <w:b/>
          <w:bCs/>
          <w:color w:val="000000"/>
          <w:kern w:val="0"/>
          <w:sz w:val="28"/>
          <w:szCs w:val="28"/>
          <w:lang w:val="en-US" w:eastAsia="zh-CN"/>
        </w:rPr>
        <w:fldChar w:fldCharType="separate"/>
      </w: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_Toc21840 </w:instrText>
      </w:r>
      <w:r>
        <w:rPr>
          <w:rFonts w:hint="eastAsia" w:ascii="宋体" w:hAnsi="宋体" w:eastAsia="宋体" w:cs="宋体"/>
          <w:bCs/>
          <w:kern w:val="0"/>
          <w:szCs w:val="28"/>
          <w:lang w:val="en-US" w:eastAsia="zh-CN"/>
        </w:rPr>
        <w:fldChar w:fldCharType="separate"/>
      </w:r>
      <w:r>
        <w:rPr>
          <w:rFonts w:hint="eastAsia" w:ascii="宋体" w:hAnsi="宋体" w:eastAsia="宋体" w:cs="宋体"/>
          <w:bCs/>
          <w:kern w:val="0"/>
          <w:szCs w:val="28"/>
          <w:lang w:val="en-US" w:eastAsia="zh-CN"/>
        </w:rPr>
        <w:t xml:space="preserve">1 </w:t>
      </w:r>
      <w:r>
        <w:rPr>
          <w:rFonts w:hint="default" w:ascii="宋体" w:hAnsi="宋体" w:eastAsia="宋体" w:cs="宋体"/>
          <w:bCs/>
          <w:kern w:val="0"/>
          <w:szCs w:val="28"/>
        </w:rPr>
        <w:t>引言</w:t>
      </w:r>
      <w:r>
        <w:tab/>
      </w:r>
      <w:r>
        <w:fldChar w:fldCharType="begin"/>
      </w:r>
      <w:r>
        <w:instrText xml:space="preserve"> PAGEREF _Toc21840 \h </w:instrText>
      </w:r>
      <w:r>
        <w:fldChar w:fldCharType="separate"/>
      </w:r>
      <w:r>
        <w:t>2</w:t>
      </w:r>
      <w:r>
        <w:fldChar w:fldCharType="end"/>
      </w:r>
      <w:r>
        <w:rPr>
          <w:rFonts w:hint="eastAsia" w:ascii="宋体" w:hAnsi="宋体" w:eastAsia="宋体" w:cs="宋体"/>
          <w:bCs/>
          <w:color w:val="000000"/>
          <w:kern w:val="0"/>
          <w:szCs w:val="28"/>
          <w:lang w:val="en-US" w:eastAsia="zh-CN"/>
        </w:rPr>
        <w:fldChar w:fldCharType="end"/>
      </w:r>
    </w:p>
    <w:p w14:paraId="6AB0F6C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_Toc3937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1.1 项目背景</w:t>
      </w:r>
      <w:r>
        <w:tab/>
      </w:r>
      <w:r>
        <w:fldChar w:fldCharType="begin"/>
      </w:r>
      <w:r>
        <w:instrText xml:space="preserve"> PAGEREF _Toc3937 \h </w:instrText>
      </w:r>
      <w:r>
        <w:fldChar w:fldCharType="separate"/>
      </w:r>
      <w:r>
        <w:t>2</w:t>
      </w:r>
      <w:r>
        <w:fldChar w:fldCharType="end"/>
      </w:r>
      <w:r>
        <w:rPr>
          <w:rFonts w:hint="eastAsia" w:ascii="宋体" w:hAnsi="宋体" w:eastAsia="宋体" w:cs="宋体"/>
          <w:bCs/>
          <w:color w:val="000000"/>
          <w:kern w:val="0"/>
          <w:szCs w:val="28"/>
          <w:lang w:val="en-US" w:eastAsia="zh-CN"/>
        </w:rPr>
        <w:fldChar w:fldCharType="end"/>
      </w:r>
    </w:p>
    <w:p w14:paraId="74B0E1B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_Toc2702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1.2 项目目标</w:t>
      </w:r>
      <w:r>
        <w:tab/>
      </w:r>
      <w:r>
        <w:fldChar w:fldCharType="begin"/>
      </w:r>
      <w:r>
        <w:instrText xml:space="preserve"> PAGEREF _Toc2702 \h </w:instrText>
      </w:r>
      <w:r>
        <w:fldChar w:fldCharType="separate"/>
      </w:r>
      <w:r>
        <w:t>3</w:t>
      </w:r>
      <w:r>
        <w:fldChar w:fldCharType="end"/>
      </w:r>
      <w:r>
        <w:rPr>
          <w:rFonts w:hint="eastAsia" w:ascii="宋体" w:hAnsi="宋体" w:eastAsia="宋体" w:cs="宋体"/>
          <w:bCs/>
          <w:color w:val="000000"/>
          <w:kern w:val="0"/>
          <w:szCs w:val="28"/>
          <w:lang w:val="en-US" w:eastAsia="zh-CN"/>
        </w:rPr>
        <w:fldChar w:fldCharType="end"/>
      </w:r>
    </w:p>
    <w:p w14:paraId="1A979A7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_Toc26777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1.3 文档范围与读者对象</w:t>
      </w:r>
      <w:r>
        <w:tab/>
      </w:r>
      <w:r>
        <w:fldChar w:fldCharType="begin"/>
      </w:r>
      <w:r>
        <w:instrText xml:space="preserve"> PAGEREF _Toc26777 \h </w:instrText>
      </w:r>
      <w:r>
        <w:fldChar w:fldCharType="separate"/>
      </w:r>
      <w:r>
        <w:t>3</w:t>
      </w:r>
      <w:r>
        <w:fldChar w:fldCharType="end"/>
      </w:r>
      <w:r>
        <w:rPr>
          <w:rFonts w:hint="eastAsia" w:ascii="宋体" w:hAnsi="宋体" w:eastAsia="宋体" w:cs="宋体"/>
          <w:bCs/>
          <w:color w:val="000000"/>
          <w:kern w:val="0"/>
          <w:szCs w:val="28"/>
          <w:lang w:val="en-US" w:eastAsia="zh-CN"/>
        </w:rPr>
        <w:fldChar w:fldCharType="end"/>
      </w:r>
    </w:p>
    <w:p w14:paraId="10BC2653">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_Toc15538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1.4 术语与定义</w:t>
      </w:r>
      <w:r>
        <w:tab/>
      </w:r>
      <w:r>
        <w:fldChar w:fldCharType="begin"/>
      </w:r>
      <w:r>
        <w:instrText xml:space="preserve"> PAGEREF _Toc15538 \h </w:instrText>
      </w:r>
      <w:r>
        <w:fldChar w:fldCharType="separate"/>
      </w:r>
      <w:r>
        <w:t>4</w:t>
      </w:r>
      <w:r>
        <w:fldChar w:fldCharType="end"/>
      </w:r>
      <w:r>
        <w:rPr>
          <w:rFonts w:hint="eastAsia" w:ascii="宋体" w:hAnsi="宋体" w:eastAsia="宋体" w:cs="宋体"/>
          <w:bCs/>
          <w:color w:val="000000"/>
          <w:kern w:val="0"/>
          <w:szCs w:val="28"/>
          <w:lang w:val="en-US" w:eastAsia="zh-CN"/>
        </w:rPr>
        <w:fldChar w:fldCharType="end"/>
      </w:r>
    </w:p>
    <w:p w14:paraId="03E8B146">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_Toc7915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2</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项目范围管理</w:t>
      </w:r>
      <w:r>
        <w:tab/>
      </w:r>
      <w:r>
        <w:fldChar w:fldCharType="begin"/>
      </w:r>
      <w:r>
        <w:instrText xml:space="preserve"> PAGEREF _Toc7915 \h </w:instrText>
      </w:r>
      <w:r>
        <w:fldChar w:fldCharType="separate"/>
      </w:r>
      <w:r>
        <w:t>4</w:t>
      </w:r>
      <w:r>
        <w:fldChar w:fldCharType="end"/>
      </w:r>
      <w:r>
        <w:rPr>
          <w:rFonts w:hint="eastAsia" w:ascii="宋体" w:hAnsi="宋体" w:eastAsia="宋体" w:cs="宋体"/>
          <w:bCs/>
          <w:color w:val="000000"/>
          <w:kern w:val="0"/>
          <w:szCs w:val="28"/>
          <w:lang w:val="en-US" w:eastAsia="zh-CN"/>
        </w:rPr>
        <w:fldChar w:fldCharType="end"/>
      </w:r>
    </w:p>
    <w:p w14:paraId="719DD4C8">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_Toc8478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 产品范围</w:t>
      </w:r>
      <w:r>
        <w:tab/>
      </w:r>
      <w:r>
        <w:fldChar w:fldCharType="begin"/>
      </w:r>
      <w:r>
        <w:instrText xml:space="preserve"> PAGEREF _Toc8478 \h </w:instrText>
      </w:r>
      <w:r>
        <w:fldChar w:fldCharType="separate"/>
      </w:r>
      <w:r>
        <w:t>4</w:t>
      </w:r>
      <w:r>
        <w:fldChar w:fldCharType="end"/>
      </w:r>
      <w:r>
        <w:rPr>
          <w:rFonts w:hint="eastAsia" w:ascii="宋体" w:hAnsi="宋体" w:eastAsia="宋体" w:cs="宋体"/>
          <w:bCs/>
          <w:color w:val="000000"/>
          <w:kern w:val="0"/>
          <w:szCs w:val="28"/>
          <w:lang w:val="en-US" w:eastAsia="zh-CN"/>
        </w:rPr>
        <w:fldChar w:fldCharType="end"/>
      </w:r>
    </w:p>
    <w:p w14:paraId="528B8A0B">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_Toc4768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w:t>
      </w:r>
      <w:r>
        <w:rPr>
          <w:rFonts w:hint="eastAsia" w:ascii="宋体" w:hAnsi="宋体" w:eastAsia="宋体" w:cs="宋体"/>
          <w:bCs/>
          <w:kern w:val="0"/>
          <w:szCs w:val="24"/>
          <w:lang w:val="en-US" w:eastAsia="zh-CN"/>
        </w:rPr>
        <w:t>.1</w:t>
      </w:r>
      <w:r>
        <w:rPr>
          <w:rFonts w:hint="default" w:ascii="宋体" w:hAnsi="宋体" w:eastAsia="宋体" w:cs="宋体"/>
          <w:bCs/>
          <w:kern w:val="0"/>
          <w:szCs w:val="24"/>
        </w:rPr>
        <w:t xml:space="preserve"> 企业端数据采集与备案子系统</w:t>
      </w:r>
      <w:r>
        <w:tab/>
      </w:r>
      <w:r>
        <w:fldChar w:fldCharType="begin"/>
      </w:r>
      <w:r>
        <w:instrText xml:space="preserve"> PAGEREF _Toc4768 \h </w:instrText>
      </w:r>
      <w:r>
        <w:fldChar w:fldCharType="separate"/>
      </w:r>
      <w:r>
        <w:t>4</w:t>
      </w:r>
      <w:r>
        <w:fldChar w:fldCharType="end"/>
      </w:r>
      <w:r>
        <w:rPr>
          <w:rFonts w:hint="eastAsia" w:ascii="宋体" w:hAnsi="宋体" w:eastAsia="宋体" w:cs="宋体"/>
          <w:bCs/>
          <w:color w:val="000000"/>
          <w:kern w:val="0"/>
          <w:szCs w:val="28"/>
          <w:lang w:val="en-US" w:eastAsia="zh-CN"/>
        </w:rPr>
        <w:fldChar w:fldCharType="end"/>
      </w:r>
    </w:p>
    <w:p w14:paraId="7EBFE6AD">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_Toc15806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w:t>
      </w:r>
      <w:r>
        <w:rPr>
          <w:rFonts w:hint="eastAsia" w:ascii="宋体" w:hAnsi="宋体" w:eastAsia="宋体" w:cs="宋体"/>
          <w:bCs/>
          <w:kern w:val="0"/>
          <w:szCs w:val="24"/>
          <w:lang w:val="en-US" w:eastAsia="zh-CN"/>
        </w:rPr>
        <w:t>.2</w:t>
      </w:r>
      <w:r>
        <w:rPr>
          <w:rFonts w:hint="default" w:ascii="宋体" w:hAnsi="宋体" w:eastAsia="宋体" w:cs="宋体"/>
          <w:bCs/>
          <w:kern w:val="0"/>
          <w:szCs w:val="24"/>
        </w:rPr>
        <w:t xml:space="preserve"> 市级端数据审核与辖区调度子系统</w:t>
      </w:r>
      <w:r>
        <w:tab/>
      </w:r>
      <w:r>
        <w:fldChar w:fldCharType="begin"/>
      </w:r>
      <w:r>
        <w:instrText xml:space="preserve"> PAGEREF _Toc15806 \h </w:instrText>
      </w:r>
      <w:r>
        <w:fldChar w:fldCharType="separate"/>
      </w:r>
      <w:r>
        <w:t>5</w:t>
      </w:r>
      <w:r>
        <w:fldChar w:fldCharType="end"/>
      </w:r>
      <w:r>
        <w:rPr>
          <w:rFonts w:hint="eastAsia" w:ascii="宋体" w:hAnsi="宋体" w:eastAsia="宋体" w:cs="宋体"/>
          <w:bCs/>
          <w:color w:val="000000"/>
          <w:kern w:val="0"/>
          <w:szCs w:val="28"/>
          <w:lang w:val="en-US" w:eastAsia="zh-CN"/>
        </w:rPr>
        <w:fldChar w:fldCharType="end"/>
      </w:r>
    </w:p>
    <w:p w14:paraId="72B7ECF2">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_Toc17831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w:t>
      </w:r>
      <w:r>
        <w:rPr>
          <w:rFonts w:hint="eastAsia" w:ascii="宋体" w:hAnsi="宋体" w:eastAsia="宋体" w:cs="宋体"/>
          <w:bCs/>
          <w:kern w:val="0"/>
          <w:szCs w:val="24"/>
          <w:lang w:val="en-US" w:eastAsia="zh-CN"/>
        </w:rPr>
        <w:t>.3</w:t>
      </w:r>
      <w:r>
        <w:rPr>
          <w:rFonts w:hint="default" w:ascii="宋体" w:hAnsi="宋体" w:eastAsia="宋体" w:cs="宋体"/>
          <w:bCs/>
          <w:kern w:val="0"/>
          <w:szCs w:val="24"/>
        </w:rPr>
        <w:t xml:space="preserve"> 省级端数据管理与分析子系统</w:t>
      </w:r>
      <w:r>
        <w:tab/>
      </w:r>
      <w:r>
        <w:fldChar w:fldCharType="begin"/>
      </w:r>
      <w:r>
        <w:instrText xml:space="preserve"> PAGEREF _Toc17831 \h </w:instrText>
      </w:r>
      <w:r>
        <w:fldChar w:fldCharType="separate"/>
      </w:r>
      <w:r>
        <w:t>5</w:t>
      </w:r>
      <w:r>
        <w:fldChar w:fldCharType="end"/>
      </w:r>
      <w:r>
        <w:rPr>
          <w:rFonts w:hint="eastAsia" w:ascii="宋体" w:hAnsi="宋体" w:eastAsia="宋体" w:cs="宋体"/>
          <w:bCs/>
          <w:color w:val="000000"/>
          <w:kern w:val="0"/>
          <w:szCs w:val="28"/>
          <w:lang w:val="en-US" w:eastAsia="zh-CN"/>
        </w:rPr>
        <w:fldChar w:fldCharType="end"/>
      </w:r>
    </w:p>
    <w:p w14:paraId="053FE178">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_Toc14737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w:t>
      </w:r>
      <w:r>
        <w:rPr>
          <w:rFonts w:hint="eastAsia" w:ascii="宋体" w:hAnsi="宋体" w:eastAsia="宋体" w:cs="宋体"/>
          <w:bCs/>
          <w:kern w:val="0"/>
          <w:szCs w:val="24"/>
          <w:lang w:val="en-US" w:eastAsia="zh-CN"/>
        </w:rPr>
        <w:t>.4</w:t>
      </w:r>
      <w:r>
        <w:rPr>
          <w:rFonts w:hint="default" w:ascii="宋体" w:hAnsi="宋体" w:eastAsia="宋体" w:cs="宋体"/>
          <w:bCs/>
          <w:kern w:val="0"/>
          <w:szCs w:val="24"/>
        </w:rPr>
        <w:t xml:space="preserve"> 省级端系统管理与后台维护子系统</w:t>
      </w:r>
      <w:r>
        <w:tab/>
      </w:r>
      <w:r>
        <w:fldChar w:fldCharType="begin"/>
      </w:r>
      <w:r>
        <w:instrText xml:space="preserve"> PAGEREF _Toc14737 \h </w:instrText>
      </w:r>
      <w:r>
        <w:fldChar w:fldCharType="separate"/>
      </w:r>
      <w:r>
        <w:t>5</w:t>
      </w:r>
      <w:r>
        <w:fldChar w:fldCharType="end"/>
      </w:r>
      <w:r>
        <w:rPr>
          <w:rFonts w:hint="eastAsia" w:ascii="宋体" w:hAnsi="宋体" w:eastAsia="宋体" w:cs="宋体"/>
          <w:bCs/>
          <w:color w:val="000000"/>
          <w:kern w:val="0"/>
          <w:szCs w:val="28"/>
          <w:lang w:val="en-US" w:eastAsia="zh-CN"/>
        </w:rPr>
        <w:fldChar w:fldCharType="end"/>
      </w:r>
    </w:p>
    <w:p w14:paraId="75165A2F">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_Toc1167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lang w:val="en-US" w:eastAsia="zh-CN"/>
        </w:rPr>
        <w:t>2.1</w:t>
      </w:r>
      <w:r>
        <w:rPr>
          <w:rFonts w:hint="eastAsia" w:ascii="宋体" w:hAnsi="宋体" w:eastAsia="宋体" w:cs="宋体"/>
          <w:bCs/>
          <w:kern w:val="0"/>
          <w:szCs w:val="24"/>
          <w:lang w:val="en-US" w:eastAsia="zh-CN"/>
        </w:rPr>
        <w:t>.5</w:t>
      </w:r>
      <w:r>
        <w:rPr>
          <w:rFonts w:hint="default" w:ascii="宋体" w:hAnsi="宋体" w:eastAsia="宋体" w:cs="宋体"/>
          <w:bCs/>
          <w:kern w:val="0"/>
          <w:szCs w:val="24"/>
          <w:lang w:val="en-US" w:eastAsia="zh-CN"/>
        </w:rPr>
        <w:t xml:space="preserve"> 排除范围</w:t>
      </w:r>
      <w:r>
        <w:tab/>
      </w:r>
      <w:r>
        <w:fldChar w:fldCharType="begin"/>
      </w:r>
      <w:r>
        <w:instrText xml:space="preserve"> PAGEREF _Toc1167 \h </w:instrText>
      </w:r>
      <w:r>
        <w:fldChar w:fldCharType="separate"/>
      </w:r>
      <w:r>
        <w:t>5</w:t>
      </w:r>
      <w:r>
        <w:fldChar w:fldCharType="end"/>
      </w:r>
      <w:r>
        <w:rPr>
          <w:rFonts w:hint="eastAsia" w:ascii="宋体" w:hAnsi="宋体" w:eastAsia="宋体" w:cs="宋体"/>
          <w:bCs/>
          <w:color w:val="000000"/>
          <w:kern w:val="0"/>
          <w:szCs w:val="28"/>
          <w:lang w:val="en-US" w:eastAsia="zh-CN"/>
        </w:rPr>
        <w:fldChar w:fldCharType="end"/>
      </w:r>
    </w:p>
    <w:p w14:paraId="77B2D293">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_Toc4690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2.2 主要交付物</w:t>
      </w:r>
      <w:r>
        <w:tab/>
      </w:r>
      <w:r>
        <w:fldChar w:fldCharType="begin"/>
      </w:r>
      <w:r>
        <w:instrText xml:space="preserve"> PAGEREF _Toc4690 \h </w:instrText>
      </w:r>
      <w:r>
        <w:fldChar w:fldCharType="separate"/>
      </w:r>
      <w:r>
        <w:t>6</w:t>
      </w:r>
      <w:r>
        <w:fldChar w:fldCharType="end"/>
      </w:r>
      <w:r>
        <w:rPr>
          <w:rFonts w:hint="eastAsia" w:ascii="宋体" w:hAnsi="宋体" w:eastAsia="宋体" w:cs="宋体"/>
          <w:bCs/>
          <w:color w:val="000000"/>
          <w:kern w:val="0"/>
          <w:szCs w:val="28"/>
          <w:lang w:val="en-US" w:eastAsia="zh-CN"/>
        </w:rPr>
        <w:fldChar w:fldCharType="end"/>
      </w:r>
    </w:p>
    <w:p w14:paraId="27895DD1">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_Toc13316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2.3 工作分解结构（WBS）</w:t>
      </w:r>
      <w:r>
        <w:tab/>
      </w:r>
      <w:r>
        <w:fldChar w:fldCharType="begin"/>
      </w:r>
      <w:r>
        <w:instrText xml:space="preserve"> PAGEREF _Toc13316 \h </w:instrText>
      </w:r>
      <w:r>
        <w:fldChar w:fldCharType="separate"/>
      </w:r>
      <w:r>
        <w:t>6</w:t>
      </w:r>
      <w:r>
        <w:fldChar w:fldCharType="end"/>
      </w:r>
      <w:r>
        <w:rPr>
          <w:rFonts w:hint="eastAsia" w:ascii="宋体" w:hAnsi="宋体" w:eastAsia="宋体" w:cs="宋体"/>
          <w:bCs/>
          <w:color w:val="000000"/>
          <w:kern w:val="0"/>
          <w:szCs w:val="28"/>
          <w:lang w:val="en-US" w:eastAsia="zh-CN"/>
        </w:rPr>
        <w:fldChar w:fldCharType="end"/>
      </w:r>
    </w:p>
    <w:p w14:paraId="0902597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_Toc26732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2.4 范围验收标准</w:t>
      </w:r>
      <w:r>
        <w:tab/>
      </w:r>
      <w:r>
        <w:fldChar w:fldCharType="begin"/>
      </w:r>
      <w:r>
        <w:instrText xml:space="preserve"> PAGEREF _Toc26732 \h </w:instrText>
      </w:r>
      <w:r>
        <w:fldChar w:fldCharType="separate"/>
      </w:r>
      <w:r>
        <w:t>7</w:t>
      </w:r>
      <w:r>
        <w:fldChar w:fldCharType="end"/>
      </w:r>
      <w:r>
        <w:rPr>
          <w:rFonts w:hint="eastAsia" w:ascii="宋体" w:hAnsi="宋体" w:eastAsia="宋体" w:cs="宋体"/>
          <w:bCs/>
          <w:color w:val="000000"/>
          <w:kern w:val="0"/>
          <w:szCs w:val="28"/>
          <w:lang w:val="en-US" w:eastAsia="zh-CN"/>
        </w:rPr>
        <w:fldChar w:fldCharType="end"/>
      </w:r>
    </w:p>
    <w:p w14:paraId="074100D5">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_Toc20335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3</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进度管理</w:t>
      </w:r>
      <w:r>
        <w:tab/>
      </w:r>
      <w:r>
        <w:fldChar w:fldCharType="begin"/>
      </w:r>
      <w:r>
        <w:instrText xml:space="preserve"> PAGEREF _Toc20335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1718869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_Toc23462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3.1 活动定义</w:t>
      </w:r>
      <w:r>
        <w:tab/>
      </w:r>
      <w:r>
        <w:fldChar w:fldCharType="begin"/>
      </w:r>
      <w:r>
        <w:instrText xml:space="preserve"> PAGEREF _Toc23462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37C35029">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_Toc18801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3.2 活动排序（网络图，明确依赖关系）</w:t>
      </w:r>
      <w:r>
        <w:tab/>
      </w:r>
      <w:r>
        <w:fldChar w:fldCharType="begin"/>
      </w:r>
      <w:r>
        <w:instrText xml:space="preserve"> PAGEREF _Toc18801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0D72D34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_Toc1583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3.3 活动历时估算</w:t>
      </w:r>
      <w:r>
        <w:tab/>
      </w:r>
      <w:r>
        <w:fldChar w:fldCharType="begin"/>
      </w:r>
      <w:r>
        <w:instrText xml:space="preserve"> PAGEREF _Toc1583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6B035FD5">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_Toc17738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方法：定额估算法、经验导出模型（如COCOMO）、PERT（三点估算）等</w:t>
      </w:r>
      <w:r>
        <w:tab/>
      </w:r>
      <w:r>
        <w:fldChar w:fldCharType="begin"/>
      </w:r>
      <w:r>
        <w:instrText xml:space="preserve"> PAGEREF _Toc17738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4E3E5005">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_Toc20711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3.4 制定进度计划</w:t>
      </w:r>
      <w:r>
        <w:tab/>
      </w:r>
      <w:r>
        <w:fldChar w:fldCharType="begin"/>
      </w:r>
      <w:r>
        <w:instrText xml:space="preserve"> PAGEREF _Toc20711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0CF20D9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_Toc6257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关键路径法（CPM）</w:t>
      </w:r>
      <w:r>
        <w:tab/>
      </w:r>
      <w:r>
        <w:fldChar w:fldCharType="begin"/>
      </w:r>
      <w:r>
        <w:instrText xml:space="preserve"> PAGEREF _Toc6257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00A79F9B">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_Toc29471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甘特图（使用Microsoft Project绘制，展示任务、依赖关系、里程碑）</w:t>
      </w:r>
      <w:r>
        <w:tab/>
      </w:r>
      <w:r>
        <w:fldChar w:fldCharType="begin"/>
      </w:r>
      <w:r>
        <w:instrText xml:space="preserve"> PAGEREF _Toc29471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3C513664">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_Toc15843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时间压缩法（如需赶工或快速跟进）</w:t>
      </w:r>
      <w:r>
        <w:tab/>
      </w:r>
      <w:r>
        <w:fldChar w:fldCharType="begin"/>
      </w:r>
      <w:r>
        <w:instrText xml:space="preserve"> PAGEREF _Toc15843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3E04707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_Toc16674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3.5 里程碑清单</w:t>
      </w:r>
      <w:r>
        <w:tab/>
      </w:r>
      <w:r>
        <w:fldChar w:fldCharType="begin"/>
      </w:r>
      <w:r>
        <w:instrText xml:space="preserve"> PAGEREF _Toc16674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3C6D73D4">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_Toc28914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3.6 进度控制（偏差处理机制）</w:t>
      </w:r>
      <w:r>
        <w:tab/>
      </w:r>
      <w:r>
        <w:fldChar w:fldCharType="begin"/>
      </w:r>
      <w:r>
        <w:instrText xml:space="preserve"> PAGEREF _Toc28914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5948B4F3">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_Toc18504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4. 成本管理</w:t>
      </w:r>
      <w:r>
        <w:tab/>
      </w:r>
      <w:r>
        <w:fldChar w:fldCharType="begin"/>
      </w:r>
      <w:r>
        <w:instrText xml:space="preserve"> PAGEREF _Toc18504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3B785F82">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_Toc5028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4.1 成本构成</w:t>
      </w:r>
      <w:r>
        <w:tab/>
      </w:r>
      <w:r>
        <w:fldChar w:fldCharType="begin"/>
      </w:r>
      <w:r>
        <w:instrText xml:space="preserve"> PAGEREF _Toc5028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2944FD7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_Toc27748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4.2 成本估算方法</w:t>
      </w:r>
      <w:r>
        <w:tab/>
      </w:r>
      <w:r>
        <w:fldChar w:fldCharType="begin"/>
      </w:r>
      <w:r>
        <w:instrText xml:space="preserve"> PAGEREF _Toc27748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19CBF92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_Toc25819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4.3 成本预算</w:t>
      </w:r>
      <w:r>
        <w:tab/>
      </w:r>
      <w:r>
        <w:fldChar w:fldCharType="begin"/>
      </w:r>
      <w:r>
        <w:instrText xml:space="preserve"> PAGEREF _Toc25819 \h </w:instrText>
      </w:r>
      <w:r>
        <w:fldChar w:fldCharType="separate"/>
      </w:r>
      <w:r>
        <w:t>11</w:t>
      </w:r>
      <w:r>
        <w:fldChar w:fldCharType="end"/>
      </w:r>
      <w:r>
        <w:rPr>
          <w:rFonts w:hint="eastAsia" w:ascii="宋体" w:hAnsi="宋体" w:eastAsia="宋体" w:cs="宋体"/>
          <w:bCs/>
          <w:color w:val="000000"/>
          <w:kern w:val="0"/>
          <w:szCs w:val="28"/>
          <w:lang w:val="en-US" w:eastAsia="zh-CN"/>
        </w:rPr>
        <w:fldChar w:fldCharType="end"/>
      </w:r>
    </w:p>
    <w:p w14:paraId="232D24E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_Toc6595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4.4 成本控制</w:t>
      </w:r>
      <w:r>
        <w:tab/>
      </w:r>
      <w:r>
        <w:fldChar w:fldCharType="begin"/>
      </w:r>
      <w:r>
        <w:instrText xml:space="preserve"> PAGEREF _Toc6595 \h </w:instrText>
      </w:r>
      <w:r>
        <w:fldChar w:fldCharType="separate"/>
      </w:r>
      <w:r>
        <w:t>11</w:t>
      </w:r>
      <w:r>
        <w:fldChar w:fldCharType="end"/>
      </w:r>
      <w:r>
        <w:rPr>
          <w:rFonts w:hint="eastAsia" w:ascii="宋体" w:hAnsi="宋体" w:eastAsia="宋体" w:cs="宋体"/>
          <w:bCs/>
          <w:color w:val="000000"/>
          <w:kern w:val="0"/>
          <w:szCs w:val="28"/>
          <w:lang w:val="en-US" w:eastAsia="zh-CN"/>
        </w:rPr>
        <w:fldChar w:fldCharType="end"/>
      </w:r>
    </w:p>
    <w:p w14:paraId="2A73A07B">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_Toc27864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5</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质量管理</w:t>
      </w:r>
      <w:r>
        <w:tab/>
      </w:r>
      <w:r>
        <w:fldChar w:fldCharType="begin"/>
      </w:r>
      <w:r>
        <w:instrText xml:space="preserve"> PAGEREF _Toc27864 \h </w:instrText>
      </w:r>
      <w:r>
        <w:fldChar w:fldCharType="separate"/>
      </w:r>
      <w:r>
        <w:t>12</w:t>
      </w:r>
      <w:r>
        <w:fldChar w:fldCharType="end"/>
      </w:r>
      <w:r>
        <w:rPr>
          <w:rFonts w:hint="eastAsia" w:ascii="宋体" w:hAnsi="宋体" w:eastAsia="宋体" w:cs="宋体"/>
          <w:bCs/>
          <w:color w:val="000000"/>
          <w:kern w:val="0"/>
          <w:szCs w:val="28"/>
          <w:lang w:val="en-US" w:eastAsia="zh-CN"/>
        </w:rPr>
        <w:fldChar w:fldCharType="end"/>
      </w:r>
    </w:p>
    <w:p w14:paraId="4BF62619">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_Toc30752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5.1 质量目标</w:t>
      </w:r>
      <w:r>
        <w:tab/>
      </w:r>
      <w:r>
        <w:fldChar w:fldCharType="begin"/>
      </w:r>
      <w:r>
        <w:instrText xml:space="preserve"> PAGEREF _Toc30752 \h </w:instrText>
      </w:r>
      <w:r>
        <w:fldChar w:fldCharType="separate"/>
      </w:r>
      <w:r>
        <w:t>12</w:t>
      </w:r>
      <w:r>
        <w:fldChar w:fldCharType="end"/>
      </w:r>
      <w:r>
        <w:rPr>
          <w:rFonts w:hint="eastAsia" w:ascii="宋体" w:hAnsi="宋体" w:eastAsia="宋体" w:cs="宋体"/>
          <w:bCs/>
          <w:color w:val="000000"/>
          <w:kern w:val="0"/>
          <w:szCs w:val="28"/>
          <w:lang w:val="en-US" w:eastAsia="zh-CN"/>
        </w:rPr>
        <w:fldChar w:fldCharType="end"/>
      </w:r>
    </w:p>
    <w:p w14:paraId="2908C24B">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_Toc31460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5.2 质量计划内容</w:t>
      </w:r>
      <w:r>
        <w:tab/>
      </w:r>
      <w:r>
        <w:fldChar w:fldCharType="begin"/>
      </w:r>
      <w:r>
        <w:instrText xml:space="preserve"> PAGEREF _Toc31460 \h </w:instrText>
      </w:r>
      <w:r>
        <w:fldChar w:fldCharType="separate"/>
      </w:r>
      <w:r>
        <w:t>12</w:t>
      </w:r>
      <w:r>
        <w:fldChar w:fldCharType="end"/>
      </w:r>
      <w:r>
        <w:rPr>
          <w:rFonts w:hint="eastAsia" w:ascii="宋体" w:hAnsi="宋体" w:eastAsia="宋体" w:cs="宋体"/>
          <w:bCs/>
          <w:color w:val="000000"/>
          <w:kern w:val="0"/>
          <w:szCs w:val="28"/>
          <w:lang w:val="en-US" w:eastAsia="zh-CN"/>
        </w:rPr>
        <w:fldChar w:fldCharType="end"/>
      </w:r>
    </w:p>
    <w:p w14:paraId="3096717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_Toc11829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5.3 质量保证</w:t>
      </w:r>
      <w:r>
        <w:tab/>
      </w:r>
      <w:r>
        <w:fldChar w:fldCharType="begin"/>
      </w:r>
      <w:r>
        <w:instrText xml:space="preserve"> PAGEREF _Toc11829 \h </w:instrText>
      </w:r>
      <w:r>
        <w:fldChar w:fldCharType="separate"/>
      </w:r>
      <w:r>
        <w:t>13</w:t>
      </w:r>
      <w:r>
        <w:fldChar w:fldCharType="end"/>
      </w:r>
      <w:r>
        <w:rPr>
          <w:rFonts w:hint="eastAsia" w:ascii="宋体" w:hAnsi="宋体" w:eastAsia="宋体" w:cs="宋体"/>
          <w:bCs/>
          <w:color w:val="000000"/>
          <w:kern w:val="0"/>
          <w:szCs w:val="28"/>
          <w:lang w:val="en-US" w:eastAsia="zh-CN"/>
        </w:rPr>
        <w:fldChar w:fldCharType="end"/>
      </w:r>
    </w:p>
    <w:p w14:paraId="10FAFF53">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_Toc9498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5.4 质量控制</w:t>
      </w:r>
      <w:r>
        <w:tab/>
      </w:r>
      <w:r>
        <w:fldChar w:fldCharType="begin"/>
      </w:r>
      <w:r>
        <w:instrText xml:space="preserve"> PAGEREF _Toc9498 \h </w:instrText>
      </w:r>
      <w:r>
        <w:fldChar w:fldCharType="separate"/>
      </w:r>
      <w:r>
        <w:t>13</w:t>
      </w:r>
      <w:r>
        <w:fldChar w:fldCharType="end"/>
      </w:r>
      <w:r>
        <w:rPr>
          <w:rFonts w:hint="eastAsia" w:ascii="宋体" w:hAnsi="宋体" w:eastAsia="宋体" w:cs="宋体"/>
          <w:bCs/>
          <w:color w:val="000000"/>
          <w:kern w:val="0"/>
          <w:szCs w:val="28"/>
          <w:lang w:val="en-US" w:eastAsia="zh-CN"/>
        </w:rPr>
        <w:fldChar w:fldCharType="end"/>
      </w:r>
    </w:p>
    <w:p w14:paraId="4FC44EE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_Toc720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5.5 质量成本</w:t>
      </w:r>
      <w:r>
        <w:tab/>
      </w:r>
      <w:r>
        <w:fldChar w:fldCharType="begin"/>
      </w:r>
      <w:r>
        <w:instrText xml:space="preserve"> PAGEREF _Toc720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0C35A5AD">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_Toc938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6</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人力资源管理</w:t>
      </w:r>
      <w:r>
        <w:tab/>
      </w:r>
      <w:r>
        <w:fldChar w:fldCharType="begin"/>
      </w:r>
      <w:r>
        <w:instrText xml:space="preserve"> PAGEREF _Toc938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086DD5C7">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_Toc20376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6.1 项目角色与职责（项目经理、需求、开发、测试、配置管理、QA等，假设10人团队）</w:t>
      </w:r>
      <w:r>
        <w:tab/>
      </w:r>
      <w:r>
        <w:fldChar w:fldCharType="begin"/>
      </w:r>
      <w:r>
        <w:instrText xml:space="preserve"> PAGEREF _Toc20376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7AC4BFB7">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_Toc27405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6.2 人员配备计划（各阶段所需角色）</w:t>
      </w:r>
      <w:r>
        <w:tab/>
      </w:r>
      <w:r>
        <w:fldChar w:fldCharType="begin"/>
      </w:r>
      <w:r>
        <w:instrText xml:space="preserve"> PAGEREF _Toc27405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5C0094B5">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_Toc6879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6.3 培训计划（技术培训、业务培训）</w:t>
      </w:r>
      <w:r>
        <w:tab/>
      </w:r>
      <w:r>
        <w:fldChar w:fldCharType="begin"/>
      </w:r>
      <w:r>
        <w:instrText xml:space="preserve"> PAGEREF _Toc6879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7C5602C7">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_Toc17667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7</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风险管理</w:t>
      </w:r>
      <w:r>
        <w:tab/>
      </w:r>
      <w:r>
        <w:fldChar w:fldCharType="begin"/>
      </w:r>
      <w:r>
        <w:instrText xml:space="preserve"> PAGEREF _Toc17667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08B93BD9">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_Toc6462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7.1 风险识别（技术风险、进度风险、人员风险、外部依赖）</w:t>
      </w:r>
      <w:r>
        <w:tab/>
      </w:r>
      <w:r>
        <w:fldChar w:fldCharType="begin"/>
      </w:r>
      <w:r>
        <w:instrText xml:space="preserve"> PAGEREF _Toc6462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29EFA962">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_Toc26190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7.2 风险分析（概率-影响矩阵）</w:t>
      </w:r>
      <w:r>
        <w:tab/>
      </w:r>
      <w:r>
        <w:fldChar w:fldCharType="begin"/>
      </w:r>
      <w:r>
        <w:instrText xml:space="preserve"> PAGEREF _Toc26190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4451BB3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_Toc7367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7.3 风险应对计划（规避、减轻、转移、接受）</w:t>
      </w:r>
      <w:r>
        <w:tab/>
      </w:r>
      <w:r>
        <w:fldChar w:fldCharType="begin"/>
      </w:r>
      <w:r>
        <w:instrText xml:space="preserve"> PAGEREF _Toc7367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43FA65A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_Toc28558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7.4 风险跟踪表</w:t>
      </w:r>
      <w:r>
        <w:tab/>
      </w:r>
      <w:r>
        <w:fldChar w:fldCharType="begin"/>
      </w:r>
      <w:r>
        <w:instrText xml:space="preserve"> PAGEREF _Toc28558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532DB008">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_Toc26386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8</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沟通管理</w:t>
      </w:r>
      <w:r>
        <w:tab/>
      </w:r>
      <w:r>
        <w:fldChar w:fldCharType="begin"/>
      </w:r>
      <w:r>
        <w:instrText xml:space="preserve"> PAGEREF _Toc26386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5D266EF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_Toc31143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8.1 干系人识别</w:t>
      </w:r>
      <w:r>
        <w:tab/>
      </w:r>
      <w:r>
        <w:fldChar w:fldCharType="begin"/>
      </w:r>
      <w:r>
        <w:instrText xml:space="preserve"> PAGEREF _Toc31143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365CDAC8">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_Toc15479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8.2 沟通方式与频率（每周例会、周报、里程碑评审）</w:t>
      </w:r>
      <w:r>
        <w:tab/>
      </w:r>
      <w:r>
        <w:fldChar w:fldCharType="begin"/>
      </w:r>
      <w:r>
        <w:instrText xml:space="preserve"> PAGEREF _Toc15479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5C21DB3A">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_Toc4751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8.3 文档管理（存储位置、命名规则）</w:t>
      </w:r>
      <w:r>
        <w:tab/>
      </w:r>
      <w:r>
        <w:fldChar w:fldCharType="begin"/>
      </w:r>
      <w:r>
        <w:instrText xml:space="preserve"> PAGEREF _Toc4751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26FCA36D">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_Toc18978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9</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配置管理</w:t>
      </w:r>
      <w:r>
        <w:tab/>
      </w:r>
      <w:r>
        <w:fldChar w:fldCharType="begin"/>
      </w:r>
      <w:r>
        <w:instrText xml:space="preserve"> PAGEREF _Toc18978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2B7F498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_Toc30086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9.1 配置项识别（需求文档、设计文档、代码、测试用例等）</w:t>
      </w:r>
      <w:r>
        <w:tab/>
      </w:r>
      <w:r>
        <w:fldChar w:fldCharType="begin"/>
      </w:r>
      <w:r>
        <w:instrText xml:space="preserve"> PAGEREF _Toc30086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1720852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_Toc15863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9.2 基线与变更控制</w:t>
      </w:r>
      <w:r>
        <w:tab/>
      </w:r>
      <w:r>
        <w:fldChar w:fldCharType="begin"/>
      </w:r>
      <w:r>
        <w:instrText xml:space="preserve"> PAGEREF _Toc15863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5D44C47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_Toc506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功能基线、需求基线、产品基线</w:t>
      </w:r>
      <w:r>
        <w:tab/>
      </w:r>
      <w:r>
        <w:fldChar w:fldCharType="begin"/>
      </w:r>
      <w:r>
        <w:instrText xml:space="preserve"> PAGEREF _Toc506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39B9E753">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_Toc9818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SCCB（配置控制委员会）组成与职责</w:t>
      </w:r>
      <w:r>
        <w:tab/>
      </w:r>
      <w:r>
        <w:fldChar w:fldCharType="begin"/>
      </w:r>
      <w:r>
        <w:instrText xml:space="preserve"> PAGEREF _Toc9818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23AF0A49">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_Toc20141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9.3 变更控制流程</w:t>
      </w:r>
      <w:r>
        <w:tab/>
      </w:r>
      <w:r>
        <w:fldChar w:fldCharType="begin"/>
      </w:r>
      <w:r>
        <w:instrText xml:space="preserve"> PAGEREF _Toc20141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39AA0649">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_Toc8526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提交变更请求 → 影响分析 → SCCB评审 → 实施变更 → 验证 → 关闭</w:t>
      </w:r>
      <w:r>
        <w:tab/>
      </w:r>
      <w:r>
        <w:fldChar w:fldCharType="begin"/>
      </w:r>
      <w:r>
        <w:instrText xml:space="preserve"> PAGEREF _Toc8526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50B343D8">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_Toc25294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9.4 版本控制工具（Git/SVN，分支策略）</w:t>
      </w:r>
      <w:r>
        <w:tab/>
      </w:r>
      <w:r>
        <w:fldChar w:fldCharType="begin"/>
      </w:r>
      <w:r>
        <w:instrText xml:space="preserve"> PAGEREF _Toc25294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59E35858">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_Toc23954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9.5 配置状态报告与配置审计</w:t>
      </w:r>
      <w:r>
        <w:tab/>
      </w:r>
      <w:r>
        <w:fldChar w:fldCharType="begin"/>
      </w:r>
      <w:r>
        <w:instrText xml:space="preserve"> PAGEREF _Toc23954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087C6BE1">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_Toc11562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10</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需求变更管理（可并入第9章或单独）</w:t>
      </w:r>
      <w:r>
        <w:tab/>
      </w:r>
      <w:r>
        <w:fldChar w:fldCharType="begin"/>
      </w:r>
      <w:r>
        <w:instrText xml:space="preserve"> PAGEREF _Toc11562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6D395CA4">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_Toc17828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10.1 基线定义（初始需求基线）</w:t>
      </w:r>
      <w:r>
        <w:tab/>
      </w:r>
      <w:r>
        <w:fldChar w:fldCharType="begin"/>
      </w:r>
      <w:r>
        <w:instrText xml:space="preserve"> PAGEREF _Toc17828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0E04503B">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_Toc20900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10.2 变更请求模板（变更描述、原因、影响分析、审批人）</w:t>
      </w:r>
      <w:r>
        <w:tab/>
      </w:r>
      <w:r>
        <w:fldChar w:fldCharType="begin"/>
      </w:r>
      <w:r>
        <w:instrText xml:space="preserve"> PAGEREF _Toc20900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1D3CE7C7">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_Toc11212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10.3 变更记录表（编号、日期、变更内容、批准状态）</w:t>
      </w:r>
      <w:r>
        <w:tab/>
      </w:r>
      <w:r>
        <w:fldChar w:fldCharType="begin"/>
      </w:r>
      <w:r>
        <w:instrText xml:space="preserve"> PAGEREF _Toc11212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67E36B62">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_Toc26506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11</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项目计划附录</w:t>
      </w:r>
      <w:r>
        <w:tab/>
      </w:r>
      <w:r>
        <w:fldChar w:fldCharType="begin"/>
      </w:r>
      <w:r>
        <w:instrText xml:space="preserve"> PAGEREF _Toc26506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70B5BD3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_Toc18340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附录A：WBS详细列表（Excel）</w:t>
      </w:r>
      <w:r>
        <w:tab/>
      </w:r>
      <w:r>
        <w:fldChar w:fldCharType="begin"/>
      </w:r>
      <w:r>
        <w:instrText xml:space="preserve"> PAGEREF _Toc18340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772E1608">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_Toc22408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附录B：甘特图源文件（.mpp或图片）</w:t>
      </w:r>
      <w:r>
        <w:tab/>
      </w:r>
      <w:r>
        <w:fldChar w:fldCharType="begin"/>
      </w:r>
      <w:r>
        <w:instrText xml:space="preserve"> PAGEREF _Toc22408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27ED580A">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_Toc6326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附录C：风险登记册</w:t>
      </w:r>
      <w:r>
        <w:tab/>
      </w:r>
      <w:r>
        <w:fldChar w:fldCharType="begin"/>
      </w:r>
      <w:r>
        <w:instrText xml:space="preserve"> PAGEREF _Toc6326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08AC442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_Toc15946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附录D：配置管理截图示例（如Git log，若作业要求提交则保留）</w:t>
      </w:r>
      <w:r>
        <w:tab/>
      </w:r>
      <w:r>
        <w:fldChar w:fldCharType="begin"/>
      </w:r>
      <w:r>
        <w:instrText xml:space="preserve"> PAGEREF _Toc15946 \h </w:instrText>
      </w:r>
      <w:r>
        <w:fldChar w:fldCharType="separate"/>
      </w:r>
      <w:r>
        <w:t>15</w:t>
      </w:r>
      <w:r>
        <w:fldChar w:fldCharType="end"/>
      </w:r>
      <w:r>
        <w:rPr>
          <w:rFonts w:hint="eastAsia" w:ascii="宋体" w:hAnsi="宋体" w:eastAsia="宋体" w:cs="宋体"/>
          <w:bCs/>
          <w:color w:val="000000"/>
          <w:kern w:val="0"/>
          <w:szCs w:val="28"/>
          <w:lang w:val="en-US" w:eastAsia="zh-CN"/>
        </w:rPr>
        <w:fldChar w:fldCharType="end"/>
      </w:r>
    </w:p>
    <w:p w14:paraId="1F4D7CE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8"/>
          <w:szCs w:val="28"/>
          <w:lang w:val="en-US" w:eastAsia="zh-CN"/>
        </w:rPr>
      </w:pPr>
      <w:r>
        <w:rPr>
          <w:rFonts w:hint="eastAsia" w:ascii="宋体" w:hAnsi="宋体" w:eastAsia="宋体" w:cs="宋体"/>
          <w:bCs/>
          <w:color w:val="000000"/>
          <w:kern w:val="0"/>
          <w:szCs w:val="28"/>
          <w:lang w:val="en-US" w:eastAsia="zh-CN"/>
        </w:rPr>
        <w:fldChar w:fldCharType="end"/>
      </w:r>
    </w:p>
    <w:p w14:paraId="4B01877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8"/>
          <w:szCs w:val="28"/>
        </w:rPr>
      </w:pPr>
      <w:bookmarkStart w:id="0" w:name="_Toc21840"/>
      <w:r>
        <w:rPr>
          <w:rFonts w:hint="eastAsia" w:ascii="宋体" w:hAnsi="宋体" w:eastAsia="宋体" w:cs="宋体"/>
          <w:b/>
          <w:bCs/>
          <w:color w:val="000000"/>
          <w:kern w:val="0"/>
          <w:sz w:val="28"/>
          <w:szCs w:val="28"/>
          <w:lang w:val="en-US" w:eastAsia="zh-CN"/>
        </w:rPr>
        <w:t xml:space="preserve">1 </w:t>
      </w:r>
      <w:r>
        <w:rPr>
          <w:rFonts w:hint="default" w:ascii="宋体" w:hAnsi="宋体" w:eastAsia="宋体" w:cs="宋体"/>
          <w:b/>
          <w:bCs/>
          <w:color w:val="000000"/>
          <w:kern w:val="0"/>
          <w:sz w:val="28"/>
          <w:szCs w:val="28"/>
        </w:rPr>
        <w:t>引言</w:t>
      </w:r>
      <w:bookmarkEnd w:id="0"/>
    </w:p>
    <w:p w14:paraId="0A6C693B">
      <w:pPr>
        <w:keepNext w:val="0"/>
        <w:keepLines w:val="0"/>
        <w:pageBreakBefore w:val="0"/>
        <w:widowControl/>
        <w:numPr>
          <w:ilvl w:val="1"/>
          <w:numId w:val="1"/>
        </w:numPr>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 w:name="_Toc3937"/>
      <w:r>
        <w:rPr>
          <w:rFonts w:hint="default" w:ascii="宋体" w:hAnsi="宋体" w:eastAsia="宋体" w:cs="宋体"/>
          <w:b/>
          <w:bCs/>
          <w:color w:val="000000"/>
          <w:kern w:val="0"/>
          <w:sz w:val="24"/>
          <w:szCs w:val="24"/>
        </w:rPr>
        <w:t>项目背景</w:t>
      </w:r>
      <w:bookmarkEnd w:id="1"/>
    </w:p>
    <w:p w14:paraId="577E74C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为及时掌握云南省企业就业与失业情况，规范企业数据采集、审核、汇总、分析和上报流程，有必要建设统一的《云南省企业就业失业数据采集系统》。</w:t>
      </w:r>
    </w:p>
    <w:p w14:paraId="19C5A08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当前企业就业失业数据的统计工作涉及企业填报、市级审核、省级汇总以及上报部委等多个环节，业务链条较长，参与角色较多，若缺少统一的信息系统支撑，容易出现数据口径不一致、上报不及时、审核效率低、统计分析困难等问题。因此，建设本系统对于提升就业失业数据采集效率、增强数据管理规范性、支撑上级主管部门决策分析具有重要意义。</w:t>
      </w:r>
    </w:p>
    <w:p w14:paraId="6CF4AC3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项目正是在这一背景下启动，旨在通过信息化手段建立标准化、可追踪的数据采集与管理平台，面向企业用户、市级管理部门、省级管理部门及系统管理员，围绕企业备案、月度数据填报、逐级审核、汇总分析、通知发布及系统管理等核心业务，实现全省就业失业监测工作的统一与规范。</w:t>
      </w:r>
    </w:p>
    <w:p w14:paraId="648DE223">
      <w:pPr>
        <w:keepNext w:val="0"/>
        <w:keepLines w:val="0"/>
        <w:pageBreakBefore w:val="0"/>
        <w:widowControl/>
        <w:numPr>
          <w:ilvl w:val="1"/>
          <w:numId w:val="1"/>
        </w:numPr>
        <w:kinsoku/>
        <w:wordWrap/>
        <w:overflowPunct/>
        <w:topLinePunct w:val="0"/>
        <w:autoSpaceDE/>
        <w:autoSpaceDN/>
        <w:bidi w:val="0"/>
        <w:adjustRightInd/>
        <w:snapToGrid/>
        <w:spacing w:before="93" w:beforeLines="30" w:after="93" w:afterLines="30"/>
        <w:ind w:left="0" w:leftChars="0" w:firstLine="0" w:firstLineChars="0"/>
        <w:jc w:val="both"/>
        <w:textAlignment w:val="auto"/>
        <w:outlineLvl w:val="1"/>
        <w:rPr>
          <w:rFonts w:hint="default" w:ascii="宋体" w:hAnsi="宋体" w:eastAsia="宋体" w:cs="宋体"/>
          <w:b/>
          <w:bCs/>
          <w:color w:val="000000"/>
          <w:kern w:val="0"/>
          <w:sz w:val="24"/>
          <w:szCs w:val="24"/>
        </w:rPr>
      </w:pPr>
      <w:bookmarkStart w:id="2" w:name="_Toc2702"/>
      <w:r>
        <w:rPr>
          <w:rFonts w:hint="default" w:ascii="宋体" w:hAnsi="宋体" w:eastAsia="宋体" w:cs="宋体"/>
          <w:b/>
          <w:bCs/>
          <w:color w:val="000000"/>
          <w:kern w:val="0"/>
          <w:sz w:val="24"/>
          <w:szCs w:val="24"/>
        </w:rPr>
        <w:t>项目目标</w:t>
      </w:r>
      <w:bookmarkEnd w:id="2"/>
    </w:p>
    <w:p w14:paraId="535B2AD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项目的建设目标主要包括以下几个方面：建立统一的企业就业失业数据采集平台，实现企业基础信息备案、月度数据填报和历史数据查询；建立省、市、企业三级业务协同机制，实现企业上报、市局审核、省局汇总与上报的闭环管理；提供数据汇总、图表分析、多维分析、数据导出等功能，为管理部门提供统计分析支撑；通过通知管理、用户管理、角色管理、上报时限管理和系统监控等功能，提升系统运行的规范性和可维护性；同时实现与国家失业监测系统的数据接口对接，提高数据共享和上报效率。</w:t>
      </w:r>
    </w:p>
    <w:p w14:paraId="03A1FEE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Segoe UI" w:hAnsi="Segoe UI" w:eastAsia="Segoe UI" w:cs="Segoe UI"/>
          <w:i w:val="0"/>
          <w:iCs w:val="0"/>
          <w:caps w:val="0"/>
          <w:color w:val="0F1115"/>
          <w:spacing w:val="0"/>
          <w:sz w:val="16"/>
          <w:szCs w:val="16"/>
          <w:shd w:val="clear" w:fill="FFFFFF"/>
        </w:rPr>
      </w:pPr>
      <w:r>
        <w:rPr>
          <w:rFonts w:hint="eastAsia" w:ascii="Times New Roman" w:hAnsi="Times New Roman" w:eastAsia="宋体" w:cs="宋体"/>
          <w:color w:val="000000"/>
          <w:kern w:val="0"/>
          <w:sz w:val="24"/>
          <w:szCs w:val="24"/>
        </w:rPr>
        <w:t>项目将严格遵循云南省关于就业失业监测的业务规范，确保数据上报口径与国家失业监测系统标准接口保持一致，并在国产化软硬件环境下完成适配部署。</w:t>
      </w:r>
    </w:p>
    <w:p w14:paraId="62EB7CBA">
      <w:pPr>
        <w:keepNext w:val="0"/>
        <w:keepLines w:val="0"/>
        <w:pageBreakBefore w:val="0"/>
        <w:widowControl/>
        <w:numPr>
          <w:ilvl w:val="1"/>
          <w:numId w:val="1"/>
        </w:numPr>
        <w:kinsoku/>
        <w:wordWrap/>
        <w:overflowPunct/>
        <w:topLinePunct w:val="0"/>
        <w:autoSpaceDE/>
        <w:autoSpaceDN/>
        <w:bidi w:val="0"/>
        <w:adjustRightInd/>
        <w:snapToGrid/>
        <w:spacing w:before="93" w:beforeLines="30" w:after="93" w:afterLines="30"/>
        <w:ind w:left="0" w:leftChars="0" w:firstLine="0" w:firstLineChars="0"/>
        <w:jc w:val="both"/>
        <w:textAlignment w:val="auto"/>
        <w:outlineLvl w:val="1"/>
        <w:rPr>
          <w:rFonts w:hint="default" w:ascii="宋体" w:hAnsi="宋体" w:eastAsia="宋体" w:cs="宋体"/>
          <w:b/>
          <w:bCs/>
          <w:color w:val="000000"/>
          <w:kern w:val="0"/>
          <w:sz w:val="24"/>
          <w:szCs w:val="24"/>
        </w:rPr>
      </w:pPr>
      <w:bookmarkStart w:id="3" w:name="_Toc26777"/>
      <w:r>
        <w:rPr>
          <w:rFonts w:hint="default" w:ascii="宋体" w:hAnsi="宋体" w:eastAsia="宋体" w:cs="宋体"/>
          <w:b/>
          <w:bCs/>
          <w:color w:val="000000"/>
          <w:kern w:val="0"/>
          <w:sz w:val="24"/>
          <w:szCs w:val="24"/>
        </w:rPr>
        <w:t>文档范围与读者对象</w:t>
      </w:r>
      <w:bookmarkEnd w:id="3"/>
    </w:p>
    <w:p w14:paraId="40FAC0A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本文档为《云南省企业就业失业数据采集系统》的项目计划，旨在明确项目的范围、进度、成本、质量、风险、人力资源及配置管理等方面的具体安排，作为项目团队执行与控制的基准。</w:t>
      </w:r>
    </w:p>
    <w:p w14:paraId="36E7279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文档主要面向项目开发团队、测试团队、配置管理人员、质量保证人员以及项目甲方代表。开发人员应依据本计划开展编码与单元测试工作，测试团队应参照计划中的里程碑和质量目标设计测试用例，配置管理人员需依据配置管理策略建立版本控制与变更控制流程，甲方代表可通过本计划了解项目整体推进节奏与交付成果。此外，本文档也可供项目后期运维人员参考，以便理解系统建设过程中的关键决策与约束条件。</w:t>
      </w:r>
    </w:p>
    <w:p w14:paraId="71367F33">
      <w:pPr>
        <w:keepNext w:val="0"/>
        <w:keepLines w:val="0"/>
        <w:pageBreakBefore w:val="0"/>
        <w:widowControl/>
        <w:numPr>
          <w:ilvl w:val="1"/>
          <w:numId w:val="1"/>
        </w:numPr>
        <w:kinsoku/>
        <w:wordWrap/>
        <w:overflowPunct/>
        <w:topLinePunct w:val="0"/>
        <w:autoSpaceDE/>
        <w:autoSpaceDN/>
        <w:bidi w:val="0"/>
        <w:adjustRightInd/>
        <w:snapToGrid/>
        <w:spacing w:before="93" w:beforeLines="30" w:after="93" w:afterLines="30"/>
        <w:ind w:left="0" w:leftChars="0" w:firstLine="0" w:firstLineChars="0"/>
        <w:jc w:val="both"/>
        <w:textAlignment w:val="auto"/>
        <w:outlineLvl w:val="1"/>
        <w:rPr>
          <w:rFonts w:hint="default" w:ascii="宋体" w:hAnsi="宋体" w:eastAsia="宋体" w:cs="宋体"/>
          <w:b/>
          <w:bCs/>
          <w:color w:val="000000"/>
          <w:kern w:val="0"/>
          <w:sz w:val="24"/>
          <w:szCs w:val="24"/>
        </w:rPr>
      </w:pPr>
      <w:bookmarkStart w:id="4" w:name="_Toc15538"/>
      <w:r>
        <w:rPr>
          <w:rFonts w:hint="default" w:ascii="宋体" w:hAnsi="宋体" w:eastAsia="宋体" w:cs="宋体"/>
          <w:b/>
          <w:bCs/>
          <w:color w:val="000000"/>
          <w:kern w:val="0"/>
          <w:sz w:val="24"/>
          <w:szCs w:val="24"/>
        </w:rPr>
        <w:t>术语与定义</w:t>
      </w:r>
      <w:bookmarkEnd w:id="4"/>
    </w:p>
    <w:p w14:paraId="456CE5F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文档中涉及的术语定义如下：调查期指省级管理部门规定的企业就业失业数据填报的时间周期，通常以月或季度为单位；备案指企业在首次使用系统时需提交的基础信息，包括统一社会信用代码、企业名称、所属行业、联系方式等，经省级审核通过后方可进行数据填报；审核分为市级初审和省级终审，市级负责辖区内企业填报数据的审核与退回，省级负责全省数据的汇总与最终确认；退回指当数据不符合要求时，审核方将数据退回至上一级并附明原因，由企业修改后重新提交；基线是指项目计划、需求文档等配置项在经过正式评审和批准后形成的稳定版本，后续变更必须经过正规变更流程；变更单是记录需求变更请求的正式文件，包含变更描述、原因分析、影响评估及审批意见；配置管理是指通过版本控制工具对项目文档、代码等配置项进行标识、存储、控制和审计的过程，确保变更的可追溯性；工作分解结构是将项目可交付成果分解为更小、更易管理工作包的方法，是进度和成本估算的基础。</w:t>
      </w:r>
    </w:p>
    <w:p w14:paraId="4644D79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p>
    <w:p w14:paraId="18C8F074">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8"/>
          <w:szCs w:val="28"/>
          <w:lang w:val="en-US" w:eastAsia="zh-CN"/>
        </w:rPr>
      </w:pPr>
      <w:bookmarkStart w:id="5" w:name="_Toc7915"/>
      <w:r>
        <w:rPr>
          <w:rFonts w:hint="default" w:ascii="宋体" w:hAnsi="宋体" w:eastAsia="宋体" w:cs="宋体"/>
          <w:b/>
          <w:bCs/>
          <w:color w:val="000000"/>
          <w:kern w:val="0"/>
          <w:sz w:val="28"/>
          <w:szCs w:val="28"/>
          <w:lang w:val="en-US" w:eastAsia="zh-CN"/>
        </w:rPr>
        <w:t>2</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项目范围管理</w:t>
      </w:r>
      <w:bookmarkEnd w:id="5"/>
    </w:p>
    <w:p w14:paraId="27E2ED9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6" w:name="_Toc8478"/>
      <w:r>
        <w:rPr>
          <w:rFonts w:hint="default" w:ascii="宋体" w:hAnsi="宋体" w:eastAsia="宋体" w:cs="宋体"/>
          <w:b/>
          <w:bCs/>
          <w:color w:val="000000"/>
          <w:kern w:val="0"/>
          <w:sz w:val="24"/>
          <w:szCs w:val="24"/>
        </w:rPr>
        <w:t>2.1 产品范围</w:t>
      </w:r>
      <w:bookmarkEnd w:id="6"/>
    </w:p>
    <w:p w14:paraId="0C9964F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产品范围涵盖《云南省企业就业失业数据采集系统》的全部功能模块，具体包括企业端数据采集与备案子系统、市级端数据审核与辖区调度子系统、省级端数据管理与分析子系统以及省级端系统管理与后台维护子系统四个主要部分。</w:t>
      </w:r>
    </w:p>
    <w:p w14:paraId="2B1E007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eastAsia" w:ascii="宋体" w:hAnsi="宋体" w:eastAsia="宋体" w:cs="宋体"/>
          <w:b/>
          <w:bCs/>
          <w:color w:val="000000"/>
          <w:kern w:val="0"/>
          <w:sz w:val="24"/>
          <w:szCs w:val="24"/>
        </w:rPr>
      </w:pPr>
      <w:bookmarkStart w:id="7" w:name="_Toc4768"/>
      <w:r>
        <w:rPr>
          <w:rFonts w:hint="default" w:ascii="宋体" w:hAnsi="宋体" w:eastAsia="宋体" w:cs="宋体"/>
          <w:b/>
          <w:bCs/>
          <w:color w:val="000000"/>
          <w:kern w:val="0"/>
          <w:sz w:val="24"/>
          <w:szCs w:val="24"/>
        </w:rPr>
        <w:t>2.1</w:t>
      </w:r>
      <w:r>
        <w:rPr>
          <w:rFonts w:hint="eastAsia" w:ascii="宋体" w:hAnsi="宋体" w:eastAsia="宋体" w:cs="宋体"/>
          <w:b/>
          <w:bCs/>
          <w:color w:val="000000"/>
          <w:kern w:val="0"/>
          <w:sz w:val="24"/>
          <w:szCs w:val="24"/>
          <w:lang w:val="en-US" w:eastAsia="zh-CN"/>
        </w:rPr>
        <w:t>.1</w:t>
      </w:r>
      <w:r>
        <w:rPr>
          <w:rFonts w:hint="default" w:ascii="宋体" w:hAnsi="宋体" w:eastAsia="宋体" w:cs="宋体"/>
          <w:b/>
          <w:bCs/>
          <w:color w:val="000000"/>
          <w:kern w:val="0"/>
          <w:sz w:val="24"/>
          <w:szCs w:val="24"/>
        </w:rPr>
        <w:t xml:space="preserve"> 企业端数据采集与备案子系统</w:t>
      </w:r>
      <w:bookmarkEnd w:id="7"/>
    </w:p>
    <w:p w14:paraId="14BDAE5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企业端数据采集与备案子系统面向全省各企业用户，提供企业基础信息的首次备案与变更申请功能，企业在首次使用系统时需录入统一社会信用代码、企业名称、所属行业、联系方式等基本信息，经省级审核通过后方可开展后续业务。该系统还支持企业在规定的调查期内按照模板填报就业失业数据，包括数据的暂存与提交功能，并在填报过程中进行合法性校验——当调查期就业人数小于建档期就业人数时，系统强制要求填写减少原因及说明，超过上报时间则禁止提交。此外，企业端还提供历史报表流转状态查询、各级政策通知浏览、密码修改以及忘记密码找回等账户安全管理功能。</w:t>
      </w:r>
    </w:p>
    <w:p w14:paraId="13C271C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default" w:ascii="Times New Roman" w:hAnsi="Times New Roman" w:eastAsia="宋体" w:cs="宋体"/>
          <w:color w:val="000000"/>
          <w:kern w:val="0"/>
          <w:sz w:val="24"/>
          <w:szCs w:val="24"/>
        </w:rPr>
      </w:pPr>
      <w:bookmarkStart w:id="8" w:name="_Toc15806"/>
      <w:r>
        <w:rPr>
          <w:rFonts w:hint="default" w:ascii="宋体" w:hAnsi="宋体" w:eastAsia="宋体" w:cs="宋体"/>
          <w:b/>
          <w:bCs/>
          <w:color w:val="000000"/>
          <w:kern w:val="0"/>
          <w:sz w:val="24"/>
          <w:szCs w:val="24"/>
        </w:rPr>
        <w:t>2.1</w:t>
      </w:r>
      <w:r>
        <w:rPr>
          <w:rFonts w:hint="eastAsia" w:ascii="宋体" w:hAnsi="宋体" w:eastAsia="宋体" w:cs="宋体"/>
          <w:b/>
          <w:bCs/>
          <w:color w:val="000000"/>
          <w:kern w:val="0"/>
          <w:sz w:val="24"/>
          <w:szCs w:val="24"/>
          <w:lang w:val="en-US" w:eastAsia="zh-CN"/>
        </w:rPr>
        <w:t>.2</w:t>
      </w:r>
      <w:r>
        <w:rPr>
          <w:rFonts w:hint="default" w:ascii="宋体" w:hAnsi="宋体" w:eastAsia="宋体" w:cs="宋体"/>
          <w:b/>
          <w:bCs/>
          <w:color w:val="000000"/>
          <w:kern w:val="0"/>
          <w:sz w:val="24"/>
          <w:szCs w:val="24"/>
        </w:rPr>
        <w:t xml:space="preserve"> 市级端数据审核与辖区调度子系统</w:t>
      </w:r>
      <w:bookmarkEnd w:id="8"/>
    </w:p>
    <w:p w14:paraId="3912228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市级端数据审核与辖区调度子系统面向各市级管理部门，提供对企业上报数据的审核与退回操作。市级用户可查看企业填报的数据详情及历史记录，审核通过后数据自动上报至省级，退回时系统强制要求填写退回原因并将该原因与数据一并记录，同时通知企业用户。该系统还提供辖区填报进度统计看板，以图表形式展示辖区企业总数、已报数、未报数、审核通过率等关键指标。同时支持按调查期、企业维度导出审核通过的数据为Excel文件，提供退回历史查询功能，以及通知发布和账户安全管理等功能。</w:t>
      </w:r>
    </w:p>
    <w:p w14:paraId="00897E1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default" w:ascii="Times New Roman" w:hAnsi="Times New Roman" w:eastAsia="宋体" w:cs="宋体"/>
          <w:color w:val="000000"/>
          <w:kern w:val="0"/>
          <w:sz w:val="24"/>
          <w:szCs w:val="24"/>
        </w:rPr>
      </w:pPr>
      <w:bookmarkStart w:id="9" w:name="_Toc17831"/>
      <w:r>
        <w:rPr>
          <w:rFonts w:hint="default" w:ascii="宋体" w:hAnsi="宋体" w:eastAsia="宋体" w:cs="宋体"/>
          <w:b/>
          <w:bCs/>
          <w:color w:val="000000"/>
          <w:kern w:val="0"/>
          <w:sz w:val="24"/>
          <w:szCs w:val="24"/>
        </w:rPr>
        <w:t>2.1</w:t>
      </w:r>
      <w:r>
        <w:rPr>
          <w:rFonts w:hint="eastAsia" w:ascii="宋体" w:hAnsi="宋体" w:eastAsia="宋体" w:cs="宋体"/>
          <w:b/>
          <w:bCs/>
          <w:color w:val="000000"/>
          <w:kern w:val="0"/>
          <w:sz w:val="24"/>
          <w:szCs w:val="24"/>
          <w:lang w:val="en-US" w:eastAsia="zh-CN"/>
        </w:rPr>
        <w:t>.3</w:t>
      </w:r>
      <w:r>
        <w:rPr>
          <w:rFonts w:hint="default" w:ascii="宋体" w:hAnsi="宋体" w:eastAsia="宋体" w:cs="宋体"/>
          <w:b/>
          <w:bCs/>
          <w:color w:val="000000"/>
          <w:kern w:val="0"/>
          <w:sz w:val="24"/>
          <w:szCs w:val="24"/>
        </w:rPr>
        <w:t xml:space="preserve"> 省级端数据管理与分析子系统</w:t>
      </w:r>
      <w:bookmarkEnd w:id="9"/>
    </w:p>
    <w:p w14:paraId="311552B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数据管理与分析子系统面向省级管理部门，提供全省数据的统一汇总与修正功能。系统按调查期对各市上报数据进行汇总并生成全省统计结果，对于明显错误的数据允许修正，但原始上报数据不可被覆盖，修正数据需单独存储并完整记录修改日志，确保可追溯性。该系统还提供多维度统计分析与图表展示，包括按地区、行业、企业性质等维度进行分析，支持取样分析、对比分析和趋势分析，分析结果可导出为Excel文件。此外，省级端数据管理子系统还负责企业备案信息的审核、数据上报至部级系统、通知发布与浏览、数据质量监控与预警、审计日志查询以及账户安全管理等功能。</w:t>
      </w:r>
    </w:p>
    <w:p w14:paraId="3DC56C3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default" w:ascii="宋体" w:hAnsi="宋体" w:eastAsia="宋体" w:cs="宋体"/>
          <w:b/>
          <w:bCs/>
          <w:color w:val="000000"/>
          <w:kern w:val="0"/>
          <w:sz w:val="24"/>
          <w:szCs w:val="24"/>
        </w:rPr>
      </w:pPr>
      <w:bookmarkStart w:id="10" w:name="_Toc14737"/>
      <w:r>
        <w:rPr>
          <w:rFonts w:hint="default" w:ascii="宋体" w:hAnsi="宋体" w:eastAsia="宋体" w:cs="宋体"/>
          <w:b/>
          <w:bCs/>
          <w:color w:val="000000"/>
          <w:kern w:val="0"/>
          <w:sz w:val="24"/>
          <w:szCs w:val="24"/>
        </w:rPr>
        <w:t>2.1</w:t>
      </w:r>
      <w:r>
        <w:rPr>
          <w:rFonts w:hint="eastAsia" w:ascii="宋体" w:hAnsi="宋体" w:eastAsia="宋体" w:cs="宋体"/>
          <w:b/>
          <w:bCs/>
          <w:color w:val="000000"/>
          <w:kern w:val="0"/>
          <w:sz w:val="24"/>
          <w:szCs w:val="24"/>
          <w:lang w:val="en-US" w:eastAsia="zh-CN"/>
        </w:rPr>
        <w:t>.4</w:t>
      </w:r>
      <w:r>
        <w:rPr>
          <w:rFonts w:hint="default" w:ascii="宋体" w:hAnsi="宋体" w:eastAsia="宋体" w:cs="宋体"/>
          <w:b/>
          <w:bCs/>
          <w:color w:val="000000"/>
          <w:kern w:val="0"/>
          <w:sz w:val="24"/>
          <w:szCs w:val="24"/>
        </w:rPr>
        <w:t xml:space="preserve"> 省级端系统管理与后台维护子系统</w:t>
      </w:r>
      <w:bookmarkEnd w:id="10"/>
    </w:p>
    <w:p w14:paraId="6E185D4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系统管理与后台维护子系统面向省级系统管理员，提供用户与角色的统一管理功能。系统支持用户的新增、修改与删除操作，新增用户时可填写基本信息并分配角色，删除用户时系统校验该用户是否存在已上报业务数据，若存在则禁止删除以保证数据完整性。角色管理方面，支持角色的创建、修改与删除，并为不同角色分配相应的功能权限，系统预定义省级用户、市级用户、企业用户等基础角色，删除角色时若该角色已被用户使用，系统提示并解除关联后方可删除。该系统还提供上报时限管理功能，支持新增和修改调查期时间范围以控制企业填报周期；系统监控功能实时展示CPU、内存、硬盘等资源使用情况；操作日志管理功能记录用户登录、权限变更、配置修改等系统级关键操作，并支持按条件查询与追溯。</w:t>
      </w:r>
    </w:p>
    <w:p w14:paraId="65DCA7B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default" w:ascii="宋体" w:hAnsi="宋体" w:eastAsia="宋体" w:cs="宋体"/>
          <w:b/>
          <w:bCs/>
          <w:color w:val="000000"/>
          <w:kern w:val="0"/>
          <w:sz w:val="24"/>
          <w:szCs w:val="24"/>
          <w:lang w:val="en-US" w:eastAsia="zh-CN"/>
        </w:rPr>
      </w:pPr>
      <w:bookmarkStart w:id="11" w:name="_Toc1167"/>
      <w:r>
        <w:rPr>
          <w:rFonts w:hint="default" w:ascii="宋体" w:hAnsi="宋体" w:eastAsia="宋体" w:cs="宋体"/>
          <w:b/>
          <w:bCs/>
          <w:color w:val="000000"/>
          <w:kern w:val="0"/>
          <w:sz w:val="24"/>
          <w:szCs w:val="24"/>
          <w:lang w:val="en-US" w:eastAsia="zh-CN"/>
        </w:rPr>
        <w:t>2.1</w:t>
      </w:r>
      <w:r>
        <w:rPr>
          <w:rFonts w:hint="eastAsia" w:ascii="宋体" w:hAnsi="宋体" w:eastAsia="宋体" w:cs="宋体"/>
          <w:b/>
          <w:bCs/>
          <w:color w:val="000000"/>
          <w:kern w:val="0"/>
          <w:sz w:val="24"/>
          <w:szCs w:val="24"/>
          <w:lang w:val="en-US" w:eastAsia="zh-CN"/>
        </w:rPr>
        <w:t>.5</w:t>
      </w:r>
      <w:r>
        <w:rPr>
          <w:rFonts w:hint="default" w:ascii="宋体" w:hAnsi="宋体" w:eastAsia="宋体" w:cs="宋体"/>
          <w:b/>
          <w:bCs/>
          <w:color w:val="000000"/>
          <w:kern w:val="0"/>
          <w:sz w:val="24"/>
          <w:szCs w:val="24"/>
          <w:lang w:val="en-US" w:eastAsia="zh-CN"/>
        </w:rPr>
        <w:t xml:space="preserve"> 排除范围</w:t>
      </w:r>
      <w:bookmarkEnd w:id="11"/>
    </w:p>
    <w:p w14:paraId="4C81B91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本项目明确排除以下范围：功能方面，不涵盖底层物理硬件设备的部署与日常维护，不包含企业内部的人力资源管理系统或企业财务结算业务处理。</w:t>
      </w:r>
    </w:p>
    <w:p w14:paraId="5CC6994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数据方面，禁止处理与就业失业监测无关的员工个人隐私明细数据（如未脱敏的个人生物特征数据）及非结构化原始凭证，所有采集的企业与个人数据仅限在云南省政务云境内存储。</w:t>
      </w:r>
    </w:p>
    <w:p w14:paraId="72E72CE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宋体" w:hAnsi="宋体" w:eastAsia="宋体" w:cs="宋体"/>
          <w:b/>
          <w:bCs/>
          <w:color w:val="000000"/>
          <w:kern w:val="0"/>
          <w:sz w:val="24"/>
          <w:szCs w:val="24"/>
        </w:rPr>
      </w:pPr>
      <w:r>
        <w:rPr>
          <w:rFonts w:hint="default" w:ascii="Times New Roman" w:hAnsi="Times New Roman" w:eastAsia="宋体" w:cs="宋体"/>
          <w:color w:val="000000"/>
          <w:kern w:val="0"/>
          <w:sz w:val="24"/>
          <w:szCs w:val="24"/>
        </w:rPr>
        <w:t>兼容性方面，不支持Windows Server 2012以下版本系统，不支持未满足国家信息安全等级保护三级标准的运行环境，核心代码严禁引入未经安全审查的第三方开源组件。</w:t>
      </w:r>
    </w:p>
    <w:p w14:paraId="2A43D23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2" w:name="_Toc4690"/>
      <w:r>
        <w:rPr>
          <w:rFonts w:hint="default" w:ascii="宋体" w:hAnsi="宋体" w:eastAsia="宋体" w:cs="宋体"/>
          <w:b/>
          <w:bCs/>
          <w:color w:val="000000"/>
          <w:kern w:val="0"/>
          <w:sz w:val="24"/>
          <w:szCs w:val="24"/>
        </w:rPr>
        <w:t>2.2 主要交付物</w:t>
      </w:r>
      <w:bookmarkEnd w:id="12"/>
    </w:p>
    <w:p w14:paraId="6E57C74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本项目的主要交付物包括可运行的软件系统、项目文档以及配置管理与变更记录。</w:t>
      </w:r>
    </w:p>
    <w:p w14:paraId="335A2BA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lang w:eastAsia="zh-CN"/>
        </w:rPr>
      </w:pPr>
      <w:r>
        <w:rPr>
          <w:rFonts w:hint="default" w:ascii="Times New Roman" w:hAnsi="Times New Roman" w:eastAsia="宋体" w:cs="宋体"/>
          <w:color w:val="000000"/>
          <w:kern w:val="0"/>
          <w:sz w:val="24"/>
          <w:szCs w:val="24"/>
        </w:rPr>
        <w:t>软件系统为《云南省企业就业失业数据采集系统》Web应用，包含企业端、市级端、省级端数据管理与分析、省级端系统管理四个子系统</w:t>
      </w:r>
      <w:r>
        <w:rPr>
          <w:rFonts w:hint="eastAsia" w:ascii="Times New Roman" w:hAnsi="Times New Roman" w:eastAsia="宋体" w:cs="宋体"/>
          <w:color w:val="000000"/>
          <w:kern w:val="0"/>
          <w:sz w:val="24"/>
          <w:szCs w:val="24"/>
          <w:lang w:eastAsia="zh-CN"/>
        </w:rPr>
        <w:t>。</w:t>
      </w:r>
    </w:p>
    <w:p w14:paraId="7833E31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项目文档包括项目计划文档、需求规格说明书。</w:t>
      </w:r>
    </w:p>
    <w:p w14:paraId="1E969D8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宋体" w:hAnsi="宋体" w:eastAsia="宋体" w:cs="宋体"/>
          <w:b/>
          <w:bCs/>
          <w:color w:val="000000"/>
          <w:kern w:val="0"/>
          <w:sz w:val="24"/>
          <w:szCs w:val="24"/>
        </w:rPr>
      </w:pPr>
      <w:r>
        <w:rPr>
          <w:rFonts w:hint="default" w:ascii="Times New Roman" w:hAnsi="Times New Roman" w:eastAsia="宋体" w:cs="宋体"/>
          <w:color w:val="000000"/>
          <w:kern w:val="0"/>
          <w:sz w:val="24"/>
          <w:szCs w:val="24"/>
        </w:rPr>
        <w:t>配置管理与变更记录包括Git提交历史截图、多次需求变更申请单以及项目计划的迭代历史记录。</w:t>
      </w:r>
    </w:p>
    <w:p w14:paraId="64F78A9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13" w:name="_Toc13316"/>
      <w:r>
        <w:rPr>
          <w:rFonts w:hint="default" w:ascii="宋体" w:hAnsi="宋体" w:eastAsia="宋体" w:cs="宋体"/>
          <w:b/>
          <w:bCs/>
          <w:color w:val="000000"/>
          <w:kern w:val="0"/>
          <w:sz w:val="24"/>
          <w:szCs w:val="24"/>
        </w:rPr>
        <w:t>2.3 工作分解结构（WBS）</w:t>
      </w:r>
      <w:bookmarkEnd w:id="13"/>
    </w:p>
    <w:p w14:paraId="4260FA4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本项目按功能模块进行分解，具体如下：</w:t>
      </w:r>
    </w:p>
    <w:p w14:paraId="7DC1AD8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企业端：包含备案信息录入与变更、月度数据填报（暂存/提交）、历史查询、通知浏览、账户管理（密码修改、忘记密码）等功能。</w:t>
      </w:r>
    </w:p>
    <w:p w14:paraId="4F1F375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市级端：包含数据审核（通过/退回并填写原因）、统计看板、数据导出、退回历史查询、通知发布、账户管理等功能。</w:t>
      </w:r>
    </w:p>
    <w:p w14:paraId="47852FF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省级端（数据分析）：包含全省数据汇总、数据修正（留痕）、多维度统计分析（图表导出）、企业备案审核、数据上报至部级系统、质量监控预警、审计日志查询等功能。</w:t>
      </w:r>
    </w:p>
    <w:p w14:paraId="383361A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省级端（系统管理）：包含用户管理（增删改查，删除校验）、角色与权限管理、调查期配置、系统监控（CPU/内存/硬盘）、操作日志管理等功能。</w:t>
      </w:r>
    </w:p>
    <w:p w14:paraId="16614AF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非功能需求实现：包含性能优化（高并发响应）、安全性（加密、角色隔离）、可靠性（事务、容错）、易用性、可维护性、可扩展性、兼容性、可审计性等。</w:t>
      </w:r>
    </w:p>
    <w:p w14:paraId="1A3F59F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文档与部署：包含用户手册、部署手册、测试报告、数据库脚本、Docker镜像及Kubernetes配置。</w:t>
      </w:r>
    </w:p>
    <w:p w14:paraId="367F500F">
      <w:pPr>
        <w:keepNext w:val="0"/>
        <w:keepLines w:val="0"/>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宋体"/>
          <w:b/>
          <w:bCs/>
          <w:color w:val="000000"/>
          <w:kern w:val="0"/>
          <w:sz w:val="24"/>
          <w:szCs w:val="24"/>
        </w:rPr>
      </w:pPr>
      <w:r>
        <w:rPr>
          <w:rFonts w:hint="default" w:ascii="Times New Roman" w:hAnsi="Times New Roman" w:eastAsia="宋体" w:cs="宋体"/>
          <w:b/>
          <w:bCs/>
          <w:color w:val="000000"/>
          <w:kern w:val="0"/>
          <w:sz w:val="24"/>
          <w:szCs w:val="24"/>
        </w:rPr>
        <w:t>WBS字典简要说明</w:t>
      </w:r>
    </w:p>
    <w:p w14:paraId="3565DCE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企业端：实现企业用户所有操作界面与后台逻辑，确保数据填报的合法性校验及与市级、省级的流转。</w:t>
      </w:r>
    </w:p>
    <w:p w14:paraId="783A14A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市级端：实现市级审核员对辖区内企业数据的审核、退回、统计及通知管理，确保审核流程可追溯。</w:t>
      </w:r>
    </w:p>
    <w:p w14:paraId="0C38927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省级端（数据分析）：实现省级用户对全省数据的汇总、修正、分析及上报，提供决策支持。</w:t>
      </w:r>
    </w:p>
    <w:p w14:paraId="08DAD6C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省级端（系统管理）：实现系统管理员对用户、角色、调查期、系统运行状态的统一管理及日志审计。</w:t>
      </w:r>
    </w:p>
    <w:p w14:paraId="7E2C863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非功能需求实现：针对SRS第5章的各项非功能要求进行设计、编码与测试，保障系统质量。</w:t>
      </w:r>
    </w:p>
    <w:p w14:paraId="3D7FC43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pPr>
      <w:r>
        <w:rPr>
          <w:rFonts w:hint="default" w:ascii="Times New Roman" w:hAnsi="Times New Roman" w:eastAsia="宋体" w:cs="宋体"/>
          <w:color w:val="000000"/>
          <w:kern w:val="0"/>
          <w:sz w:val="24"/>
          <w:szCs w:val="24"/>
        </w:rPr>
        <w:t>文档与部署：完成所有项目文档编写、系统打包、环境配置及部署验证，确保系统可交付运行。</w:t>
      </w:r>
    </w:p>
    <w:p w14:paraId="67AB3916">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4" w:name="_Toc26732"/>
      <w:r>
        <w:rPr>
          <w:rFonts w:hint="default" w:ascii="宋体" w:hAnsi="宋体" w:eastAsia="宋体" w:cs="宋体"/>
          <w:b/>
          <w:bCs/>
          <w:color w:val="000000"/>
          <w:kern w:val="0"/>
          <w:sz w:val="24"/>
          <w:szCs w:val="24"/>
        </w:rPr>
        <w:t>2.4 范围验收标准</w:t>
      </w:r>
      <w:bookmarkEnd w:id="14"/>
    </w:p>
    <w:p w14:paraId="66A058C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企业端的验收标准为企业用户能够完成备案信息的首次录入与变更申请，系统对关键字段进行格式校验并提交省级审核；能够在调查期内填报就业失业数据，支持暂存与提交，当就业人数异常时强制填写减少原因，超期后禁止提交；能够按调查期查询历史填报数据且仅支持查看；能够浏览通知列表及详情；能够修改密码并通过忘记密码流程找回账户。</w:t>
      </w:r>
    </w:p>
    <w:p w14:paraId="5E9CD00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市级端的验收标准为市级用户能够查看待审核数据列表，对数据执行通过或退回操作，退回时必须填写原因并自动通知企业；能够查看统计看板，展示辖区企业总数、已报数、未报数及通过率；能够按条件导出审核通过的数据为Excel文件；能够查询退回历史并展示原因；能够发布通知并推送至企业端。</w:t>
      </w:r>
    </w:p>
    <w:p w14:paraId="4EBE21F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数据分析子系统的验收标准为省级用户能够按调查期汇总全省数据，对错误数据进行修正且原始数据不被覆盖、修改日志完整记录；能够按地区、行业等维度生成统计图表并导出Excel；能够审核企业备案信息；能够将汇总数据上报至部级系统；能够自动检测缺报、数据波动异常并发出预警；能够按条件查询审计日志。</w:t>
      </w:r>
    </w:p>
    <w:p w14:paraId="3268A23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系统管理子系统的验收标准为系统管理员能够新增、修改、删除用户，删除用户时若存在上报数据则禁止删除；能够创建、修改、删除角色并分配权限，删除角色时若已被用户使用则需解除关联；能够新增和修改调查期时间范围；能够实时查看CPU、内存、硬盘等监控指标；能够记录并查询用户登录、权限变更等操作日志。</w:t>
      </w:r>
    </w:p>
    <w:p w14:paraId="6524FC9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lang w:eastAsia="zh-CN"/>
        </w:rPr>
      </w:pPr>
      <w:r>
        <w:rPr>
          <w:rFonts w:hint="default" w:ascii="Times New Roman" w:hAnsi="Times New Roman" w:eastAsia="宋体" w:cs="宋体"/>
          <w:color w:val="000000"/>
          <w:kern w:val="0"/>
          <w:sz w:val="24"/>
          <w:szCs w:val="24"/>
        </w:rPr>
        <w:t>非功能需求的验收标准依据SRS第5章，要求常规操作响应时间在合理范围内，系统具备高并发处理能力；核心业务流程具备事务回滚机制；数据传输与存储加密，角色权限隔离；界面提供清晰的填写提示与错误指引；支持国产化环境部署；所有数据修正和关键操作均留痕可审计。文档与部署的验收标准为项目计划、需求规格说明书齐全</w:t>
      </w:r>
      <w:r>
        <w:rPr>
          <w:rFonts w:hint="eastAsia" w:ascii="Times New Roman" w:hAnsi="Times New Roman" w:eastAsia="宋体" w:cs="宋体"/>
          <w:color w:val="000000"/>
          <w:kern w:val="0"/>
          <w:sz w:val="24"/>
          <w:szCs w:val="24"/>
          <w:lang w:eastAsia="zh-CN"/>
        </w:rPr>
        <w:t>。</w:t>
      </w:r>
    </w:p>
    <w:p w14:paraId="7699657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15" w:name="_Toc20335"/>
      <w:r>
        <w:rPr>
          <w:rFonts w:hint="default" w:ascii="宋体" w:hAnsi="宋体" w:eastAsia="宋体" w:cs="宋体"/>
          <w:b/>
          <w:bCs/>
          <w:color w:val="000000"/>
          <w:kern w:val="0"/>
          <w:sz w:val="28"/>
          <w:szCs w:val="28"/>
          <w:lang w:val="en-US" w:eastAsia="zh-CN"/>
        </w:rPr>
        <w:t>3</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进度管理</w:t>
      </w:r>
      <w:bookmarkEnd w:id="15"/>
    </w:p>
    <w:p w14:paraId="2335F55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6" w:name="_Toc23462"/>
      <w:r>
        <w:rPr>
          <w:rFonts w:hint="default" w:ascii="宋体" w:hAnsi="宋体" w:eastAsia="宋体" w:cs="宋体"/>
          <w:b/>
          <w:bCs/>
          <w:color w:val="000000"/>
          <w:kern w:val="0"/>
          <w:sz w:val="24"/>
          <w:szCs w:val="24"/>
        </w:rPr>
        <w:t>3.1 活动定义</w:t>
      </w:r>
      <w:bookmarkEnd w:id="16"/>
    </w:p>
    <w:p w14:paraId="60B3BFF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为确保《云南省企业就业失业数据采集系统》的高效推进，项目组以上一阶段明确的WBS工作包为依据，将其进一步细化为团队十名成员可独立执行与追踪的具体活动。</w:t>
      </w:r>
    </w:p>
    <w:p w14:paraId="044B9E7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在前期准备与架构阶段，主要活动包括需求基线评审、数据库物理模型建立以及Docker与Kubernetes底层容器化部署环境的搭建。在核心业务模块开发阶段，活动被严格按照四大子系统进行拆解。</w:t>
      </w:r>
    </w:p>
    <w:p w14:paraId="418BEB1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针对企业端，细分出了企业首次备案与变更模块开发、月度数据填报与合法性强制校验（如就业人数异常拦截）逻辑编写、填报草稿暂存机制开发、历史只读查询页面与通知中心展示开发，以及包含找回密码流程的账户管理开发。</w:t>
      </w:r>
    </w:p>
    <w:p w14:paraId="194BB1A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针对市级端，定义了待审队列与审批流转开发（包含退回原因必填与自动通知触发逻辑）、涵盖企业总数与通过率的渐变色统计看板渲染、多条件结构化数据Excel导出模块，以及向辖区下发通知的管理功能开发。</w:t>
      </w:r>
    </w:p>
    <w:p w14:paraId="68F5129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针对省级端，数据分析模块的活动细化为全省填报数据定时汇总入库、带有独立日志留痕且不覆盖原始数据的人工修正机制开发、基于多维度的数据可视化图表开发、企业备案的终审流转、对接国家部委标准接口的数据上报功能，以及自动预警缺报与数据异常波动的质量监控模块开发；系统管理模块则被分解为带有业务数据校验保护机制的用户与角色增删改查开发、动态调查期时间窗口配置开发、系统CPU/内存等底层运行状态的实时监控大屏开发，以及全方位操作审计日志溯源功能开发。</w:t>
      </w:r>
    </w:p>
    <w:p w14:paraId="141F95B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此外，测试与交付维度的活动则涵盖了高并发响应优化、全链路数据加密等非功能性需求的编码与验证，以及测试报告、用户部署手册的统筹编写。</w:t>
      </w:r>
    </w:p>
    <w:p w14:paraId="6AF2FE04">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7" w:name="_Toc18801"/>
      <w:r>
        <w:rPr>
          <w:rFonts w:hint="default" w:ascii="宋体" w:hAnsi="宋体" w:eastAsia="宋体" w:cs="宋体"/>
          <w:b/>
          <w:bCs/>
          <w:color w:val="000000"/>
          <w:kern w:val="0"/>
          <w:sz w:val="24"/>
          <w:szCs w:val="24"/>
        </w:rPr>
        <w:t>3.2 活动排序（网络图，明确依赖关系）</w:t>
      </w:r>
      <w:bookmarkEnd w:id="17"/>
    </w:p>
    <w:p w14:paraId="6594834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在全面梳理出具体活动后，项目经理依据软件工程规范与各项业务流转的内在逻辑，明确了活动之间的依赖关系并构建了进度网络图。</w:t>
      </w:r>
    </w:p>
    <w:p w14:paraId="690E5E2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本项目的活动排序主要遵循“前置基础支撑后置业务，上游数据驱动下游审核”的流转逻辑。</w:t>
      </w:r>
    </w:p>
    <w:p w14:paraId="47643F5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首先，需求基线化与底层政务云软硬件环境适配、数据库架构设计是所有后续开发的绝对前置节点，必须优先完成。在进入编码阶段后，系统层面的基础支撑必须最先就绪，因此省级端“系统管理与后台维护子系统”中的角色权限控制底座与调查期时间范围配置活动被排在首位，作为全省用户登录鉴权与操作时间窗口管控的先决条件。紧接着展开的是业务闭环的排序：企业端的“基础备案信息录入与数据填报”活动必须优先于市级端开发，因为它是整个系统的业务源头与数据入口；随后才能并行推进市级端“数据审核与退回调度”活动的开发，以承接企业端上报的数据流；当市级审核节点打通后，省级端的“全省数据汇总入库、多维图表分析与异常预警”活动方具备真实的联调数据源，从而启动开发；最终流转至“对接部级系统接口数据上报”活动。</w:t>
      </w:r>
    </w:p>
    <w:p w14:paraId="054EDF2D">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贯穿整个周期的非功能性活动中，代码加密与并发处理等底层优化活动与功能开发并行，而跨层级的业务联调测试、渗透安全测试、系统试运行以及最终的操作手册编写则严格作为尾部节点，被置于所有核心业务代码冻结之后。通过识别这些强依赖关系，项目组明确了从权限搭建到填报、审核、汇总上报的项目关键路径，为后续甘特图的绘制提供了坚实依据。</w:t>
      </w:r>
    </w:p>
    <w:p w14:paraId="725495E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18" w:name="_Toc1583"/>
      <w:r>
        <w:rPr>
          <w:rFonts w:hint="default" w:ascii="宋体" w:hAnsi="宋体" w:eastAsia="宋体" w:cs="宋体"/>
          <w:b/>
          <w:bCs/>
          <w:color w:val="000000"/>
          <w:kern w:val="0"/>
          <w:sz w:val="24"/>
          <w:szCs w:val="24"/>
        </w:rPr>
        <w:t>3.3 活动历时估算</w:t>
      </w:r>
      <w:bookmarkEnd w:id="18"/>
    </w:p>
    <w:p w14:paraId="79FDE66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19" w:name="_Toc17738"/>
      <w:r>
        <w:rPr>
          <w:rFonts w:hint="default" w:ascii="宋体" w:hAnsi="宋体" w:eastAsia="宋体" w:cs="宋体"/>
          <w:b/>
          <w:bCs/>
          <w:color w:val="000000"/>
          <w:kern w:val="0"/>
          <w:sz w:val="24"/>
          <w:szCs w:val="24"/>
        </w:rPr>
        <w:t>方法：定额估算法、经验导出模型（如COCOMO）、PERT（三点估算）等</w:t>
      </w:r>
      <w:bookmarkEnd w:id="19"/>
    </w:p>
    <w:p w14:paraId="49AA36C4">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0" w:name="_Toc20711"/>
      <w:r>
        <w:rPr>
          <w:rFonts w:hint="default" w:ascii="宋体" w:hAnsi="宋体" w:eastAsia="宋体" w:cs="宋体"/>
          <w:b/>
          <w:bCs/>
          <w:color w:val="000000"/>
          <w:kern w:val="0"/>
          <w:sz w:val="24"/>
          <w:szCs w:val="24"/>
        </w:rPr>
        <w:t>3.4 制定进度计划</w:t>
      </w:r>
      <w:bookmarkEnd w:id="20"/>
    </w:p>
    <w:p w14:paraId="5DC6A3D2">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1" w:name="_Toc6257"/>
      <w:r>
        <w:rPr>
          <w:rFonts w:hint="default" w:ascii="宋体" w:hAnsi="宋体" w:eastAsia="宋体" w:cs="宋体"/>
          <w:b/>
          <w:bCs/>
          <w:color w:val="000000"/>
          <w:kern w:val="0"/>
          <w:sz w:val="24"/>
          <w:szCs w:val="24"/>
        </w:rPr>
        <w:t>关键路径法（CPM）</w:t>
      </w:r>
      <w:bookmarkEnd w:id="21"/>
    </w:p>
    <w:p w14:paraId="2C89549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2" w:name="_Toc29471"/>
      <w:r>
        <w:rPr>
          <w:rFonts w:hint="default" w:ascii="宋体" w:hAnsi="宋体" w:eastAsia="宋体" w:cs="宋体"/>
          <w:b/>
          <w:bCs/>
          <w:color w:val="000000"/>
          <w:kern w:val="0"/>
          <w:sz w:val="24"/>
          <w:szCs w:val="24"/>
        </w:rPr>
        <w:t>甘特图（使用Microsoft Project绘制，展示任务、依赖关系、里程碑）</w:t>
      </w:r>
      <w:bookmarkEnd w:id="22"/>
    </w:p>
    <w:p w14:paraId="1F427D7A">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3" w:name="_Toc15843"/>
      <w:r>
        <w:rPr>
          <w:rFonts w:hint="default" w:ascii="宋体" w:hAnsi="宋体" w:eastAsia="宋体" w:cs="宋体"/>
          <w:b/>
          <w:bCs/>
          <w:color w:val="000000"/>
          <w:kern w:val="0"/>
          <w:sz w:val="24"/>
          <w:szCs w:val="24"/>
        </w:rPr>
        <w:t>时间压缩法（如需赶工或快速跟进）</w:t>
      </w:r>
      <w:bookmarkEnd w:id="23"/>
    </w:p>
    <w:p w14:paraId="29741F4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p>
    <w:p w14:paraId="70B00B5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p>
    <w:p w14:paraId="06B7A39A">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4" w:name="_Toc16674"/>
      <w:r>
        <w:rPr>
          <w:rFonts w:hint="default" w:ascii="宋体" w:hAnsi="宋体" w:eastAsia="宋体" w:cs="宋体"/>
          <w:b/>
          <w:bCs/>
          <w:color w:val="000000"/>
          <w:kern w:val="0"/>
          <w:sz w:val="24"/>
          <w:szCs w:val="24"/>
        </w:rPr>
        <w:t>3.5 里程碑清单</w:t>
      </w:r>
      <w:bookmarkEnd w:id="24"/>
    </w:p>
    <w:p w14:paraId="75323A4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8"/>
          <w:szCs w:val="28"/>
          <w:lang w:val="en-US" w:eastAsia="zh-CN"/>
        </w:rPr>
      </w:pPr>
      <w:bookmarkStart w:id="25" w:name="_Toc28914"/>
      <w:r>
        <w:rPr>
          <w:rFonts w:hint="default" w:ascii="宋体" w:hAnsi="宋体" w:eastAsia="宋体" w:cs="宋体"/>
          <w:b/>
          <w:bCs/>
          <w:color w:val="000000"/>
          <w:kern w:val="0"/>
          <w:sz w:val="24"/>
          <w:szCs w:val="24"/>
        </w:rPr>
        <w:t>3.6 进度控制（偏差处理机制）</w:t>
      </w:r>
      <w:bookmarkEnd w:id="25"/>
    </w:p>
    <w:p w14:paraId="5A3C58E4">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26" w:name="_Toc18504"/>
      <w:r>
        <w:rPr>
          <w:rFonts w:hint="default" w:ascii="宋体" w:hAnsi="宋体" w:eastAsia="宋体" w:cs="宋体"/>
          <w:b/>
          <w:bCs/>
          <w:color w:val="000000"/>
          <w:kern w:val="0"/>
          <w:sz w:val="28"/>
          <w:szCs w:val="28"/>
          <w:lang w:val="en-US" w:eastAsia="zh-CN"/>
        </w:rPr>
        <w:t>4. 成本管理</w:t>
      </w:r>
      <w:bookmarkEnd w:id="26"/>
    </w:p>
    <w:p w14:paraId="7F60C6B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27" w:name="_Toc5028"/>
      <w:r>
        <w:rPr>
          <w:rFonts w:hint="default" w:ascii="宋体" w:hAnsi="宋体" w:eastAsia="宋体" w:cs="宋体"/>
          <w:b/>
          <w:bCs/>
          <w:color w:val="000000"/>
          <w:kern w:val="0"/>
          <w:sz w:val="24"/>
          <w:szCs w:val="24"/>
        </w:rPr>
        <w:t>4.1 成本构成</w:t>
      </w:r>
      <w:bookmarkEnd w:id="27"/>
    </w:p>
    <w:p w14:paraId="66B7006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本项目的总成本严格按照科学的工程财务规范进行测算，全面涵盖了直接成本、间接成本以及管理储备三大板块。</w:t>
      </w:r>
    </w:p>
    <w:p w14:paraId="2D256DE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直接成本是项目支出的核心，主要由1</w:t>
      </w:r>
      <w:r>
        <w:rPr>
          <w:rFonts w:hint="eastAsia" w:ascii="Times New Roman" w:hAnsi="Times New Roman" w:eastAsia="宋体" w:cs="宋体"/>
          <w:color w:val="000000"/>
          <w:kern w:val="0"/>
          <w:sz w:val="24"/>
          <w:szCs w:val="24"/>
          <w:lang w:val="en-US" w:eastAsia="zh-CN"/>
        </w:rPr>
        <w:t>1</w:t>
      </w:r>
      <w:r>
        <w:rPr>
          <w:rFonts w:hint="default" w:ascii="Times New Roman" w:hAnsi="Times New Roman" w:eastAsia="宋体" w:cs="宋体"/>
          <w:color w:val="000000"/>
          <w:kern w:val="0"/>
          <w:sz w:val="24"/>
          <w:szCs w:val="24"/>
        </w:rPr>
        <w:t>名团队成员（包含项目经理、需求分析师、前后端开发、测试及配置管理员等）在8周研发周期内的人力资源薪资构成，按行业平均人力单价折算，预计人力直接成本为300,000元。</w:t>
      </w:r>
    </w:p>
    <w:p w14:paraId="6E7B7C8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此外，直接成本还包含5,000元的软硬件采购费，其中特意拨付了1,000元用于团队集中购买Codex、Claude及GitHub Copilot等智能体编程辅助工具的共享账号，以及4,000元用于租赁云南省政务云标准版测试服务器。</w:t>
      </w:r>
    </w:p>
    <w:p w14:paraId="63B2F81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间接成本主要涵盖团队在研发期间的场地分摊、日常水电、办公耗材以及针对等保三级规范和信创底座适配的内部技术培训费用，该部分按照直接成本的15%进行定额计提，约为45,000元。</w:t>
      </w:r>
    </w:p>
    <w:p w14:paraId="5C0CFAB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为了有效应对因国家失业监测系统接口标准突变或不可预见的技术瓶颈所带来的风险，项目组特别设立了50,000元的管理储备金。</w:t>
      </w:r>
    </w:p>
    <w:p w14:paraId="14ACCE4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综合以上各项，本《云南省企业就业失业数据采集系统》项目的整体估算成本设定为400,000元。</w:t>
      </w:r>
    </w:p>
    <w:p w14:paraId="1097CEC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8" w:name="_Toc27748"/>
      <w:r>
        <w:rPr>
          <w:rFonts w:hint="default" w:ascii="宋体" w:hAnsi="宋体" w:eastAsia="宋体" w:cs="宋体"/>
          <w:b/>
          <w:bCs/>
          <w:color w:val="000000"/>
          <w:kern w:val="0"/>
          <w:sz w:val="24"/>
          <w:szCs w:val="24"/>
        </w:rPr>
        <w:t>4.2 成本估算方法</w:t>
      </w:r>
      <w:bookmarkEnd w:id="28"/>
    </w:p>
    <w:p w14:paraId="456CE8D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为确保预算数据的精准度与合理性，项目组综合采用了类比估算、自下而上估算以及功能点估算三种测算方法进行交叉验证。</w:t>
      </w:r>
    </w:p>
    <w:p w14:paraId="632F218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在项目启动初期，项目经理首先运用了类比估算法，参考了以往同等规模的“省级社保基础数据上报平台”项目，得出了约40万元的宏观指导基准。</w:t>
      </w:r>
    </w:p>
    <w:p w14:paraId="60E3B15D">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随后，在完成详细的工作分解结构（WBS）后，团队执行了严谨的自下而上估算，将四个核心子系统拆解为120余项具体活动，并由各活动负责人结合智能体工具带来的编码提效系数，详细评估出各项任务所需的人时与资源消耗，逐层向上汇总得出精确的项目底线成本。</w:t>
      </w:r>
    </w:p>
    <w:p w14:paraId="18B8428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了进一步验证估算的可靠性，项目组还引入了功能点估算法（FP），经测算，本系统的未调整功能点（UFP）总量约为350个，结合10人团队的历史生产率常数，推算出系统的预期核心代码量与测试用例数，由此折算出的工作量成本与自下而上的汇总结果误差在5%以内，最终夯实了总体预算数据的科学基础。</w:t>
      </w:r>
    </w:p>
    <w:p w14:paraId="5559DF2F">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9" w:name="_Toc25819"/>
      <w:r>
        <w:rPr>
          <w:rFonts w:hint="default" w:ascii="宋体" w:hAnsi="宋体" w:eastAsia="宋体" w:cs="宋体"/>
          <w:b/>
          <w:bCs/>
          <w:color w:val="000000"/>
          <w:kern w:val="0"/>
          <w:sz w:val="24"/>
          <w:szCs w:val="24"/>
        </w:rPr>
        <w:t>4.3 成本预算</w:t>
      </w:r>
      <w:bookmarkEnd w:id="29"/>
    </w:p>
    <w:p w14:paraId="6C166AC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确立了40万元的总预算额度后，项目组将其科学地分摊至WBS的各个核心工作包中，并按8周的项目时间轴生成了成本基准支出计划。在资金分配上，系统管控与质量保证模块获批50,000元预算；企业端数据采集与备案子系统因涉及繁琐的表单校验与页面交互，分配预算为80,000元；市级端数据审核与辖区调度子系统分配60,000元；省级端数据管理与分析子系统由于承担了全省数据并发汇总、复杂Echarts多维统计大屏渲染以及部级接口对接等重难点任务，获得了最高的120,000元预算；文档编写、全链路联调与最终交付部署包分配40,000元；剩余50,000元作为管理储备与应急池单独封存。</w:t>
      </w:r>
    </w:p>
    <w:p w14:paraId="16E07DE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按照时间序列铺排，项目的成本支出将呈现标准的S型曲线：在第1至第2周的需求分析与架构搭建期，资金消耗较为平缓，累计约占15%；在第3至第6周的核心编码与集成联调高峰期，随着大量开发人力与云计算资源的集中投入，成本支出将快速爬升，累计消耗将达到预算的75%（约300,000元）；在最后两周的系统试运行与验收阶段，成本曲线再度趋于平缓。</w:t>
      </w:r>
    </w:p>
    <w:p w14:paraId="54381FE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30" w:name="_Toc6595"/>
      <w:r>
        <w:rPr>
          <w:rFonts w:hint="default" w:ascii="宋体" w:hAnsi="宋体" w:eastAsia="宋体" w:cs="宋体"/>
          <w:b/>
          <w:bCs/>
          <w:color w:val="000000"/>
          <w:kern w:val="0"/>
          <w:sz w:val="24"/>
          <w:szCs w:val="24"/>
        </w:rPr>
        <w:t>4.4 成本控制</w:t>
      </w:r>
      <w:bookmarkEnd w:id="30"/>
    </w:p>
    <w:p w14:paraId="5C9A2B1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组制定了严格的预算变更流程与成本动态监控机制，以确保项目资金不超支。在日常执行过程中，项目经理将全面引入挣值管理体系，在每周五的课内实验与里程碑评审会上，定期计算项目的成本绩效指数与进度绩效指数。一旦发现CPI跌破0.95的安全红线，项目组将立刻触发预警机制，召开专项会议排查资源浪费或返工重灾区，并采取加班赶工或优化智能体提示词等纠偏措施。</w:t>
      </w:r>
    </w:p>
    <w:p w14:paraId="4C9922A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当既定需求发生实质性变化并由此引发成本超支风险时，必须走正规的预算变更流程。需求提出方需提交详尽的变更申请单，阐明修改内容及其对成本基准的具体影响金额，随后由配置控制委员会进行影响面评估与审批。</w:t>
      </w:r>
    </w:p>
    <w:p w14:paraId="5513F51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只有在负责人签字同意后，方可动用50,000元的管理储备金来追加相应模块的开发预算，且所有成本基准的修改操作及历史审批流转记录，均需完整保存在Git等配置管理工具中以备期末验收审计。</w:t>
      </w:r>
    </w:p>
    <w:p w14:paraId="0AC1042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default" w:ascii="宋体" w:hAnsi="宋体" w:eastAsia="宋体" w:cs="宋体"/>
          <w:b/>
          <w:bCs/>
          <w:color w:val="000000"/>
          <w:kern w:val="0"/>
          <w:sz w:val="28"/>
          <w:szCs w:val="28"/>
          <w:lang w:val="en-US" w:eastAsia="zh-CN"/>
        </w:rPr>
      </w:pPr>
      <w:bookmarkStart w:id="31" w:name="_Toc27864"/>
      <w:r>
        <w:rPr>
          <w:rFonts w:hint="default" w:ascii="宋体" w:hAnsi="宋体" w:eastAsia="宋体" w:cs="宋体"/>
          <w:b/>
          <w:bCs/>
          <w:color w:val="000000"/>
          <w:kern w:val="0"/>
          <w:sz w:val="28"/>
          <w:szCs w:val="28"/>
          <w:lang w:val="en-US" w:eastAsia="zh-CN"/>
        </w:rPr>
        <w:t>5</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质量管理</w:t>
      </w:r>
      <w:bookmarkEnd w:id="31"/>
    </w:p>
    <w:p w14:paraId="4ED1C82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2" w:name="_Toc30752"/>
      <w:r>
        <w:rPr>
          <w:rFonts w:hint="default" w:ascii="宋体" w:hAnsi="宋体" w:eastAsia="宋体" w:cs="宋体"/>
          <w:b/>
          <w:bCs/>
          <w:color w:val="000000"/>
          <w:kern w:val="0"/>
          <w:sz w:val="24"/>
          <w:szCs w:val="24"/>
        </w:rPr>
        <w:t>5.1 质量目标</w:t>
      </w:r>
      <w:bookmarkEnd w:id="32"/>
    </w:p>
    <w:p w14:paraId="2A99EDE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本项目以《需求规格说明书》第5章的非功能性需求为根本准绳，致力于交付高标准、严要求的政务级软件系统。</w:t>
      </w:r>
    </w:p>
    <w:p w14:paraId="668BBD4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在性能目标方面，系统必须具备处理全省大规模企业集中访问与数据交互的能力，关键业务接口（如大批量审核数据的Excel导出、多维度统计看板加载）的响应延迟需严格控制在500ms以内。</w:t>
      </w:r>
    </w:p>
    <w:p w14:paraId="3B1BEE20">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在可靠性目标方面，核心业务流程（如数据提交省级审核、退回重报等）必须具备完整的事务回滚与容错恢复机制，确保在极值并发或网络波动下暂存数据与审核进度不丢失。</w:t>
      </w:r>
    </w:p>
    <w:p w14:paraId="29DBCCC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在安全性目标方面，系统必须满足国家信息安全等级保护三级标准，实现严格的角色权限隔离（企业、市级、省级），对敏感明细数据传输与存储实施加密，并彻底杜绝引入未经安全审查的第三方开源组件。</w:t>
      </w:r>
    </w:p>
    <w:p w14:paraId="7F9A6BB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lang w:val="en-US" w:eastAsia="zh-CN"/>
        </w:rPr>
      </w:pPr>
      <w:r>
        <w:rPr>
          <w:rFonts w:hint="default" w:ascii="Times New Roman" w:hAnsi="Times New Roman" w:eastAsia="宋体" w:cs="宋体"/>
          <w:color w:val="000000"/>
          <w:kern w:val="0"/>
          <w:sz w:val="24"/>
          <w:szCs w:val="24"/>
        </w:rPr>
        <w:t>此外，在可维护性与兼容性方面，系统需全面适配国产化信创软硬件底座，代码结构需保持高内聚低耦合；同时，所有数据修正及权限变更行为必须做到百分之百留痕，达成严苛的可审计性目标。</w:t>
      </w:r>
    </w:p>
    <w:p w14:paraId="14059D6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3" w:name="_Toc31460"/>
      <w:r>
        <w:rPr>
          <w:rFonts w:hint="default" w:ascii="宋体" w:hAnsi="宋体" w:eastAsia="宋体" w:cs="宋体"/>
          <w:b/>
          <w:bCs/>
          <w:color w:val="000000"/>
          <w:kern w:val="0"/>
          <w:sz w:val="24"/>
          <w:szCs w:val="24"/>
        </w:rPr>
        <w:t>5.2 质量计划内容</w:t>
      </w:r>
      <w:bookmarkEnd w:id="33"/>
    </w:p>
    <w:p w14:paraId="06478CD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为确保上述质量目标的全面达成，项目组制定了贯穿全生命周期的综合质量计划。</w:t>
      </w:r>
    </w:p>
    <w:p w14:paraId="5579CE7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本计划的核心内容明确了以“预防为主、持续改进”为原则的质量把控活动，包括前期的需求基线评审、开发过程中的持续集成与自动化构建，以及交付前的全链路压测。</w:t>
      </w:r>
    </w:p>
    <w:p w14:paraId="7905201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在职责划分上，项目经理全面统筹项目质量，指定的质量保证（QA）专员独立负责监督工程化流程的规范落地，而开发与测试人员则分别对所交付的代码质量和缺陷检出率负责。</w:t>
      </w:r>
    </w:p>
    <w:p w14:paraId="6C31C7A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在资源配置方面，项目组将充分利用智能体编程工具进行辅助代码审查，并依托政务云提供的专属测试服务器开展沙箱环境验证。</w:t>
      </w:r>
    </w:p>
    <w:p w14:paraId="0A3167E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整个质量计划通过建立明确的准入与准出控制手段，确保每一个WBS工作包在进入下一阶段前，都必须经过严格的质量门禁核查。</w:t>
      </w:r>
    </w:p>
    <w:p w14:paraId="74B6A44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4" w:name="_Toc11829"/>
      <w:r>
        <w:rPr>
          <w:rFonts w:hint="default" w:ascii="宋体" w:hAnsi="宋体" w:eastAsia="宋体" w:cs="宋体"/>
          <w:b/>
          <w:bCs/>
          <w:color w:val="000000"/>
          <w:kern w:val="0"/>
          <w:sz w:val="24"/>
          <w:szCs w:val="24"/>
        </w:rPr>
        <w:t>5.3 质量保证</w:t>
      </w:r>
      <w:bookmarkEnd w:id="34"/>
    </w:p>
    <w:p w14:paraId="6337D490">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质量保证工作侧重于项目过程的合规性与规范性，旨在通过构建科学的体系来防止缺陷的产生。</w:t>
      </w:r>
    </w:p>
    <w:p w14:paraId="6C46218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组将定期开展过程审计，重点检查十名团队成员是否严格遵循了既定的软件工程规范。这其中包括审计需求变更流程的执行情况，核实当需求发生变动时是否正式提交了变更申请单、是否经过了配置控制委员会的签字审批，以及版本控制库（Git）中的分支管理策略与提交日志是否规范完整。</w:t>
      </w:r>
    </w:p>
    <w:p w14:paraId="39FC0C4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另一方面，团队还将实施产品审计，对项目运行周期内产生的各阶段非代码类阶段性交付物（如项目计划基线版本、需求规格说明书、数据库物理设计报告、系统操作手册等）进行独立的形式与内容双重审查，确保文档的完整性、一致性以及与系统实际功能的高度吻合，从而向上级主管部门和干系人提供项目质量符合标准的充分信心。</w:t>
      </w:r>
    </w:p>
    <w:p w14:paraId="60793F0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5" w:name="_Toc9498"/>
      <w:r>
        <w:rPr>
          <w:rFonts w:hint="default" w:ascii="宋体" w:hAnsi="宋体" w:eastAsia="宋体" w:cs="宋体"/>
          <w:b/>
          <w:bCs/>
          <w:color w:val="000000"/>
          <w:kern w:val="0"/>
          <w:sz w:val="24"/>
          <w:szCs w:val="24"/>
        </w:rPr>
        <w:t>5.4 质量控制</w:t>
      </w:r>
      <w:bookmarkEnd w:id="35"/>
    </w:p>
    <w:p w14:paraId="7924D22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质量控制工作聚焦于具体的产出物，通过一系列查错与纠偏手段，力保最终交付的系统质量过关。</w:t>
      </w:r>
    </w:p>
    <w:p w14:paraId="74ADE06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在编码阶段，团队将严格落实技术评审与代码走查机制，针对核心的数据库E-R结构、跨端权限校验逻辑以及并发数据暂存逻辑进行组内同行评审，并借助智能编程工具对语法规范与潜在漏洞进行实时静态扫描。</w:t>
      </w:r>
    </w:p>
    <w:p w14:paraId="0786D81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动态测试层面，实施由微观到宏观的三级测试体系：首先由开发人员完成各独立模块的单元测试；随后开展集成测试，重点验证企业端填报、市级端审核退回、省级端汇总上报这一跨子系统核心数据链路的正确性；最后进行全局系统测试，涵盖功能验收测试、等保三级安全渗透测试以及模拟全省上报高峰期的并发压力测试。</w:t>
      </w:r>
    </w:p>
    <w:p w14:paraId="387B8F4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对于测试阶段发现的任何异常，项目组将引入标准化的缺陷跟踪管理机制，详细记录缺陷的发现时间、重现步骤、严重等级及处理状态，确保所有中高级别缺陷在系统上线发布前被彻底清零闭环。</w:t>
      </w:r>
    </w:p>
    <w:p w14:paraId="5EC6572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6" w:name="_Toc720"/>
      <w:r>
        <w:rPr>
          <w:rFonts w:hint="default" w:ascii="宋体" w:hAnsi="宋体" w:eastAsia="宋体" w:cs="宋体"/>
          <w:b/>
          <w:bCs/>
          <w:color w:val="000000"/>
          <w:kern w:val="0"/>
          <w:sz w:val="24"/>
          <w:szCs w:val="24"/>
        </w:rPr>
        <w:t>5.5 质量成本</w:t>
      </w:r>
      <w:bookmarkEnd w:id="36"/>
    </w:p>
    <w:p w14:paraId="1D9ADE8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为在有限的资源内实现质量效益的最大化，项目组对质量成本进行了科学的规划与度量。</w:t>
      </w:r>
    </w:p>
    <w:p w14:paraId="629108E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项目大力倾斜于预防成本的投入，包括在项目启动初期为十名成员安排关于政务云国产化部署规范、智能体辅助编程工具高效使用以及等保三级安全合规体系的专项技术培训，以期从源头降低代码返工率。</w:t>
      </w:r>
    </w:p>
    <w:p w14:paraId="21504EE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评估成本方面，团队合理拨付了用于实施代码走查、环境搭建、自动化测试脚手架构建以及开展多轮次系统集成测试的人力与时间资源。通过做重预防与评估环节，项目组致力于将内部缺陷成本压缩至最低水平。</w:t>
      </w:r>
    </w:p>
    <w:p w14:paraId="6CA5F27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同时，项目设立了零外部缺陷成本的极致目标，即坚决杜绝带有重大逻辑漏洞或数据泄漏风险的系统被发布至生产环境，从而彻底避免因处理全省范围内的线上故障投诉、数据脏写修复以及行政问责所带来的巨额隐性外部损失。</w:t>
      </w:r>
    </w:p>
    <w:p w14:paraId="2B2F2F3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Times New Roman" w:hAnsi="Times New Roman" w:eastAsia="宋体" w:cs="宋体"/>
          <w:color w:val="000000"/>
          <w:kern w:val="0"/>
          <w:sz w:val="24"/>
          <w:szCs w:val="24"/>
        </w:rPr>
      </w:pPr>
      <w:bookmarkStart w:id="37" w:name="_Toc938"/>
      <w:r>
        <w:rPr>
          <w:rFonts w:hint="default" w:ascii="宋体" w:hAnsi="宋体" w:eastAsia="宋体" w:cs="宋体"/>
          <w:b/>
          <w:bCs/>
          <w:color w:val="000000"/>
          <w:kern w:val="0"/>
          <w:sz w:val="28"/>
          <w:szCs w:val="28"/>
          <w:lang w:val="en-US" w:eastAsia="zh-CN"/>
        </w:rPr>
        <w:t>6</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人力资源管理</w:t>
      </w:r>
      <w:bookmarkEnd w:id="37"/>
    </w:p>
    <w:p w14:paraId="7951604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38" w:name="_Toc20376"/>
      <w:r>
        <w:rPr>
          <w:rFonts w:hint="default" w:ascii="宋体" w:hAnsi="宋体" w:eastAsia="宋体" w:cs="宋体"/>
          <w:b/>
          <w:bCs/>
          <w:color w:val="000000"/>
          <w:kern w:val="0"/>
          <w:sz w:val="24"/>
          <w:szCs w:val="24"/>
        </w:rPr>
        <w:t>6.1 项目角色与职责</w:t>
      </w:r>
      <w:bookmarkEnd w:id="38"/>
      <w:bookmarkStart w:id="39" w:name="_Toc27405"/>
    </w:p>
    <w:p w14:paraId="4E220DA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为确保</w:t>
      </w:r>
      <w:r>
        <w:rPr>
          <w:rFonts w:hint="eastAsia" w:ascii="Times New Roman" w:hAnsi="Times New Roman" w:eastAsia="宋体" w:cs="宋体"/>
          <w:color w:val="000000"/>
          <w:kern w:val="0"/>
          <w:sz w:val="24"/>
          <w:szCs w:val="24"/>
          <w:lang w:val="en-US" w:eastAsia="zh-CN"/>
        </w:rPr>
        <w:t>本项目</w:t>
      </w:r>
      <w:r>
        <w:rPr>
          <w:rFonts w:hint="default" w:ascii="Times New Roman" w:hAnsi="Times New Roman" w:eastAsia="宋体" w:cs="宋体"/>
          <w:color w:val="000000"/>
          <w:kern w:val="0"/>
          <w:sz w:val="24"/>
          <w:szCs w:val="24"/>
        </w:rPr>
        <w:t>的高效落地与规范管理，本项目组建了一支权责分明、技能互补的11人跨职能研发团队。</w:t>
      </w:r>
    </w:p>
    <w:p w14:paraId="6EF4B02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王皓翔担任本项目的项目经理（PM），全面负责项目进度、成本与范围的统筹把控，主持每周的例会与里程碑评审，主导配置控制委员会的变更审批流程，并全权负责最终交付物的基线发布。</w:t>
      </w:r>
    </w:p>
    <w:p w14:paraId="01B37F0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雷嘉瑞担任业务大组长兼核心需求分析师，负责主导《需求规格说明书》的细化与基线化，深度梳理省、市、企三端业务流转逻辑，并协助评估全生命周期的需求变更影响。</w:t>
      </w:r>
    </w:p>
    <w:p w14:paraId="2266FAD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吴文皓担任系统架构师兼后端开发骨干，主导政务云环境下的容器化部署方案及达梦数据库物理设计。</w:t>
      </w:r>
    </w:p>
    <w:p w14:paraId="50733C5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前端开发由刘欣怡与彭小芳共同承担，重点负责企业端填报表单的响应式交互开发以及省级端多维度统计大屏的视图渲染。</w:t>
      </w:r>
    </w:p>
    <w:p w14:paraId="3638F5E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后端核心业务逻辑由胡瀚与汪诗涵负责，聚焦于系统接口开发、并发数据暂存与事务回滚机制实现，并主力探索使用智能体编程工具提升代码产出效率。</w:t>
      </w:r>
    </w:p>
    <w:p w14:paraId="7CF6E60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彭希言担任软件测试工程师，主导编写测试用例并执行全链路功能与性能压测。王李嘉航担任配置管理员，全权负责版本控制库的权限管理与配置变更历史的归档留痕。</w:t>
      </w:r>
    </w:p>
    <w:p w14:paraId="4A5CB8D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张子敬出任质量保证专员，负责过程审计并监督各项工程化规范与等保三级安全标准的落地。</w:t>
      </w:r>
    </w:p>
    <w:p w14:paraId="7290834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吴珈乐担任实施与运维工程师，负责编制用户操作手册并在课内验收环节协助进行系统原型的现场演示保障。</w:t>
      </w:r>
    </w:p>
    <w:p w14:paraId="619B8B4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r>
        <w:rPr>
          <w:rFonts w:hint="default" w:ascii="宋体" w:hAnsi="宋体" w:eastAsia="宋体" w:cs="宋体"/>
          <w:b/>
          <w:bCs/>
          <w:color w:val="000000"/>
          <w:kern w:val="0"/>
          <w:sz w:val="24"/>
          <w:szCs w:val="24"/>
        </w:rPr>
        <w:t>6.2 人员配备计划</w:t>
      </w:r>
      <w:bookmarkEnd w:id="39"/>
    </w:p>
    <w:p w14:paraId="0876D18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本项目的开发周期严格设定为8周，人员配备计划根据项目生命周期各阶段的任务重心进行动态调配。</w:t>
      </w:r>
    </w:p>
    <w:p w14:paraId="1E406EDB">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第1至第2周的前期需求与架构设计阶段，项目经理王皓翔、需求分析师雷嘉瑞与架构师吴文皓构成核心投入力量，重点完成需求基线确立与底层环境打通；此时，配置管理员王李嘉航与质量保证专员张子敬同步介入以规范初始化流程，前端开发刘欣怡与彭小芳则在此阶段完成系统高保真原型的设计与评审。</w:t>
      </w:r>
    </w:p>
    <w:p w14:paraId="42DC4D1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进入第3至第6周的核心编码阶段，研发力量达到全员峰值，刘欣怡、彭小芳、吴文皓、胡瀚、汪诗涵满负荷投入，利用智能体编程工具进行各模块的敏捷开发与并行联调；测试工程师彭希言开始密集穿插进行单元与集成测试，王李嘉航严格控制代码合并的基线质量。</w:t>
      </w:r>
    </w:p>
    <w:p w14:paraId="3C8D6F4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第7至第8周的测试验收与部署阶段，彭希言与实施工程师吴珈乐成为主导力量，全面开展系统级联调与部署环境验证；QA张子敬执行最终的产品审计，王皓翔与雷嘉瑞则统筹全员梳理项目迭代历史、变更申请单及版本控制截图，确保最终交付的物料矩阵满足各项验收基准。</w:t>
      </w:r>
    </w:p>
    <w:p w14:paraId="5A17AA2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40" w:name="_Toc6879"/>
      <w:r>
        <w:rPr>
          <w:rFonts w:hint="default" w:ascii="宋体" w:hAnsi="宋体" w:eastAsia="宋体" w:cs="宋体"/>
          <w:b/>
          <w:bCs/>
          <w:color w:val="000000"/>
          <w:kern w:val="0"/>
          <w:sz w:val="24"/>
          <w:szCs w:val="24"/>
        </w:rPr>
        <w:t>6.3 培训计划</w:t>
      </w:r>
      <w:bookmarkEnd w:id="40"/>
    </w:p>
    <w:p w14:paraId="1480F7F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为抹平团队成员之间的技术栈差异并确保系统研发符合政务领域的严苛规范，项目组制定了针对性的双线培训计划。</w:t>
      </w:r>
    </w:p>
    <w:p w14:paraId="48CE861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技术培训层面，项目经理王皓翔将在启动初期组织全员智能体辅助编程实操工坊，重点规范团队共享智能体工具账号的使用，指导成员利用高效提示词生成标准化的框架代码；配置管理员王李嘉航将开展版本控制专项培训，明确分支合并策略与需求变更引发的SCCB基线打回流程，确保期末提交的配置历史记录清晰规范、责任到人。</w:t>
      </w:r>
    </w:p>
    <w:p w14:paraId="4D817DA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业务与合规培训层面，需求分析师雷嘉瑞将为全体产研人员深度解读《云南省企业就业失业监测业务规范》，重点剖析企业人数异常强制说明及市级退回重报等核心流转逻辑，防止因业务理解偏差导致代码重构；架构师吴文皓则针对系统的等保三级约束进行安全规范分享，确保团队在数据传输加密、密码校验及防暴力破解机制等核心安全红线上达成统一共识，保障项目高质量合规交付。</w:t>
      </w:r>
    </w:p>
    <w:p w14:paraId="356013B7">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41" w:name="_Toc17667"/>
      <w:r>
        <w:rPr>
          <w:rFonts w:hint="default" w:ascii="宋体" w:hAnsi="宋体" w:eastAsia="宋体" w:cs="宋体"/>
          <w:b/>
          <w:bCs/>
          <w:color w:val="000000"/>
          <w:kern w:val="0"/>
          <w:sz w:val="28"/>
          <w:szCs w:val="28"/>
          <w:lang w:val="en-US" w:eastAsia="zh-CN"/>
        </w:rPr>
        <w:t>7</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风险管理</w:t>
      </w:r>
      <w:bookmarkEnd w:id="41"/>
    </w:p>
    <w:p w14:paraId="523F8BE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42" w:name="_Toc6462"/>
      <w:r>
        <w:rPr>
          <w:rFonts w:hint="default" w:ascii="宋体" w:hAnsi="宋体" w:eastAsia="宋体" w:cs="宋体"/>
          <w:b/>
          <w:bCs/>
          <w:color w:val="000000"/>
          <w:kern w:val="0"/>
          <w:sz w:val="24"/>
          <w:szCs w:val="24"/>
        </w:rPr>
        <w:t>7.1 风险识别</w:t>
      </w:r>
      <w:bookmarkEnd w:id="42"/>
      <w:bookmarkStart w:id="43" w:name="_Toc26190"/>
    </w:p>
    <w:p w14:paraId="1536B94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为保障项目在8周的紧凑周期内顺利实现高质量交付，项目组在启动阶段进行了全方位的风险识别工作。</w:t>
      </w:r>
    </w:p>
    <w:p w14:paraId="76A4D33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在技术风险方面，由于团队首次在满足等保三级标准的政务云信创底座上进行全栈开发，存在潜在的环境配置兼容性盲区；同时，本项目大规模引入Codex、GitHub Copilot等智能体编程工具，极易产生非标准化的冗余代码或携带有未授权开源协议的安全隐患代码。</w:t>
      </w:r>
    </w:p>
    <w:p w14:paraId="67ABA0C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在进度风险方面，省、市、企三级业务流转逻辑繁杂，若在开发中途遇到上级主管部门（指导教师）对业务统计维度的突发调整，一旦未能严格把控变更边界，极易引发范围蔓延与返工延期。</w:t>
      </w:r>
    </w:p>
    <w:p w14:paraId="72DC272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在人员风险方面，11人跨职能团队在协作过程中，可能因部分成员课业冲突导致实际研发工时投入不足，或因个别开发人员对智能体提示词掌握不熟练而导致代码产出不达标。</w:t>
      </w:r>
    </w:p>
    <w:p w14:paraId="656E40E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在外部依赖风险方面，系统最终需与国家部级失业监测系统进行接口对接，该对接缺乏真实的联调测试环境；</w:t>
      </w:r>
    </w:p>
    <w:p w14:paraId="35BA24A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此外，团队集资购买的共享智能体账号也存在因网络波动或跨端登录限制而导致服务中断的外部隐患。</w:t>
      </w:r>
    </w:p>
    <w:p w14:paraId="52D4BC0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highlight w:val="yellow"/>
        </w:rPr>
      </w:pPr>
      <w:r>
        <w:rPr>
          <w:rFonts w:hint="default" w:ascii="宋体" w:hAnsi="宋体" w:eastAsia="宋体" w:cs="宋体"/>
          <w:b/>
          <w:bCs/>
          <w:color w:val="000000"/>
          <w:kern w:val="0"/>
          <w:sz w:val="24"/>
          <w:szCs w:val="24"/>
          <w:highlight w:val="yellow"/>
        </w:rPr>
        <w:t>7.2 风险分析</w:t>
      </w:r>
      <w:bookmarkEnd w:id="43"/>
    </w:p>
    <w:p w14:paraId="4A848F2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在完成风险识别后，项目经理王皓翔组织核心成员采用概率-影响矩阵对各项风险进行了严密的定性分析，以科学排定风险应对的优先级。</w:t>
      </w:r>
    </w:p>
    <w:p w14:paraId="6BC268E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经过评估，智能体生成代码的安全合规风险与需求变更失控导致的进度延期风险，因其发生概率较高且一旦爆发将直接导致项目无法通过期末验收或系统崩溃，被明确判定为处于矩阵红区的高概率-高影响类核心风险，必须配置最高级别的监控资源。</w:t>
      </w:r>
    </w:p>
    <w:p w14:paraId="1A3BBDB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国产化信创底座的适配阻碍与外部国家级接口联调不畅，虽然发生概率适中，但会对系统的最终集成产生毁灭性阻碍，被划归为中概率-高影响的次级核心风险。</w:t>
      </w:r>
    </w:p>
    <w:p w14:paraId="6FC46AA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此外，共享智能体账号的偶发性掉线以及团队成员短期的时间协调冲突，虽然发生概率较高，但因其只对局部开发效率产生短暂影响，被判定为高概率-低影响的黄区风险。</w:t>
      </w:r>
    </w:p>
    <w:p w14:paraId="135C4CAB">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项目组将主要管理精力集中倾斜于矩阵红区与黄区边界以上的风险事件，确保关键路径不受威胁。</w:t>
      </w:r>
    </w:p>
    <w:p w14:paraId="2984C61A">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44" w:name="_Toc7367"/>
      <w:r>
        <w:rPr>
          <w:rFonts w:hint="default" w:ascii="宋体" w:hAnsi="宋体" w:eastAsia="宋体" w:cs="宋体"/>
          <w:b/>
          <w:bCs/>
          <w:color w:val="000000"/>
          <w:kern w:val="0"/>
          <w:sz w:val="24"/>
          <w:szCs w:val="24"/>
        </w:rPr>
        <w:t>7.3 风险应对计划</w:t>
      </w:r>
      <w:bookmarkEnd w:id="44"/>
    </w:p>
    <w:p w14:paraId="3151F53D">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针对上述风险矩阵的分析结果，项目组制定了包含规避、减轻、转移与接受在内的综合应对计划。</w:t>
      </w:r>
    </w:p>
    <w:p w14:paraId="3FDB80B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对于需求蔓延这一高危风险，项目组采取坚决的“规避”策略，严格执行配置管理与需求变更控制流程，任何既定基线外的功能修改都必须提交正式的变更申请单，并经由项目经理王皓翔与需求组长雷嘉瑞领衔的配置控制委员会签字审批后方可执行，从制度层面锁死范围蔓延。</w:t>
      </w:r>
    </w:p>
    <w:p w14:paraId="36235BB0">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对于技术兼容性与代码质量风险，团队采取“减轻”策略，由架构师吴文皓在项目第1周提前在政务云沙箱环境中完成核心技术栈的概念验证打通，同时要求QA专员张子敬增加对智能体生成代码的安全静态扫描频次与同行评审力度，及早暴露并修复漏洞。</w:t>
      </w:r>
    </w:p>
    <w:p w14:paraId="655A402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在“转移”策略方面，项目组将底层网络带宽稳定性的风险通过服务级别协议转移给政务云供应商，并通过同时储备多家不同厂商的备用智能体账号，来转移单一海外工具账号被封禁带来的断供风险。</w:t>
      </w:r>
    </w:p>
    <w:p w14:paraId="665BE34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最后，对于一些极低概率或影响甚微的浏览器UI错位等边缘风险，项目组采取主动“接受”策略，计划直接动用前期成本规划中预留的50,000元管理储备金或进度缓冲期来进行兜底修复，不干扰主线开发节奏。</w:t>
      </w:r>
    </w:p>
    <w:p w14:paraId="2F96DAF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45" w:name="_Toc28558"/>
      <w:r>
        <w:rPr>
          <w:rFonts w:hint="default" w:ascii="宋体" w:hAnsi="宋体" w:eastAsia="宋体" w:cs="宋体"/>
          <w:b/>
          <w:bCs/>
          <w:color w:val="000000"/>
          <w:kern w:val="0"/>
          <w:sz w:val="24"/>
          <w:szCs w:val="24"/>
        </w:rPr>
        <w:t>7.4 风险跟踪表</w:t>
      </w:r>
      <w:bookmarkEnd w:id="45"/>
    </w:p>
    <w:p w14:paraId="258B9DE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lang w:eastAsia="zh-CN"/>
        </w:rPr>
      </w:pPr>
      <w:r>
        <w:rPr>
          <w:rFonts w:hint="default" w:ascii="Times New Roman" w:hAnsi="Times New Roman" w:eastAsia="宋体" w:cs="宋体"/>
          <w:color w:val="000000"/>
          <w:kern w:val="0"/>
          <w:sz w:val="24"/>
          <w:szCs w:val="24"/>
        </w:rPr>
        <w:t>为确保项目风险得到持续、动态的监控与闭环管理，项目组建立并维护了风险跟踪表。该表在每周的例会与里程碑评审中进行滚动更新，记录风险的演化态势与应对执行情况。本项目核心风险跟踪记录如下</w:t>
      </w:r>
      <w:r>
        <w:rPr>
          <w:rFonts w:hint="eastAsia" w:ascii="Times New Roman" w:hAnsi="Times New Roman" w:eastAsia="宋体" w:cs="宋体"/>
          <w:color w:val="000000"/>
          <w:kern w:val="0"/>
          <w:sz w:val="24"/>
          <w:szCs w:val="24"/>
          <w:lang w:eastAsia="zh-CN"/>
        </w:rPr>
        <w:t>：</w:t>
      </w:r>
    </w:p>
    <w:p w14:paraId="0D919D6B">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center"/>
        <w:textAlignment w:val="auto"/>
        <w:rPr>
          <w:rFonts w:hint="default" w:ascii="Times New Roman" w:hAnsi="Times New Roman" w:eastAsia="宋体" w:cs="宋体"/>
          <w:color w:val="000000"/>
          <w:kern w:val="0"/>
          <w:sz w:val="24"/>
          <w:szCs w:val="24"/>
          <w:lang w:val="en-US" w:eastAsia="zh-CN"/>
        </w:rPr>
      </w:pPr>
      <w:r>
        <w:rPr>
          <w:rFonts w:hint="eastAsia" w:ascii="Times New Roman" w:hAnsi="Times New Roman" w:eastAsia="宋体" w:cs="宋体"/>
          <w:color w:val="000000"/>
          <w:kern w:val="0"/>
          <w:sz w:val="24"/>
          <w:szCs w:val="24"/>
          <w:lang w:val="en-US" w:eastAsia="zh-CN"/>
        </w:rPr>
        <w:t>表7.4-1</w:t>
      </w:r>
      <w:r>
        <w:rPr>
          <w:rFonts w:hint="default" w:ascii="Times New Roman" w:hAnsi="Times New Roman" w:eastAsia="宋体" w:cs="宋体"/>
          <w:color w:val="000000"/>
          <w:kern w:val="0"/>
          <w:sz w:val="24"/>
          <w:szCs w:val="24"/>
        </w:rPr>
        <w:t>风险跟踪表</w:t>
      </w:r>
    </w:p>
    <w:tbl>
      <w:tblPr>
        <w:tblW w:w="8910"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723"/>
        <w:gridCol w:w="805"/>
        <w:gridCol w:w="2076"/>
        <w:gridCol w:w="543"/>
        <w:gridCol w:w="701"/>
        <w:gridCol w:w="712"/>
        <w:gridCol w:w="1696"/>
        <w:gridCol w:w="956"/>
        <w:gridCol w:w="698"/>
      </w:tblGrid>
      <w:tr w14:paraId="047DB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5" w:hRule="atLeast"/>
        </w:trPr>
        <w:tc>
          <w:tcPr>
            <w:tcW w:w="723" w:type="dxa"/>
            <w:tcBorders>
              <w:top w:val="single" w:color="000000" w:sz="8" w:space="0"/>
              <w:left w:val="single" w:color="000000" w:sz="8" w:space="0"/>
              <w:bottom w:val="single" w:color="000000" w:sz="8" w:space="0"/>
              <w:right w:val="single" w:color="000000" w:sz="8" w:space="0"/>
            </w:tcBorders>
            <w:shd w:val="clear" w:color="auto" w:fill="F0F0F0"/>
            <w:vAlign w:val="center"/>
          </w:tcPr>
          <w:p w14:paraId="75B54144">
            <w:pPr>
              <w:keepNext w:val="0"/>
              <w:keepLines w:val="0"/>
              <w:widowControl/>
              <w:suppressLineNumbers w:val="0"/>
              <w:jc w:val="center"/>
              <w:textAlignment w:val="center"/>
              <w:rPr>
                <w:rFonts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风险编号</w:t>
            </w:r>
          </w:p>
        </w:tc>
        <w:tc>
          <w:tcPr>
            <w:tcW w:w="805" w:type="dxa"/>
            <w:tcBorders>
              <w:top w:val="single" w:color="000000" w:sz="8" w:space="0"/>
              <w:left w:val="nil"/>
              <w:bottom w:val="single" w:color="000000" w:sz="8" w:space="0"/>
              <w:right w:val="single" w:color="000000" w:sz="8" w:space="0"/>
            </w:tcBorders>
            <w:shd w:val="clear" w:color="auto" w:fill="F0F0F0"/>
            <w:vAlign w:val="center"/>
          </w:tcPr>
          <w:p w14:paraId="20EE1BCB">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风险类别</w:t>
            </w:r>
          </w:p>
        </w:tc>
        <w:tc>
          <w:tcPr>
            <w:tcW w:w="2076" w:type="dxa"/>
            <w:tcBorders>
              <w:top w:val="single" w:color="000000" w:sz="8" w:space="0"/>
              <w:left w:val="single" w:color="000000" w:sz="8" w:space="0"/>
              <w:bottom w:val="single" w:color="000000" w:sz="8" w:space="0"/>
              <w:right w:val="single" w:color="000000" w:sz="8" w:space="0"/>
            </w:tcBorders>
            <w:shd w:val="clear" w:color="auto" w:fill="F0F0F0"/>
            <w:vAlign w:val="center"/>
          </w:tcPr>
          <w:p w14:paraId="2EC63198">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风险描述</w:t>
            </w:r>
          </w:p>
        </w:tc>
        <w:tc>
          <w:tcPr>
            <w:tcW w:w="543" w:type="dxa"/>
            <w:tcBorders>
              <w:top w:val="single" w:color="000000" w:sz="8" w:space="0"/>
              <w:left w:val="nil"/>
              <w:bottom w:val="single" w:color="000000" w:sz="8" w:space="0"/>
              <w:right w:val="single" w:color="000000" w:sz="8" w:space="0"/>
            </w:tcBorders>
            <w:shd w:val="clear" w:color="auto" w:fill="F0F0F0"/>
            <w:vAlign w:val="center"/>
          </w:tcPr>
          <w:p w14:paraId="670B513A">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概率</w:t>
            </w:r>
          </w:p>
        </w:tc>
        <w:tc>
          <w:tcPr>
            <w:tcW w:w="701" w:type="dxa"/>
            <w:tcBorders>
              <w:top w:val="single" w:color="000000" w:sz="8" w:space="0"/>
              <w:left w:val="single" w:color="000000" w:sz="8" w:space="0"/>
              <w:bottom w:val="single" w:color="000000" w:sz="8" w:space="0"/>
              <w:right w:val="single" w:color="000000" w:sz="8" w:space="0"/>
            </w:tcBorders>
            <w:shd w:val="clear" w:color="auto" w:fill="F0F0F0"/>
            <w:vAlign w:val="center"/>
          </w:tcPr>
          <w:p w14:paraId="0FD9D25F">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影响</w:t>
            </w:r>
          </w:p>
        </w:tc>
        <w:tc>
          <w:tcPr>
            <w:tcW w:w="712" w:type="dxa"/>
            <w:tcBorders>
              <w:top w:val="single" w:color="000000" w:sz="8" w:space="0"/>
              <w:left w:val="nil"/>
              <w:bottom w:val="single" w:color="000000" w:sz="8" w:space="0"/>
              <w:right w:val="single" w:color="000000" w:sz="8" w:space="0"/>
            </w:tcBorders>
            <w:shd w:val="clear" w:color="auto" w:fill="F0F0F0"/>
            <w:vAlign w:val="center"/>
          </w:tcPr>
          <w:p w14:paraId="24BF4EBC">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风险等级</w:t>
            </w:r>
          </w:p>
        </w:tc>
        <w:tc>
          <w:tcPr>
            <w:tcW w:w="1696" w:type="dxa"/>
            <w:tcBorders>
              <w:top w:val="single" w:color="000000" w:sz="8" w:space="0"/>
              <w:left w:val="single" w:color="000000" w:sz="8" w:space="0"/>
              <w:bottom w:val="single" w:color="000000" w:sz="8" w:space="0"/>
              <w:right w:val="single" w:color="000000" w:sz="8" w:space="0"/>
            </w:tcBorders>
            <w:shd w:val="clear" w:color="auto" w:fill="F0F0F0"/>
            <w:vAlign w:val="center"/>
          </w:tcPr>
          <w:p w14:paraId="71CD6749">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应对策略计划</w:t>
            </w:r>
          </w:p>
        </w:tc>
        <w:tc>
          <w:tcPr>
            <w:tcW w:w="956" w:type="dxa"/>
            <w:tcBorders>
              <w:top w:val="single" w:color="000000" w:sz="8" w:space="0"/>
              <w:left w:val="nil"/>
              <w:bottom w:val="single" w:color="000000" w:sz="8" w:space="0"/>
              <w:right w:val="single" w:color="000000" w:sz="8" w:space="0"/>
            </w:tcBorders>
            <w:shd w:val="clear" w:color="auto" w:fill="F0F0F0"/>
            <w:vAlign w:val="center"/>
          </w:tcPr>
          <w:p w14:paraId="7D9FF808">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责任人</w:t>
            </w:r>
          </w:p>
        </w:tc>
        <w:tc>
          <w:tcPr>
            <w:tcW w:w="698" w:type="dxa"/>
            <w:tcBorders>
              <w:top w:val="single" w:color="000000" w:sz="8" w:space="0"/>
              <w:left w:val="single" w:color="000000" w:sz="8" w:space="0"/>
              <w:bottom w:val="single" w:color="000000" w:sz="8" w:space="0"/>
              <w:right w:val="single" w:color="000000" w:sz="8" w:space="0"/>
            </w:tcBorders>
            <w:shd w:val="clear" w:color="auto" w:fill="F0F0F0"/>
            <w:vAlign w:val="center"/>
          </w:tcPr>
          <w:p w14:paraId="70A4966E">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当前状态</w:t>
            </w:r>
          </w:p>
        </w:tc>
      </w:tr>
      <w:tr w14:paraId="7AC486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282" w:hRule="atLeast"/>
        </w:trPr>
        <w:tc>
          <w:tcPr>
            <w:tcW w:w="723" w:type="dxa"/>
            <w:tcBorders>
              <w:top w:val="nil"/>
              <w:left w:val="single" w:color="000000" w:sz="8" w:space="0"/>
              <w:bottom w:val="single" w:color="000000" w:sz="8" w:space="0"/>
              <w:right w:val="single" w:color="000000" w:sz="8" w:space="0"/>
            </w:tcBorders>
            <w:shd w:val="clear"/>
            <w:vAlign w:val="center"/>
          </w:tcPr>
          <w:p w14:paraId="7F0D9292">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R-01</w:t>
            </w:r>
          </w:p>
        </w:tc>
        <w:tc>
          <w:tcPr>
            <w:tcW w:w="805" w:type="dxa"/>
            <w:tcBorders>
              <w:top w:val="nil"/>
              <w:left w:val="single" w:color="000000" w:sz="8" w:space="0"/>
              <w:bottom w:val="single" w:color="000000" w:sz="8" w:space="0"/>
              <w:right w:val="single" w:color="000000" w:sz="8" w:space="0"/>
            </w:tcBorders>
            <w:shd w:val="clear"/>
            <w:vAlign w:val="center"/>
          </w:tcPr>
          <w:p w14:paraId="2369697B">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技术风险</w:t>
            </w:r>
          </w:p>
        </w:tc>
        <w:tc>
          <w:tcPr>
            <w:tcW w:w="2076" w:type="dxa"/>
            <w:tcBorders>
              <w:top w:val="nil"/>
              <w:left w:val="nil"/>
              <w:bottom w:val="single" w:color="000000" w:sz="8" w:space="0"/>
              <w:right w:val="single" w:color="000000" w:sz="8" w:space="0"/>
            </w:tcBorders>
            <w:shd w:val="clear"/>
            <w:vAlign w:val="center"/>
          </w:tcPr>
          <w:p w14:paraId="0580C643">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智能体生成的代码存在安全漏洞或不符合政务系统等保三级规范。</w:t>
            </w:r>
          </w:p>
        </w:tc>
        <w:tc>
          <w:tcPr>
            <w:tcW w:w="543" w:type="dxa"/>
            <w:tcBorders>
              <w:top w:val="nil"/>
              <w:left w:val="single" w:color="000000" w:sz="8" w:space="0"/>
              <w:bottom w:val="single" w:color="000000" w:sz="8" w:space="0"/>
              <w:right w:val="single" w:color="000000" w:sz="8" w:space="0"/>
            </w:tcBorders>
            <w:shd w:val="clear"/>
            <w:vAlign w:val="center"/>
          </w:tcPr>
          <w:p w14:paraId="39CB3EE6">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高</w:t>
            </w:r>
          </w:p>
        </w:tc>
        <w:tc>
          <w:tcPr>
            <w:tcW w:w="701" w:type="dxa"/>
            <w:tcBorders>
              <w:top w:val="nil"/>
              <w:left w:val="single" w:color="000000" w:sz="8" w:space="0"/>
              <w:bottom w:val="single" w:color="000000" w:sz="8" w:space="0"/>
              <w:right w:val="single" w:color="000000" w:sz="8" w:space="0"/>
            </w:tcBorders>
            <w:shd w:val="clear"/>
            <w:vAlign w:val="center"/>
          </w:tcPr>
          <w:p w14:paraId="1FC3C47F">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高</w:t>
            </w:r>
          </w:p>
        </w:tc>
        <w:tc>
          <w:tcPr>
            <w:tcW w:w="712" w:type="dxa"/>
            <w:tcBorders>
              <w:top w:val="nil"/>
              <w:left w:val="nil"/>
              <w:bottom w:val="single" w:color="000000" w:sz="8" w:space="0"/>
              <w:right w:val="single" w:color="000000" w:sz="8" w:space="0"/>
            </w:tcBorders>
            <w:shd w:val="clear"/>
            <w:vAlign w:val="center"/>
          </w:tcPr>
          <w:p w14:paraId="436C17EF">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严重</w:t>
            </w:r>
          </w:p>
        </w:tc>
        <w:tc>
          <w:tcPr>
            <w:tcW w:w="1696" w:type="dxa"/>
            <w:tcBorders>
              <w:top w:val="nil"/>
              <w:left w:val="single" w:color="000000" w:sz="8" w:space="0"/>
              <w:bottom w:val="single" w:color="000000" w:sz="8" w:space="0"/>
              <w:right w:val="single" w:color="000000" w:sz="8" w:space="0"/>
            </w:tcBorders>
            <w:shd w:val="clear"/>
            <w:vAlign w:val="center"/>
          </w:tcPr>
          <w:p w14:paraId="75271C17">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减轻：加强代码走查，QA使用代码分析工具进行扫描。</w:t>
            </w:r>
          </w:p>
        </w:tc>
        <w:tc>
          <w:tcPr>
            <w:tcW w:w="956" w:type="dxa"/>
            <w:tcBorders>
              <w:top w:val="nil"/>
              <w:left w:val="single" w:color="000000" w:sz="8" w:space="0"/>
              <w:bottom w:val="single" w:color="000000" w:sz="8" w:space="0"/>
              <w:right w:val="single" w:color="000000" w:sz="8" w:space="0"/>
            </w:tcBorders>
            <w:shd w:val="clear"/>
            <w:vAlign w:val="center"/>
          </w:tcPr>
          <w:p w14:paraId="3CFC4F4E">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张子敬</w:t>
            </w:r>
          </w:p>
        </w:tc>
        <w:tc>
          <w:tcPr>
            <w:tcW w:w="698" w:type="dxa"/>
            <w:tcBorders>
              <w:top w:val="nil"/>
              <w:left w:val="nil"/>
              <w:bottom w:val="single" w:color="000000" w:sz="8" w:space="0"/>
              <w:right w:val="single" w:color="000000" w:sz="8" w:space="0"/>
            </w:tcBorders>
            <w:shd w:val="clear" w:color="auto" w:fill="auto"/>
            <w:vAlign w:val="center"/>
          </w:tcPr>
          <w:p w14:paraId="2A22A223">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监控中</w:t>
            </w:r>
          </w:p>
        </w:tc>
      </w:tr>
      <w:tr w14:paraId="1EE94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409" w:hRule="atLeast"/>
        </w:trPr>
        <w:tc>
          <w:tcPr>
            <w:tcW w:w="723" w:type="dxa"/>
            <w:tcBorders>
              <w:top w:val="nil"/>
              <w:left w:val="single" w:color="000000" w:sz="8" w:space="0"/>
              <w:bottom w:val="single" w:color="000000" w:sz="8" w:space="0"/>
              <w:right w:val="single" w:color="000000" w:sz="8" w:space="0"/>
            </w:tcBorders>
            <w:shd w:val="clear"/>
            <w:vAlign w:val="center"/>
          </w:tcPr>
          <w:p w14:paraId="2B73960E">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R-02</w:t>
            </w:r>
          </w:p>
        </w:tc>
        <w:tc>
          <w:tcPr>
            <w:tcW w:w="805" w:type="dxa"/>
            <w:tcBorders>
              <w:top w:val="nil"/>
              <w:left w:val="single" w:color="000000" w:sz="8" w:space="0"/>
              <w:bottom w:val="single" w:color="000000" w:sz="8" w:space="0"/>
              <w:right w:val="single" w:color="000000" w:sz="8" w:space="0"/>
            </w:tcBorders>
            <w:shd w:val="clear"/>
            <w:vAlign w:val="center"/>
          </w:tcPr>
          <w:p w14:paraId="6C171800">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范围风险</w:t>
            </w:r>
          </w:p>
        </w:tc>
        <w:tc>
          <w:tcPr>
            <w:tcW w:w="2076" w:type="dxa"/>
            <w:tcBorders>
              <w:top w:val="nil"/>
              <w:left w:val="nil"/>
              <w:bottom w:val="single" w:color="000000" w:sz="8" w:space="0"/>
              <w:right w:val="single" w:color="000000" w:sz="8" w:space="0"/>
            </w:tcBorders>
            <w:shd w:val="clear"/>
            <w:vAlign w:val="center"/>
          </w:tcPr>
          <w:p w14:paraId="4B0E19BB">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业务规则复杂，开发期间甲方或指导老师提出统计维度调整，导致范围蔓延。</w:t>
            </w:r>
          </w:p>
        </w:tc>
        <w:tc>
          <w:tcPr>
            <w:tcW w:w="543" w:type="dxa"/>
            <w:tcBorders>
              <w:top w:val="nil"/>
              <w:left w:val="single" w:color="000000" w:sz="8" w:space="0"/>
              <w:bottom w:val="single" w:color="000000" w:sz="8" w:space="0"/>
              <w:right w:val="single" w:color="000000" w:sz="8" w:space="0"/>
            </w:tcBorders>
            <w:shd w:val="clear"/>
            <w:vAlign w:val="center"/>
          </w:tcPr>
          <w:p w14:paraId="085592B4">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高</w:t>
            </w:r>
          </w:p>
        </w:tc>
        <w:tc>
          <w:tcPr>
            <w:tcW w:w="701" w:type="dxa"/>
            <w:tcBorders>
              <w:top w:val="nil"/>
              <w:left w:val="single" w:color="000000" w:sz="8" w:space="0"/>
              <w:bottom w:val="single" w:color="000000" w:sz="8" w:space="0"/>
              <w:right w:val="single" w:color="000000" w:sz="8" w:space="0"/>
            </w:tcBorders>
            <w:shd w:val="clear"/>
            <w:vAlign w:val="center"/>
          </w:tcPr>
          <w:p w14:paraId="01DCB6C9">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高</w:t>
            </w:r>
          </w:p>
        </w:tc>
        <w:tc>
          <w:tcPr>
            <w:tcW w:w="712" w:type="dxa"/>
            <w:tcBorders>
              <w:top w:val="nil"/>
              <w:left w:val="nil"/>
              <w:bottom w:val="single" w:color="000000" w:sz="8" w:space="0"/>
              <w:right w:val="single" w:color="000000" w:sz="8" w:space="0"/>
            </w:tcBorders>
            <w:shd w:val="clear"/>
            <w:vAlign w:val="center"/>
          </w:tcPr>
          <w:p w14:paraId="331BFE4D">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严重</w:t>
            </w:r>
          </w:p>
        </w:tc>
        <w:tc>
          <w:tcPr>
            <w:tcW w:w="1696" w:type="dxa"/>
            <w:tcBorders>
              <w:top w:val="nil"/>
              <w:left w:val="single" w:color="000000" w:sz="8" w:space="0"/>
              <w:bottom w:val="single" w:color="000000" w:sz="8" w:space="0"/>
              <w:right w:val="single" w:color="000000" w:sz="8" w:space="0"/>
            </w:tcBorders>
            <w:shd w:val="clear"/>
            <w:vAlign w:val="center"/>
          </w:tcPr>
          <w:p w14:paraId="28753B5C">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规避：严格执行变更控制，任何基线外需求必须提交变更单并审批。</w:t>
            </w:r>
          </w:p>
        </w:tc>
        <w:tc>
          <w:tcPr>
            <w:tcW w:w="956" w:type="dxa"/>
            <w:tcBorders>
              <w:top w:val="nil"/>
              <w:left w:val="single" w:color="000000" w:sz="8" w:space="0"/>
              <w:bottom w:val="single" w:color="000000" w:sz="8" w:space="0"/>
              <w:right w:val="single" w:color="000000" w:sz="8" w:space="0"/>
            </w:tcBorders>
            <w:shd w:val="clear"/>
            <w:vAlign w:val="center"/>
          </w:tcPr>
          <w:p w14:paraId="11535E9F">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王皓翔</w:t>
            </w:r>
          </w:p>
        </w:tc>
        <w:tc>
          <w:tcPr>
            <w:tcW w:w="698" w:type="dxa"/>
            <w:tcBorders>
              <w:top w:val="nil"/>
              <w:left w:val="nil"/>
              <w:bottom w:val="single" w:color="000000" w:sz="8" w:space="0"/>
              <w:right w:val="single" w:color="000000" w:sz="8" w:space="0"/>
            </w:tcBorders>
            <w:shd w:val="clear"/>
            <w:vAlign w:val="center"/>
          </w:tcPr>
          <w:p w14:paraId="47F822C8">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监控中</w:t>
            </w:r>
          </w:p>
        </w:tc>
      </w:tr>
      <w:tr w14:paraId="2D2C9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167" w:hRule="atLeast"/>
        </w:trPr>
        <w:tc>
          <w:tcPr>
            <w:tcW w:w="723" w:type="dxa"/>
            <w:tcBorders>
              <w:top w:val="nil"/>
              <w:left w:val="single" w:color="000000" w:sz="8" w:space="0"/>
              <w:bottom w:val="single" w:color="000000" w:sz="8" w:space="0"/>
              <w:right w:val="single" w:color="000000" w:sz="8" w:space="0"/>
            </w:tcBorders>
            <w:shd w:val="clear"/>
            <w:vAlign w:val="center"/>
          </w:tcPr>
          <w:p w14:paraId="37539547">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R-03</w:t>
            </w:r>
          </w:p>
        </w:tc>
        <w:tc>
          <w:tcPr>
            <w:tcW w:w="805" w:type="dxa"/>
            <w:tcBorders>
              <w:top w:val="nil"/>
              <w:left w:val="nil"/>
              <w:bottom w:val="single" w:color="000000" w:sz="8" w:space="0"/>
              <w:right w:val="single" w:color="000000" w:sz="8" w:space="0"/>
            </w:tcBorders>
            <w:shd w:val="clear"/>
            <w:vAlign w:val="center"/>
          </w:tcPr>
          <w:p w14:paraId="1060FE4A">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技术风险</w:t>
            </w:r>
          </w:p>
        </w:tc>
        <w:tc>
          <w:tcPr>
            <w:tcW w:w="2076" w:type="dxa"/>
            <w:tcBorders>
              <w:top w:val="nil"/>
              <w:left w:val="single" w:color="000000" w:sz="8" w:space="0"/>
              <w:bottom w:val="single" w:color="000000" w:sz="8" w:space="0"/>
              <w:right w:val="single" w:color="000000" w:sz="8" w:space="0"/>
            </w:tcBorders>
            <w:shd w:val="clear"/>
            <w:vAlign w:val="center"/>
          </w:tcPr>
          <w:p w14:paraId="3E522B2D">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国产化信创底座适配出现兼容性阻碍。</w:t>
            </w:r>
          </w:p>
        </w:tc>
        <w:tc>
          <w:tcPr>
            <w:tcW w:w="543" w:type="dxa"/>
            <w:tcBorders>
              <w:top w:val="nil"/>
              <w:left w:val="nil"/>
              <w:bottom w:val="single" w:color="000000" w:sz="8" w:space="0"/>
              <w:right w:val="single" w:color="000000" w:sz="8" w:space="0"/>
            </w:tcBorders>
            <w:shd w:val="clear"/>
            <w:vAlign w:val="center"/>
          </w:tcPr>
          <w:p w14:paraId="70F836BC">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中</w:t>
            </w:r>
          </w:p>
        </w:tc>
        <w:tc>
          <w:tcPr>
            <w:tcW w:w="701" w:type="dxa"/>
            <w:tcBorders>
              <w:top w:val="nil"/>
              <w:left w:val="single" w:color="000000" w:sz="8" w:space="0"/>
              <w:bottom w:val="single" w:color="000000" w:sz="8" w:space="0"/>
              <w:right w:val="single" w:color="000000" w:sz="8" w:space="0"/>
            </w:tcBorders>
            <w:shd w:val="clear"/>
            <w:vAlign w:val="center"/>
          </w:tcPr>
          <w:p w14:paraId="1CCE6ABA">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高</w:t>
            </w:r>
          </w:p>
        </w:tc>
        <w:tc>
          <w:tcPr>
            <w:tcW w:w="712" w:type="dxa"/>
            <w:tcBorders>
              <w:top w:val="nil"/>
              <w:left w:val="nil"/>
              <w:bottom w:val="single" w:color="000000" w:sz="8" w:space="0"/>
              <w:right w:val="single" w:color="000000" w:sz="8" w:space="0"/>
            </w:tcBorders>
            <w:shd w:val="clear"/>
            <w:vAlign w:val="center"/>
          </w:tcPr>
          <w:p w14:paraId="484426E4">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高</w:t>
            </w:r>
          </w:p>
        </w:tc>
        <w:tc>
          <w:tcPr>
            <w:tcW w:w="1696" w:type="dxa"/>
            <w:tcBorders>
              <w:top w:val="nil"/>
              <w:left w:val="single" w:color="000000" w:sz="8" w:space="0"/>
              <w:bottom w:val="single" w:color="000000" w:sz="8" w:space="0"/>
              <w:right w:val="single" w:color="000000" w:sz="8" w:space="0"/>
            </w:tcBorders>
            <w:shd w:val="clear"/>
            <w:vAlign w:val="center"/>
          </w:tcPr>
          <w:p w14:paraId="335DC253">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减轻：在政务云沙箱环境完成核心技术栈的PoC打通。</w:t>
            </w:r>
          </w:p>
        </w:tc>
        <w:tc>
          <w:tcPr>
            <w:tcW w:w="956" w:type="dxa"/>
            <w:tcBorders>
              <w:top w:val="nil"/>
              <w:left w:val="nil"/>
              <w:bottom w:val="single" w:color="000000" w:sz="8" w:space="0"/>
              <w:right w:val="single" w:color="000000" w:sz="8" w:space="0"/>
            </w:tcBorders>
            <w:shd w:val="clear"/>
            <w:vAlign w:val="center"/>
          </w:tcPr>
          <w:p w14:paraId="4573EA45">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吴文皓</w:t>
            </w:r>
          </w:p>
        </w:tc>
        <w:tc>
          <w:tcPr>
            <w:tcW w:w="698" w:type="dxa"/>
            <w:tcBorders>
              <w:top w:val="nil"/>
              <w:left w:val="single" w:color="000000" w:sz="8" w:space="0"/>
              <w:bottom w:val="single" w:color="000000" w:sz="8" w:space="0"/>
              <w:right w:val="single" w:color="000000" w:sz="8" w:space="0"/>
            </w:tcBorders>
            <w:shd w:val="clear"/>
            <w:vAlign w:val="center"/>
          </w:tcPr>
          <w:p w14:paraId="6D709EBE">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监控中</w:t>
            </w:r>
          </w:p>
        </w:tc>
      </w:tr>
      <w:tr w14:paraId="430CC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189" w:hRule="atLeast"/>
        </w:trPr>
        <w:tc>
          <w:tcPr>
            <w:tcW w:w="723" w:type="dxa"/>
            <w:tcBorders>
              <w:top w:val="nil"/>
              <w:left w:val="single" w:color="000000" w:sz="8" w:space="0"/>
              <w:bottom w:val="single" w:color="000000" w:sz="8" w:space="0"/>
              <w:right w:val="single" w:color="000000" w:sz="8" w:space="0"/>
            </w:tcBorders>
            <w:shd w:val="clear"/>
            <w:vAlign w:val="center"/>
          </w:tcPr>
          <w:p w14:paraId="1B210138">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R-04</w:t>
            </w:r>
          </w:p>
        </w:tc>
        <w:tc>
          <w:tcPr>
            <w:tcW w:w="805" w:type="dxa"/>
            <w:tcBorders>
              <w:top w:val="nil"/>
              <w:left w:val="nil"/>
              <w:bottom w:val="single" w:color="000000" w:sz="8" w:space="0"/>
              <w:right w:val="single" w:color="000000" w:sz="8" w:space="0"/>
            </w:tcBorders>
            <w:shd w:val="clear"/>
            <w:vAlign w:val="center"/>
          </w:tcPr>
          <w:p w14:paraId="1AD406FD">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外部依赖</w:t>
            </w:r>
          </w:p>
        </w:tc>
        <w:tc>
          <w:tcPr>
            <w:tcW w:w="2076" w:type="dxa"/>
            <w:tcBorders>
              <w:top w:val="nil"/>
              <w:left w:val="single" w:color="000000" w:sz="8" w:space="0"/>
              <w:bottom w:val="single" w:color="000000" w:sz="8" w:space="0"/>
              <w:right w:val="single" w:color="000000" w:sz="8" w:space="0"/>
            </w:tcBorders>
            <w:shd w:val="clear"/>
            <w:vAlign w:val="center"/>
          </w:tcPr>
          <w:p w14:paraId="51A89E67">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缺乏国家部级失业监测系统真实测试环境，导致接口联调阻滞。</w:t>
            </w:r>
          </w:p>
        </w:tc>
        <w:tc>
          <w:tcPr>
            <w:tcW w:w="543" w:type="dxa"/>
            <w:tcBorders>
              <w:top w:val="nil"/>
              <w:left w:val="nil"/>
              <w:bottom w:val="single" w:color="000000" w:sz="8" w:space="0"/>
              <w:right w:val="single" w:color="000000" w:sz="8" w:space="0"/>
            </w:tcBorders>
            <w:shd w:val="clear"/>
            <w:vAlign w:val="center"/>
          </w:tcPr>
          <w:p w14:paraId="383CE643">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中</w:t>
            </w:r>
          </w:p>
        </w:tc>
        <w:tc>
          <w:tcPr>
            <w:tcW w:w="701" w:type="dxa"/>
            <w:tcBorders>
              <w:top w:val="nil"/>
              <w:left w:val="single" w:color="000000" w:sz="8" w:space="0"/>
              <w:bottom w:val="single" w:color="000000" w:sz="8" w:space="0"/>
              <w:right w:val="single" w:color="000000" w:sz="8" w:space="0"/>
            </w:tcBorders>
            <w:shd w:val="clear"/>
            <w:vAlign w:val="center"/>
          </w:tcPr>
          <w:p w14:paraId="3D85B03F">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高</w:t>
            </w:r>
          </w:p>
        </w:tc>
        <w:tc>
          <w:tcPr>
            <w:tcW w:w="712" w:type="dxa"/>
            <w:tcBorders>
              <w:top w:val="nil"/>
              <w:left w:val="nil"/>
              <w:bottom w:val="single" w:color="000000" w:sz="8" w:space="0"/>
              <w:right w:val="single" w:color="000000" w:sz="8" w:space="0"/>
            </w:tcBorders>
            <w:shd w:val="clear"/>
            <w:vAlign w:val="center"/>
          </w:tcPr>
          <w:p w14:paraId="63C59752">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高</w:t>
            </w:r>
          </w:p>
        </w:tc>
        <w:tc>
          <w:tcPr>
            <w:tcW w:w="1696" w:type="dxa"/>
            <w:tcBorders>
              <w:top w:val="nil"/>
              <w:left w:val="single" w:color="000000" w:sz="8" w:space="0"/>
              <w:bottom w:val="single" w:color="000000" w:sz="8" w:space="0"/>
              <w:right w:val="single" w:color="000000" w:sz="8" w:space="0"/>
            </w:tcBorders>
            <w:shd w:val="clear"/>
            <w:vAlign w:val="center"/>
          </w:tcPr>
          <w:p w14:paraId="484B25A6">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减轻：前期根据接口文档开发Mock</w:t>
            </w:r>
            <w:bookmarkStart w:id="68" w:name="_GoBack"/>
            <w:bookmarkEnd w:id="68"/>
            <w:r>
              <w:rPr>
                <w:rFonts w:hint="eastAsia" w:ascii="宋体" w:hAnsi="宋体" w:eastAsia="宋体" w:cs="宋体"/>
                <w:i w:val="0"/>
                <w:iCs w:val="0"/>
                <w:color w:val="000000"/>
                <w:kern w:val="0"/>
                <w:sz w:val="24"/>
                <w:szCs w:val="24"/>
                <w:u w:val="none"/>
                <w:lang w:val="en-US" w:eastAsia="zh-CN" w:bidi="ar"/>
              </w:rPr>
              <w:t>服务先行验证，预留缓冲期。</w:t>
            </w:r>
          </w:p>
        </w:tc>
        <w:tc>
          <w:tcPr>
            <w:tcW w:w="956" w:type="dxa"/>
            <w:tcBorders>
              <w:top w:val="nil"/>
              <w:left w:val="nil"/>
              <w:bottom w:val="single" w:color="000000" w:sz="8" w:space="0"/>
              <w:right w:val="single" w:color="000000" w:sz="8" w:space="0"/>
            </w:tcBorders>
            <w:shd w:val="clear"/>
            <w:vAlign w:val="center"/>
          </w:tcPr>
          <w:p w14:paraId="099F9C2A">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汪诗涵</w:t>
            </w:r>
          </w:p>
        </w:tc>
        <w:tc>
          <w:tcPr>
            <w:tcW w:w="698" w:type="dxa"/>
            <w:tcBorders>
              <w:top w:val="nil"/>
              <w:left w:val="single" w:color="000000" w:sz="8" w:space="0"/>
              <w:bottom w:val="single" w:color="000000" w:sz="8" w:space="0"/>
              <w:right w:val="single" w:color="000000" w:sz="8" w:space="0"/>
            </w:tcBorders>
            <w:shd w:val="clear"/>
            <w:vAlign w:val="center"/>
          </w:tcPr>
          <w:p w14:paraId="73FD47D1">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监控中</w:t>
            </w:r>
          </w:p>
        </w:tc>
      </w:tr>
      <w:tr w14:paraId="60FA3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67" w:hRule="atLeast"/>
        </w:trPr>
        <w:tc>
          <w:tcPr>
            <w:tcW w:w="723" w:type="dxa"/>
            <w:tcBorders>
              <w:top w:val="nil"/>
              <w:left w:val="single" w:color="000000" w:sz="8" w:space="0"/>
              <w:bottom w:val="single" w:color="000000" w:sz="8" w:space="0"/>
              <w:right w:val="single" w:color="000000" w:sz="8" w:space="0"/>
            </w:tcBorders>
            <w:shd w:val="clear"/>
            <w:vAlign w:val="center"/>
          </w:tcPr>
          <w:p w14:paraId="2E64E611">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R-05</w:t>
            </w:r>
          </w:p>
        </w:tc>
        <w:tc>
          <w:tcPr>
            <w:tcW w:w="805" w:type="dxa"/>
            <w:tcBorders>
              <w:top w:val="nil"/>
              <w:left w:val="nil"/>
              <w:bottom w:val="single" w:color="000000" w:sz="8" w:space="0"/>
              <w:right w:val="single" w:color="000000" w:sz="8" w:space="0"/>
            </w:tcBorders>
            <w:shd w:val="clear"/>
            <w:vAlign w:val="center"/>
          </w:tcPr>
          <w:p w14:paraId="0836CDFD">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外部依赖</w:t>
            </w:r>
          </w:p>
        </w:tc>
        <w:tc>
          <w:tcPr>
            <w:tcW w:w="2076" w:type="dxa"/>
            <w:tcBorders>
              <w:top w:val="nil"/>
              <w:left w:val="single" w:color="000000" w:sz="8" w:space="0"/>
              <w:bottom w:val="single" w:color="000000" w:sz="8" w:space="0"/>
              <w:right w:val="single" w:color="000000" w:sz="8" w:space="0"/>
            </w:tcBorders>
            <w:shd w:val="clear"/>
            <w:vAlign w:val="center"/>
          </w:tcPr>
          <w:p w14:paraId="10FA5DD5">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团队智能体账号因网络波动或跨端限制导致服务中断。</w:t>
            </w:r>
          </w:p>
        </w:tc>
        <w:tc>
          <w:tcPr>
            <w:tcW w:w="543" w:type="dxa"/>
            <w:tcBorders>
              <w:top w:val="nil"/>
              <w:left w:val="nil"/>
              <w:bottom w:val="single" w:color="000000" w:sz="8" w:space="0"/>
              <w:right w:val="single" w:color="000000" w:sz="8" w:space="0"/>
            </w:tcBorders>
            <w:shd w:val="clear"/>
            <w:vAlign w:val="center"/>
          </w:tcPr>
          <w:p w14:paraId="733C06DE">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高</w:t>
            </w:r>
          </w:p>
        </w:tc>
        <w:tc>
          <w:tcPr>
            <w:tcW w:w="701" w:type="dxa"/>
            <w:tcBorders>
              <w:top w:val="nil"/>
              <w:left w:val="single" w:color="000000" w:sz="8" w:space="0"/>
              <w:bottom w:val="single" w:color="000000" w:sz="8" w:space="0"/>
              <w:right w:val="single" w:color="000000" w:sz="8" w:space="0"/>
            </w:tcBorders>
            <w:shd w:val="clear"/>
            <w:vAlign w:val="center"/>
          </w:tcPr>
          <w:p w14:paraId="03AC483F">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低</w:t>
            </w:r>
          </w:p>
        </w:tc>
        <w:tc>
          <w:tcPr>
            <w:tcW w:w="712" w:type="dxa"/>
            <w:tcBorders>
              <w:top w:val="nil"/>
              <w:left w:val="nil"/>
              <w:bottom w:val="single" w:color="000000" w:sz="8" w:space="0"/>
              <w:right w:val="single" w:color="000000" w:sz="8" w:space="0"/>
            </w:tcBorders>
            <w:shd w:val="clear"/>
            <w:vAlign w:val="center"/>
          </w:tcPr>
          <w:p w14:paraId="0C5EB3E4">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中</w:t>
            </w:r>
          </w:p>
        </w:tc>
        <w:tc>
          <w:tcPr>
            <w:tcW w:w="1696" w:type="dxa"/>
            <w:tcBorders>
              <w:top w:val="nil"/>
              <w:left w:val="single" w:color="000000" w:sz="8" w:space="0"/>
              <w:bottom w:val="single" w:color="000000" w:sz="8" w:space="0"/>
              <w:right w:val="single" w:color="000000" w:sz="8" w:space="0"/>
            </w:tcBorders>
            <w:shd w:val="clear"/>
            <w:vAlign w:val="center"/>
          </w:tcPr>
          <w:p w14:paraId="5E90209B">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转移：储备多家不同厂商的免费或备用账号兜底。</w:t>
            </w:r>
          </w:p>
        </w:tc>
        <w:tc>
          <w:tcPr>
            <w:tcW w:w="956" w:type="dxa"/>
            <w:tcBorders>
              <w:top w:val="nil"/>
              <w:left w:val="nil"/>
              <w:bottom w:val="single" w:color="000000" w:sz="8" w:space="0"/>
              <w:right w:val="single" w:color="000000" w:sz="8" w:space="0"/>
            </w:tcBorders>
            <w:shd w:val="clear"/>
            <w:vAlign w:val="center"/>
          </w:tcPr>
          <w:p w14:paraId="0FCFC707">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胡瀚</w:t>
            </w:r>
          </w:p>
        </w:tc>
        <w:tc>
          <w:tcPr>
            <w:tcW w:w="698" w:type="dxa"/>
            <w:tcBorders>
              <w:top w:val="nil"/>
              <w:left w:val="single" w:color="000000" w:sz="8" w:space="0"/>
              <w:bottom w:val="single" w:color="000000" w:sz="8" w:space="0"/>
              <w:right w:val="single" w:color="000000" w:sz="8" w:space="0"/>
            </w:tcBorders>
            <w:shd w:val="clear"/>
            <w:vAlign w:val="center"/>
          </w:tcPr>
          <w:p w14:paraId="2F3B6924">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监控中</w:t>
            </w:r>
          </w:p>
        </w:tc>
      </w:tr>
      <w:tr w14:paraId="2A644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24" w:hRule="atLeast"/>
        </w:trPr>
        <w:tc>
          <w:tcPr>
            <w:tcW w:w="723" w:type="dxa"/>
            <w:tcBorders>
              <w:top w:val="nil"/>
              <w:left w:val="single" w:color="000000" w:sz="8" w:space="0"/>
              <w:bottom w:val="single" w:color="000000" w:sz="8" w:space="0"/>
              <w:right w:val="single" w:color="000000" w:sz="8" w:space="0"/>
            </w:tcBorders>
            <w:shd w:val="clear"/>
            <w:vAlign w:val="center"/>
          </w:tcPr>
          <w:p w14:paraId="72E39124">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R-06</w:t>
            </w:r>
          </w:p>
        </w:tc>
        <w:tc>
          <w:tcPr>
            <w:tcW w:w="805" w:type="dxa"/>
            <w:tcBorders>
              <w:top w:val="nil"/>
              <w:left w:val="nil"/>
              <w:bottom w:val="single" w:color="000000" w:sz="8" w:space="0"/>
              <w:right w:val="single" w:color="000000" w:sz="8" w:space="0"/>
            </w:tcBorders>
            <w:shd w:val="clear"/>
            <w:vAlign w:val="center"/>
          </w:tcPr>
          <w:p w14:paraId="33E9C923">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人员风险</w:t>
            </w:r>
          </w:p>
        </w:tc>
        <w:tc>
          <w:tcPr>
            <w:tcW w:w="2076" w:type="dxa"/>
            <w:tcBorders>
              <w:top w:val="nil"/>
              <w:left w:val="single" w:color="000000" w:sz="8" w:space="0"/>
              <w:bottom w:val="single" w:color="000000" w:sz="8" w:space="0"/>
              <w:right w:val="single" w:color="000000" w:sz="8" w:space="0"/>
            </w:tcBorders>
            <w:shd w:val="clear"/>
            <w:vAlign w:val="center"/>
          </w:tcPr>
          <w:p w14:paraId="302C2E27">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团队部分成员因课业冲突，无法保证约定研发工时，导致进度滞后。</w:t>
            </w:r>
          </w:p>
        </w:tc>
        <w:tc>
          <w:tcPr>
            <w:tcW w:w="543" w:type="dxa"/>
            <w:tcBorders>
              <w:top w:val="nil"/>
              <w:left w:val="nil"/>
              <w:bottom w:val="single" w:color="000000" w:sz="8" w:space="0"/>
              <w:right w:val="single" w:color="000000" w:sz="8" w:space="0"/>
            </w:tcBorders>
            <w:shd w:val="clear"/>
            <w:vAlign w:val="center"/>
          </w:tcPr>
          <w:p w14:paraId="5AC7CBBE">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高</w:t>
            </w:r>
          </w:p>
        </w:tc>
        <w:tc>
          <w:tcPr>
            <w:tcW w:w="701" w:type="dxa"/>
            <w:tcBorders>
              <w:top w:val="nil"/>
              <w:left w:val="single" w:color="000000" w:sz="8" w:space="0"/>
              <w:bottom w:val="single" w:color="000000" w:sz="8" w:space="0"/>
              <w:right w:val="single" w:color="000000" w:sz="8" w:space="0"/>
            </w:tcBorders>
            <w:shd w:val="clear"/>
            <w:vAlign w:val="center"/>
          </w:tcPr>
          <w:p w14:paraId="4485FCBD">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低</w:t>
            </w:r>
          </w:p>
        </w:tc>
        <w:tc>
          <w:tcPr>
            <w:tcW w:w="712" w:type="dxa"/>
            <w:tcBorders>
              <w:top w:val="nil"/>
              <w:left w:val="nil"/>
              <w:bottom w:val="single" w:color="000000" w:sz="8" w:space="0"/>
              <w:right w:val="single" w:color="000000" w:sz="8" w:space="0"/>
            </w:tcBorders>
            <w:shd w:val="clear"/>
            <w:vAlign w:val="center"/>
          </w:tcPr>
          <w:p w14:paraId="493FF133">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中</w:t>
            </w:r>
          </w:p>
        </w:tc>
        <w:tc>
          <w:tcPr>
            <w:tcW w:w="1696" w:type="dxa"/>
            <w:tcBorders>
              <w:top w:val="nil"/>
              <w:left w:val="single" w:color="000000" w:sz="8" w:space="0"/>
              <w:bottom w:val="single" w:color="000000" w:sz="8" w:space="0"/>
              <w:right w:val="single" w:color="000000" w:sz="8" w:space="0"/>
            </w:tcBorders>
            <w:shd w:val="clear"/>
            <w:vAlign w:val="center"/>
          </w:tcPr>
          <w:p w14:paraId="09DC18CE">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接受：合理安排任务并行度，动用预留的进度缓冲池时间赶工。</w:t>
            </w:r>
          </w:p>
        </w:tc>
        <w:tc>
          <w:tcPr>
            <w:tcW w:w="956" w:type="dxa"/>
            <w:tcBorders>
              <w:top w:val="nil"/>
              <w:left w:val="nil"/>
              <w:bottom w:val="single" w:color="000000" w:sz="8" w:space="0"/>
              <w:right w:val="single" w:color="000000" w:sz="8" w:space="0"/>
            </w:tcBorders>
            <w:shd w:val="clear"/>
            <w:vAlign w:val="center"/>
          </w:tcPr>
          <w:p w14:paraId="677B99A0">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雷嘉瑞</w:t>
            </w:r>
          </w:p>
        </w:tc>
        <w:tc>
          <w:tcPr>
            <w:tcW w:w="698" w:type="dxa"/>
            <w:tcBorders>
              <w:top w:val="nil"/>
              <w:left w:val="single" w:color="000000" w:sz="8" w:space="0"/>
              <w:bottom w:val="single" w:color="000000" w:sz="8" w:space="0"/>
              <w:right w:val="single" w:color="000000" w:sz="8" w:space="0"/>
            </w:tcBorders>
            <w:shd w:val="clear"/>
            <w:vAlign w:val="center"/>
          </w:tcPr>
          <w:p w14:paraId="08095E7E">
            <w:pPr>
              <w:keepNext w:val="0"/>
              <w:keepLines w:val="0"/>
              <w:widowControl/>
              <w:suppressLineNumbers w:val="0"/>
              <w:jc w:val="center"/>
              <w:textAlignment w:val="center"/>
              <w:rPr>
                <w:rFonts w:hint="eastAsia" w:ascii="宋体" w:hAnsi="宋体" w:eastAsia="宋体" w:cs="宋体"/>
                <w:i w:val="0"/>
                <w:iCs w:val="0"/>
                <w:color w:val="000000"/>
                <w:kern w:val="0"/>
                <w:sz w:val="24"/>
                <w:szCs w:val="24"/>
                <w:u w:val="none"/>
                <w:lang w:val="en-US" w:eastAsia="zh-CN" w:bidi="ar"/>
              </w:rPr>
            </w:pPr>
            <w:r>
              <w:rPr>
                <w:rFonts w:hint="eastAsia" w:ascii="宋体" w:hAnsi="宋体" w:eastAsia="宋体" w:cs="宋体"/>
                <w:i w:val="0"/>
                <w:iCs w:val="0"/>
                <w:color w:val="000000"/>
                <w:kern w:val="0"/>
                <w:sz w:val="24"/>
                <w:szCs w:val="24"/>
                <w:u w:val="none"/>
                <w:lang w:val="en-US" w:eastAsia="zh-CN" w:bidi="ar"/>
              </w:rPr>
              <w:t>监控中</w:t>
            </w:r>
          </w:p>
        </w:tc>
      </w:tr>
    </w:tbl>
    <w:p w14:paraId="44E9BA7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sans-serif" w:hAnsi="sans-serif" w:eastAsia="宋体" w:cs="sans-serif"/>
          <w:i w:val="0"/>
          <w:iCs w:val="0"/>
          <w:caps w:val="0"/>
          <w:color w:val="2B2D31"/>
          <w:spacing w:val="0"/>
          <w:sz w:val="14"/>
          <w:szCs w:val="14"/>
          <w:shd w:val="clear" w:fill="FFFFFF"/>
          <w:lang w:eastAsia="zh-CN"/>
        </w:rPr>
      </w:pPr>
    </w:p>
    <w:p w14:paraId="5183E622">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46" w:name="_Toc26386"/>
      <w:r>
        <w:rPr>
          <w:rFonts w:hint="default" w:ascii="宋体" w:hAnsi="宋体" w:eastAsia="宋体" w:cs="宋体"/>
          <w:b/>
          <w:bCs/>
          <w:color w:val="000000"/>
          <w:kern w:val="0"/>
          <w:sz w:val="28"/>
          <w:szCs w:val="28"/>
          <w:lang w:val="en-US" w:eastAsia="zh-CN"/>
        </w:rPr>
        <w:t>8</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沟通管理</w:t>
      </w:r>
      <w:bookmarkEnd w:id="46"/>
    </w:p>
    <w:p w14:paraId="6FA3E0C7">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47" w:name="_Toc31143"/>
      <w:r>
        <w:rPr>
          <w:rFonts w:hint="default" w:ascii="宋体" w:hAnsi="宋体" w:eastAsia="宋体" w:cs="宋体"/>
          <w:b/>
          <w:bCs/>
          <w:color w:val="000000"/>
          <w:kern w:val="0"/>
          <w:sz w:val="24"/>
          <w:szCs w:val="24"/>
        </w:rPr>
        <w:t>8.1 干系人识别</w:t>
      </w:r>
      <w:bookmarkEnd w:id="47"/>
    </w:p>
    <w:p w14:paraId="5B15E8B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48" w:name="_Toc15479"/>
      <w:r>
        <w:rPr>
          <w:rFonts w:hint="default" w:ascii="宋体" w:hAnsi="宋体" w:eastAsia="宋体" w:cs="宋体"/>
          <w:b/>
          <w:bCs/>
          <w:color w:val="000000"/>
          <w:kern w:val="0"/>
          <w:sz w:val="24"/>
          <w:szCs w:val="24"/>
        </w:rPr>
        <w:t>8.2 沟通方式与频率（每周例会、周报、里程碑评审）</w:t>
      </w:r>
      <w:bookmarkEnd w:id="48"/>
    </w:p>
    <w:p w14:paraId="04983E1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Times New Roman" w:hAnsi="Times New Roman" w:eastAsia="宋体" w:cs="宋体"/>
          <w:color w:val="000000"/>
          <w:kern w:val="0"/>
          <w:sz w:val="24"/>
          <w:szCs w:val="24"/>
        </w:rPr>
      </w:pPr>
      <w:bookmarkStart w:id="49" w:name="_Toc4751"/>
      <w:r>
        <w:rPr>
          <w:rFonts w:hint="default" w:ascii="宋体" w:hAnsi="宋体" w:eastAsia="宋体" w:cs="宋体"/>
          <w:b/>
          <w:bCs/>
          <w:color w:val="000000"/>
          <w:kern w:val="0"/>
          <w:sz w:val="24"/>
          <w:szCs w:val="24"/>
        </w:rPr>
        <w:t>8.3 文档管理（存储位置、命名规则）</w:t>
      </w:r>
      <w:bookmarkEnd w:id="49"/>
    </w:p>
    <w:p w14:paraId="29FEF7B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50" w:name="_Toc18978"/>
      <w:r>
        <w:rPr>
          <w:rFonts w:hint="default" w:ascii="宋体" w:hAnsi="宋体" w:eastAsia="宋体" w:cs="宋体"/>
          <w:b/>
          <w:bCs/>
          <w:color w:val="000000"/>
          <w:kern w:val="0"/>
          <w:sz w:val="28"/>
          <w:szCs w:val="28"/>
          <w:lang w:val="en-US" w:eastAsia="zh-CN"/>
        </w:rPr>
        <w:t>9</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配置管理</w:t>
      </w:r>
      <w:bookmarkEnd w:id="50"/>
    </w:p>
    <w:p w14:paraId="63DDA84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1" w:name="_Toc30086"/>
      <w:r>
        <w:rPr>
          <w:rFonts w:hint="default" w:ascii="宋体" w:hAnsi="宋体" w:eastAsia="宋体" w:cs="宋体"/>
          <w:b/>
          <w:bCs/>
          <w:color w:val="000000"/>
          <w:kern w:val="0"/>
          <w:sz w:val="24"/>
          <w:szCs w:val="24"/>
        </w:rPr>
        <w:t>9.1 配置项识别（需求文档、设计文档、代码、测试用例等）</w:t>
      </w:r>
      <w:bookmarkEnd w:id="51"/>
    </w:p>
    <w:p w14:paraId="2911FBF6">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2" w:name="_Toc15863"/>
      <w:r>
        <w:rPr>
          <w:rFonts w:hint="default" w:ascii="宋体" w:hAnsi="宋体" w:eastAsia="宋体" w:cs="宋体"/>
          <w:b/>
          <w:bCs/>
          <w:color w:val="000000"/>
          <w:kern w:val="0"/>
          <w:sz w:val="24"/>
          <w:szCs w:val="24"/>
        </w:rPr>
        <w:t>9.2 基线与变更控制</w:t>
      </w:r>
      <w:bookmarkEnd w:id="52"/>
    </w:p>
    <w:p w14:paraId="3F4FF19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3" w:name="_Toc506"/>
      <w:r>
        <w:rPr>
          <w:rFonts w:hint="default" w:ascii="宋体" w:hAnsi="宋体" w:eastAsia="宋体" w:cs="宋体"/>
          <w:b/>
          <w:bCs/>
          <w:color w:val="000000"/>
          <w:kern w:val="0"/>
          <w:sz w:val="24"/>
          <w:szCs w:val="24"/>
        </w:rPr>
        <w:t>功能基线、需求基线、产品基线</w:t>
      </w:r>
      <w:bookmarkEnd w:id="53"/>
    </w:p>
    <w:p w14:paraId="264E7DB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4" w:name="_Toc9818"/>
      <w:r>
        <w:rPr>
          <w:rFonts w:hint="default" w:ascii="宋体" w:hAnsi="宋体" w:eastAsia="宋体" w:cs="宋体"/>
          <w:b/>
          <w:bCs/>
          <w:color w:val="000000"/>
          <w:kern w:val="0"/>
          <w:sz w:val="24"/>
          <w:szCs w:val="24"/>
        </w:rPr>
        <w:t>SCCB（配置控制委员会）组成与职责</w:t>
      </w:r>
      <w:bookmarkEnd w:id="54"/>
    </w:p>
    <w:p w14:paraId="0A0679D7">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5" w:name="_Toc20141"/>
      <w:r>
        <w:rPr>
          <w:rFonts w:hint="default" w:ascii="宋体" w:hAnsi="宋体" w:eastAsia="宋体" w:cs="宋体"/>
          <w:b/>
          <w:bCs/>
          <w:color w:val="000000"/>
          <w:kern w:val="0"/>
          <w:sz w:val="24"/>
          <w:szCs w:val="24"/>
        </w:rPr>
        <w:t>9.3 变更控制流程</w:t>
      </w:r>
      <w:bookmarkEnd w:id="55"/>
    </w:p>
    <w:p w14:paraId="10EC760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6" w:name="_Toc8526"/>
      <w:r>
        <w:rPr>
          <w:rFonts w:hint="default" w:ascii="宋体" w:hAnsi="宋体" w:eastAsia="宋体" w:cs="宋体"/>
          <w:b/>
          <w:bCs/>
          <w:color w:val="000000"/>
          <w:kern w:val="0"/>
          <w:sz w:val="24"/>
          <w:szCs w:val="24"/>
        </w:rPr>
        <w:t>提交变更请求 → 影响分析 → SCCB评审 → 实施变更 → 验证 → 关闭</w:t>
      </w:r>
      <w:bookmarkEnd w:id="56"/>
    </w:p>
    <w:p w14:paraId="1119E77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7" w:name="_Toc25294"/>
      <w:r>
        <w:rPr>
          <w:rFonts w:hint="default" w:ascii="宋体" w:hAnsi="宋体" w:eastAsia="宋体" w:cs="宋体"/>
          <w:b/>
          <w:bCs/>
          <w:color w:val="000000"/>
          <w:kern w:val="0"/>
          <w:sz w:val="24"/>
          <w:szCs w:val="24"/>
        </w:rPr>
        <w:t>9.4 版本控制工具（Git/SVN，分支策略）</w:t>
      </w:r>
      <w:bookmarkEnd w:id="57"/>
    </w:p>
    <w:p w14:paraId="0ABBF5C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Times New Roman" w:hAnsi="Times New Roman" w:eastAsia="宋体" w:cs="宋体"/>
          <w:color w:val="000000"/>
          <w:kern w:val="0"/>
          <w:sz w:val="24"/>
          <w:szCs w:val="24"/>
        </w:rPr>
      </w:pPr>
      <w:bookmarkStart w:id="58" w:name="_Toc23954"/>
      <w:r>
        <w:rPr>
          <w:rFonts w:hint="default" w:ascii="宋体" w:hAnsi="宋体" w:eastAsia="宋体" w:cs="宋体"/>
          <w:b/>
          <w:bCs/>
          <w:color w:val="000000"/>
          <w:kern w:val="0"/>
          <w:sz w:val="24"/>
          <w:szCs w:val="24"/>
        </w:rPr>
        <w:t>9.5 配置状态报告与配置审计</w:t>
      </w:r>
      <w:bookmarkEnd w:id="58"/>
    </w:p>
    <w:p w14:paraId="42B41625">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59" w:name="_Toc11562"/>
      <w:r>
        <w:rPr>
          <w:rFonts w:hint="default" w:ascii="宋体" w:hAnsi="宋体" w:eastAsia="宋体" w:cs="宋体"/>
          <w:b/>
          <w:bCs/>
          <w:color w:val="000000"/>
          <w:kern w:val="0"/>
          <w:sz w:val="28"/>
          <w:szCs w:val="28"/>
          <w:lang w:val="en-US" w:eastAsia="zh-CN"/>
        </w:rPr>
        <w:t>10</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需求变更管理（可并入第9章或单独）</w:t>
      </w:r>
      <w:bookmarkEnd w:id="59"/>
    </w:p>
    <w:p w14:paraId="644E3EC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0" w:name="_Toc17828"/>
      <w:r>
        <w:rPr>
          <w:rFonts w:hint="default" w:ascii="宋体" w:hAnsi="宋体" w:eastAsia="宋体" w:cs="宋体"/>
          <w:b/>
          <w:bCs/>
          <w:color w:val="000000"/>
          <w:kern w:val="0"/>
          <w:sz w:val="24"/>
          <w:szCs w:val="24"/>
        </w:rPr>
        <w:t>10.1 基线定义（初始需求基线）</w:t>
      </w:r>
      <w:bookmarkEnd w:id="60"/>
    </w:p>
    <w:p w14:paraId="7E33934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1" w:name="_Toc20900"/>
      <w:r>
        <w:rPr>
          <w:rFonts w:hint="default" w:ascii="宋体" w:hAnsi="宋体" w:eastAsia="宋体" w:cs="宋体"/>
          <w:b/>
          <w:bCs/>
          <w:color w:val="000000"/>
          <w:kern w:val="0"/>
          <w:sz w:val="24"/>
          <w:szCs w:val="24"/>
        </w:rPr>
        <w:t>10.2 变更请求模板（变更描述、原因、影响分析、审批人）</w:t>
      </w:r>
      <w:bookmarkEnd w:id="61"/>
    </w:p>
    <w:p w14:paraId="3FB9579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Times New Roman" w:hAnsi="Times New Roman" w:eastAsia="宋体" w:cs="宋体"/>
          <w:color w:val="000000"/>
          <w:kern w:val="0"/>
          <w:sz w:val="24"/>
          <w:szCs w:val="24"/>
        </w:rPr>
      </w:pPr>
      <w:bookmarkStart w:id="62" w:name="_Toc11212"/>
      <w:r>
        <w:rPr>
          <w:rFonts w:hint="default" w:ascii="宋体" w:hAnsi="宋体" w:eastAsia="宋体" w:cs="宋体"/>
          <w:b/>
          <w:bCs/>
          <w:color w:val="000000"/>
          <w:kern w:val="0"/>
          <w:sz w:val="24"/>
          <w:szCs w:val="24"/>
        </w:rPr>
        <w:t>10.3 变更记录表（编号、日期、变更内容、批准状态）</w:t>
      </w:r>
      <w:bookmarkEnd w:id="62"/>
    </w:p>
    <w:p w14:paraId="4205D0D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63" w:name="_Toc26506"/>
      <w:r>
        <w:rPr>
          <w:rFonts w:hint="default" w:ascii="宋体" w:hAnsi="宋体" w:eastAsia="宋体" w:cs="宋体"/>
          <w:b/>
          <w:bCs/>
          <w:color w:val="000000"/>
          <w:kern w:val="0"/>
          <w:sz w:val="28"/>
          <w:szCs w:val="28"/>
          <w:lang w:val="en-US" w:eastAsia="zh-CN"/>
        </w:rPr>
        <w:t>11</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项目计划附录</w:t>
      </w:r>
      <w:bookmarkEnd w:id="63"/>
    </w:p>
    <w:p w14:paraId="5FE4229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4" w:name="_Toc18340"/>
      <w:r>
        <w:rPr>
          <w:rFonts w:hint="default" w:ascii="宋体" w:hAnsi="宋体" w:eastAsia="宋体" w:cs="宋体"/>
          <w:b/>
          <w:bCs/>
          <w:color w:val="000000"/>
          <w:kern w:val="0"/>
          <w:sz w:val="24"/>
          <w:szCs w:val="24"/>
        </w:rPr>
        <w:t>附录A：WBS详细列表（Excel）</w:t>
      </w:r>
      <w:bookmarkEnd w:id="64"/>
    </w:p>
    <w:p w14:paraId="5FAE239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5" w:name="_Toc22408"/>
      <w:r>
        <w:rPr>
          <w:rFonts w:hint="default" w:ascii="宋体" w:hAnsi="宋体" w:eastAsia="宋体" w:cs="宋体"/>
          <w:b/>
          <w:bCs/>
          <w:color w:val="000000"/>
          <w:kern w:val="0"/>
          <w:sz w:val="24"/>
          <w:szCs w:val="24"/>
        </w:rPr>
        <w:t>附录B：甘特图源文件（.mpp或图片）</w:t>
      </w:r>
      <w:bookmarkEnd w:id="65"/>
    </w:p>
    <w:p w14:paraId="5C729827">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6" w:name="_Toc6326"/>
      <w:r>
        <w:rPr>
          <w:rFonts w:hint="default" w:ascii="宋体" w:hAnsi="宋体" w:eastAsia="宋体" w:cs="宋体"/>
          <w:b/>
          <w:bCs/>
          <w:color w:val="000000"/>
          <w:kern w:val="0"/>
          <w:sz w:val="24"/>
          <w:szCs w:val="24"/>
        </w:rPr>
        <w:t>附录C：风险登记册</w:t>
      </w:r>
      <w:bookmarkEnd w:id="66"/>
    </w:p>
    <w:p w14:paraId="2255E05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7" w:name="_Toc15946"/>
      <w:r>
        <w:rPr>
          <w:rFonts w:hint="default" w:ascii="宋体" w:hAnsi="宋体" w:eastAsia="宋体" w:cs="宋体"/>
          <w:b/>
          <w:bCs/>
          <w:color w:val="000000"/>
          <w:kern w:val="0"/>
          <w:sz w:val="24"/>
          <w:szCs w:val="24"/>
        </w:rPr>
        <w:t>附录D：配置管理截图示例（如Git log，若作业要求提交则保留）</w:t>
      </w:r>
      <w:bookmarkEnd w:id="67"/>
    </w:p>
    <w:p w14:paraId="6896A35A">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p>
    <w:p w14:paraId="053F04E4"/>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w:panose1 w:val="020B0604020202020204"/>
    <w:charset w:val="00"/>
    <w:family w:val="auto"/>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0BAA32"/>
    <w:multiLevelType w:val="multilevel"/>
    <w:tmpl w:val="060BAA32"/>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3860089"/>
    <w:rsid w:val="40FF492F"/>
    <w:rsid w:val="549C56E9"/>
    <w:rsid w:val="5E637DC9"/>
    <w:rsid w:val="7FB61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toc 3"/>
    <w:basedOn w:val="1"/>
    <w:next w:val="1"/>
    <w:qFormat/>
    <w:uiPriority w:val="0"/>
    <w:pPr>
      <w:ind w:left="840" w:leftChars="400"/>
    </w:pPr>
  </w:style>
  <w:style w:type="paragraph" w:styleId="5">
    <w:name w:val="toc 1"/>
    <w:basedOn w:val="1"/>
    <w:next w:val="1"/>
    <w:qFormat/>
    <w:uiPriority w:val="0"/>
  </w:style>
  <w:style w:type="paragraph" w:styleId="6">
    <w:name w:val="toc 2"/>
    <w:basedOn w:val="1"/>
    <w:next w:val="1"/>
    <w:uiPriority w:val="0"/>
    <w:pPr>
      <w:ind w:left="420" w:leftChars="200"/>
    </w:pPr>
  </w:style>
  <w:style w:type="paragraph" w:styleId="7">
    <w:name w:val="Normal (Web)"/>
    <w:basedOn w:val="1"/>
    <w:qFormat/>
    <w:uiPriority w:val="0"/>
    <w:rPr>
      <w:sz w:val="24"/>
    </w:rPr>
  </w:style>
  <w:style w:type="character" w:styleId="10">
    <w:name w:val="Strong"/>
    <w:basedOn w:val="9"/>
    <w:qFormat/>
    <w:uiPriority w:val="0"/>
    <w:rPr>
      <w:b/>
    </w:rPr>
  </w:style>
  <w:style w:type="character" w:customStyle="1" w:styleId="11">
    <w:name w:val="font31"/>
    <w:basedOn w:val="9"/>
    <w:uiPriority w:val="0"/>
    <w:rPr>
      <w:rFonts w:ascii="Arial" w:hAnsi="Arial" w:cs="Arial"/>
      <w:color w:val="2B2D31"/>
      <w:sz w:val="21"/>
      <w:szCs w:val="21"/>
      <w:u w:val="non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10698</Words>
  <Characters>11305</Characters>
  <Lines>0</Lines>
  <Paragraphs>0</Paragraphs>
  <TotalTime>4</TotalTime>
  <ScaleCrop>false</ScaleCrop>
  <LinksUpToDate>false</LinksUpToDate>
  <CharactersWithSpaces>12802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2026-04-08T07:16:00Z</dcterms:created>
  <dc:creator>HP</dc:creator>
  <cp:lastModifiedBy>HP</cp:lastModifiedBy>
  <dcterms:modified xsi:type="dcterms:W3CDTF">2026-04-14T09:04:56Z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eyJoZGlkIjoiYTM1NmU0MmY3ZmZjYjc3Yjc2M2MwZTkwYmQxZWU2NTUiLCJ1c2VySWQiOiIzODAzMTk2ODgifQ==</vt:lpwstr>
  </property>
  <property fmtid="{D5CDD505-2E9C-101B-9397-08002B2CF9AE}" pid="4" name="ICV">
    <vt:lpwstr>DF9C6C8C79E24032BDDAFC441031898E_12</vt:lpwstr>
  </property>
</Properties>
</file>