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DECAFC">
      <w:pPr>
        <w:widowControl/>
        <w:spacing w:line="360" w:lineRule="auto"/>
        <w:jc w:val="center"/>
        <w:rPr>
          <w:rFonts w:hint="default" w:ascii="Times New Roman" w:hAnsi="宋体" w:eastAsia="宋体" w:cs="宋体"/>
          <w:b/>
          <w:color w:val="000000"/>
          <w:kern w:val="0"/>
          <w:sz w:val="40"/>
          <w:szCs w:val="40"/>
          <w:lang w:val="en-US" w:eastAsia="zh-CN"/>
        </w:rPr>
      </w:pPr>
    </w:p>
    <w:p w14:paraId="3B23A8A7">
      <w:pPr>
        <w:widowControl/>
        <w:spacing w:line="360" w:lineRule="auto"/>
        <w:jc w:val="center"/>
        <w:rPr>
          <w:rFonts w:hint="eastAsia" w:ascii="Times New Roman" w:hAnsi="宋体" w:eastAsia="宋体" w:cs="宋体"/>
          <w:b/>
          <w:color w:val="000000"/>
          <w:kern w:val="0"/>
          <w:sz w:val="40"/>
          <w:szCs w:val="40"/>
          <w:lang w:val="en-US" w:eastAsia="zh-CN"/>
        </w:rPr>
      </w:pPr>
      <w:r>
        <w:rPr>
          <w:rFonts w:hint="default" w:ascii="Times New Roman" w:hAnsi="宋体" w:eastAsia="宋体" w:cs="宋体"/>
          <w:b/>
          <w:color w:val="000000"/>
          <w:kern w:val="0"/>
          <w:sz w:val="40"/>
          <w:szCs w:val="40"/>
          <w:lang w:val="en-US" w:eastAsia="zh-CN"/>
        </w:rPr>
        <w:t>《云南省企业就业失业数据采集系统》项目计划</w:t>
      </w:r>
    </w:p>
    <w:p w14:paraId="3BC0525E">
      <w:pPr>
        <w:pStyle w:val="5"/>
        <w:tabs>
          <w:tab w:val="right" w:leader="dot" w:pos="8306"/>
        </w:tabs>
        <w:jc w:val="center"/>
        <w:rPr>
          <w:rFonts w:hint="eastAsia" w:ascii="宋体" w:hAnsi="宋体" w:eastAsia="宋体" w:cs="宋体"/>
          <w:b/>
          <w:bCs/>
          <w:color w:val="000000"/>
          <w:kern w:val="0"/>
          <w:sz w:val="36"/>
          <w:szCs w:val="36"/>
          <w:lang w:val="en-US" w:eastAsia="zh-CN"/>
        </w:rPr>
      </w:pPr>
    </w:p>
    <w:p w14:paraId="2E5119CE">
      <w:pPr>
        <w:pStyle w:val="5"/>
        <w:tabs>
          <w:tab w:val="right" w:leader="dot" w:pos="8306"/>
        </w:tabs>
        <w:jc w:val="center"/>
        <w:rPr>
          <w:rFonts w:hint="default" w:ascii="宋体" w:hAnsi="宋体" w:eastAsia="宋体" w:cs="宋体"/>
          <w:b/>
          <w:bCs/>
          <w:color w:val="000000"/>
          <w:kern w:val="0"/>
          <w:sz w:val="36"/>
          <w:szCs w:val="36"/>
          <w:lang w:val="en-US" w:eastAsia="zh-CN"/>
        </w:rPr>
      </w:pPr>
      <w:r>
        <w:rPr>
          <w:rFonts w:hint="eastAsia" w:ascii="宋体" w:hAnsi="宋体" w:eastAsia="宋体" w:cs="宋体"/>
          <w:b/>
          <w:bCs/>
          <w:color w:val="000000"/>
          <w:kern w:val="0"/>
          <w:sz w:val="36"/>
          <w:szCs w:val="36"/>
          <w:lang w:val="en-US" w:eastAsia="zh-CN"/>
        </w:rPr>
        <w:t>目录</w:t>
      </w:r>
    </w:p>
    <w:p w14:paraId="66C64F3B">
      <w:pPr>
        <w:pStyle w:val="5"/>
        <w:tabs>
          <w:tab w:val="right" w:leader="dot" w:pos="8306"/>
        </w:tabs>
      </w:pPr>
      <w:r>
        <w:rPr>
          <w:rFonts w:hint="eastAsia" w:ascii="宋体" w:hAnsi="宋体" w:eastAsia="宋体" w:cs="宋体"/>
          <w:b/>
          <w:bCs/>
          <w:color w:val="000000"/>
          <w:kern w:val="0"/>
          <w:sz w:val="28"/>
          <w:szCs w:val="28"/>
          <w:lang w:val="en-US" w:eastAsia="zh-CN"/>
        </w:rPr>
        <w:fldChar w:fldCharType="begin"/>
      </w:r>
      <w:r>
        <w:rPr>
          <w:rFonts w:hint="eastAsia" w:ascii="宋体" w:hAnsi="宋体" w:eastAsia="宋体" w:cs="宋体"/>
          <w:b/>
          <w:bCs/>
          <w:color w:val="000000"/>
          <w:kern w:val="0"/>
          <w:sz w:val="28"/>
          <w:szCs w:val="28"/>
          <w:lang w:val="en-US" w:eastAsia="zh-CN"/>
        </w:rPr>
        <w:instrText xml:space="preserve">TOC \o "1-3" \h \u </w:instrText>
      </w:r>
      <w:r>
        <w:rPr>
          <w:rFonts w:hint="eastAsia" w:ascii="宋体" w:hAnsi="宋体" w:eastAsia="宋体" w:cs="宋体"/>
          <w:b/>
          <w:bCs/>
          <w:color w:val="000000"/>
          <w:kern w:val="0"/>
          <w:sz w:val="28"/>
          <w:szCs w:val="28"/>
          <w:lang w:val="en-US" w:eastAsia="zh-CN"/>
        </w:rPr>
        <w:fldChar w:fldCharType="separate"/>
      </w: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_Toc4323 </w:instrText>
      </w:r>
      <w:r>
        <w:rPr>
          <w:rFonts w:hint="eastAsia" w:ascii="宋体" w:hAnsi="宋体" w:eastAsia="宋体" w:cs="宋体"/>
          <w:bCs/>
          <w:kern w:val="0"/>
          <w:szCs w:val="28"/>
          <w:lang w:val="en-US" w:eastAsia="zh-CN"/>
        </w:rPr>
        <w:fldChar w:fldCharType="separate"/>
      </w:r>
      <w:r>
        <w:rPr>
          <w:rFonts w:hint="eastAsia" w:ascii="宋体" w:hAnsi="宋体" w:eastAsia="宋体" w:cs="宋体"/>
          <w:bCs/>
          <w:kern w:val="0"/>
          <w:szCs w:val="28"/>
          <w:lang w:val="en-US" w:eastAsia="zh-CN"/>
        </w:rPr>
        <w:t xml:space="preserve">1 </w:t>
      </w:r>
      <w:r>
        <w:rPr>
          <w:rFonts w:hint="default" w:ascii="宋体" w:hAnsi="宋体" w:eastAsia="宋体" w:cs="宋体"/>
          <w:bCs/>
          <w:kern w:val="0"/>
          <w:szCs w:val="28"/>
        </w:rPr>
        <w:t>引言</w:t>
      </w:r>
      <w:r>
        <w:tab/>
      </w:r>
      <w:r>
        <w:fldChar w:fldCharType="begin"/>
      </w:r>
      <w:r>
        <w:instrText xml:space="preserve"> PAGEREF _Toc4323 \h </w:instrText>
      </w:r>
      <w:r>
        <w:fldChar w:fldCharType="separate"/>
      </w:r>
      <w:r>
        <w:t>3</w:t>
      </w:r>
      <w:r>
        <w:fldChar w:fldCharType="end"/>
      </w:r>
      <w:r>
        <w:rPr>
          <w:rFonts w:hint="eastAsia" w:ascii="宋体" w:hAnsi="宋体" w:eastAsia="宋体" w:cs="宋体"/>
          <w:bCs/>
          <w:color w:val="000000"/>
          <w:kern w:val="0"/>
          <w:szCs w:val="28"/>
          <w:lang w:val="en-US" w:eastAsia="zh-CN"/>
        </w:rPr>
        <w:fldChar w:fldCharType="end"/>
      </w:r>
    </w:p>
    <w:p w14:paraId="3F487A4A">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_Toc924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1.1 项目背景</w:t>
      </w:r>
      <w:r>
        <w:tab/>
      </w:r>
      <w:r>
        <w:fldChar w:fldCharType="begin"/>
      </w:r>
      <w:r>
        <w:instrText xml:space="preserve"> PAGEREF _Toc924 \h </w:instrText>
      </w:r>
      <w:r>
        <w:fldChar w:fldCharType="separate"/>
      </w:r>
      <w:r>
        <w:t>3</w:t>
      </w:r>
      <w:r>
        <w:fldChar w:fldCharType="end"/>
      </w:r>
      <w:r>
        <w:rPr>
          <w:rFonts w:hint="eastAsia" w:ascii="宋体" w:hAnsi="宋体" w:eastAsia="宋体" w:cs="宋体"/>
          <w:bCs/>
          <w:color w:val="000000"/>
          <w:kern w:val="0"/>
          <w:szCs w:val="28"/>
          <w:lang w:val="en-US" w:eastAsia="zh-CN"/>
        </w:rPr>
        <w:fldChar w:fldCharType="end"/>
      </w:r>
    </w:p>
    <w:p w14:paraId="24A8994D">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_Toc26384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1.2 项目目标</w:t>
      </w:r>
      <w:r>
        <w:tab/>
      </w:r>
      <w:r>
        <w:fldChar w:fldCharType="begin"/>
      </w:r>
      <w:r>
        <w:instrText xml:space="preserve"> PAGEREF _Toc26384 \h </w:instrText>
      </w:r>
      <w:r>
        <w:fldChar w:fldCharType="separate"/>
      </w:r>
      <w:r>
        <w:t>3</w:t>
      </w:r>
      <w:r>
        <w:fldChar w:fldCharType="end"/>
      </w:r>
      <w:r>
        <w:rPr>
          <w:rFonts w:hint="eastAsia" w:ascii="宋体" w:hAnsi="宋体" w:eastAsia="宋体" w:cs="宋体"/>
          <w:bCs/>
          <w:color w:val="000000"/>
          <w:kern w:val="0"/>
          <w:szCs w:val="28"/>
          <w:lang w:val="en-US" w:eastAsia="zh-CN"/>
        </w:rPr>
        <w:fldChar w:fldCharType="end"/>
      </w:r>
    </w:p>
    <w:p w14:paraId="5FB1D0CA">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_Toc23882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1.3 文档范围与读者对象</w:t>
      </w:r>
      <w:r>
        <w:tab/>
      </w:r>
      <w:r>
        <w:fldChar w:fldCharType="begin"/>
      </w:r>
      <w:r>
        <w:instrText xml:space="preserve"> PAGEREF _Toc23882 \h </w:instrText>
      </w:r>
      <w:r>
        <w:fldChar w:fldCharType="separate"/>
      </w:r>
      <w:r>
        <w:t>3</w:t>
      </w:r>
      <w:r>
        <w:fldChar w:fldCharType="end"/>
      </w:r>
      <w:r>
        <w:rPr>
          <w:rFonts w:hint="eastAsia" w:ascii="宋体" w:hAnsi="宋体" w:eastAsia="宋体" w:cs="宋体"/>
          <w:bCs/>
          <w:color w:val="000000"/>
          <w:kern w:val="0"/>
          <w:szCs w:val="28"/>
          <w:lang w:val="en-US" w:eastAsia="zh-CN"/>
        </w:rPr>
        <w:fldChar w:fldCharType="end"/>
      </w:r>
    </w:p>
    <w:p w14:paraId="0577B19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_Toc24203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1.4 术语与定义</w:t>
      </w:r>
      <w:r>
        <w:tab/>
      </w:r>
      <w:r>
        <w:fldChar w:fldCharType="begin"/>
      </w:r>
      <w:r>
        <w:instrText xml:space="preserve"> PAGEREF _Toc24203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69793015">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_Toc7658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2</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项目范围管理</w:t>
      </w:r>
      <w:r>
        <w:tab/>
      </w:r>
      <w:r>
        <w:fldChar w:fldCharType="begin"/>
      </w:r>
      <w:r>
        <w:instrText xml:space="preserve"> PAGEREF _Toc7658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146463B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_Toc2453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 产品范围</w:t>
      </w:r>
      <w:r>
        <w:tab/>
      </w:r>
      <w:r>
        <w:fldChar w:fldCharType="begin"/>
      </w:r>
      <w:r>
        <w:instrText xml:space="preserve"> PAGEREF _Toc2453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59FD86C8">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_Toc12208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.1</w:t>
      </w:r>
      <w:r>
        <w:rPr>
          <w:rFonts w:hint="default" w:ascii="宋体" w:hAnsi="宋体" w:eastAsia="宋体" w:cs="宋体"/>
          <w:bCs/>
          <w:kern w:val="0"/>
          <w:szCs w:val="24"/>
        </w:rPr>
        <w:t xml:space="preserve"> 企业端数据采集与备案子系统</w:t>
      </w:r>
      <w:r>
        <w:tab/>
      </w:r>
      <w:r>
        <w:fldChar w:fldCharType="begin"/>
      </w:r>
      <w:r>
        <w:instrText xml:space="preserve"> PAGEREF _Toc12208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49D510FA">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_Toc3773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.2</w:t>
      </w:r>
      <w:r>
        <w:rPr>
          <w:rFonts w:hint="default" w:ascii="宋体" w:hAnsi="宋体" w:eastAsia="宋体" w:cs="宋体"/>
          <w:bCs/>
          <w:kern w:val="0"/>
          <w:szCs w:val="24"/>
        </w:rPr>
        <w:t xml:space="preserve"> 市级端数据审核与辖区调度子系统</w:t>
      </w:r>
      <w:r>
        <w:tab/>
      </w:r>
      <w:r>
        <w:fldChar w:fldCharType="begin"/>
      </w:r>
      <w:r>
        <w:instrText xml:space="preserve"> PAGEREF _Toc3773 \h </w:instrText>
      </w:r>
      <w:r>
        <w:fldChar w:fldCharType="separate"/>
      </w:r>
      <w:r>
        <w:t>5</w:t>
      </w:r>
      <w:r>
        <w:fldChar w:fldCharType="end"/>
      </w:r>
      <w:r>
        <w:rPr>
          <w:rFonts w:hint="eastAsia" w:ascii="宋体" w:hAnsi="宋体" w:eastAsia="宋体" w:cs="宋体"/>
          <w:bCs/>
          <w:color w:val="000000"/>
          <w:kern w:val="0"/>
          <w:szCs w:val="28"/>
          <w:lang w:val="en-US" w:eastAsia="zh-CN"/>
        </w:rPr>
        <w:fldChar w:fldCharType="end"/>
      </w:r>
    </w:p>
    <w:p w14:paraId="736CA2B7">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_Toc5996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.3</w:t>
      </w:r>
      <w:r>
        <w:rPr>
          <w:rFonts w:hint="default" w:ascii="宋体" w:hAnsi="宋体" w:eastAsia="宋体" w:cs="宋体"/>
          <w:bCs/>
          <w:kern w:val="0"/>
          <w:szCs w:val="24"/>
        </w:rPr>
        <w:t xml:space="preserve"> 省级端数据管理与分析子系统</w:t>
      </w:r>
      <w:r>
        <w:tab/>
      </w:r>
      <w:r>
        <w:fldChar w:fldCharType="begin"/>
      </w:r>
      <w:r>
        <w:instrText xml:space="preserve"> PAGEREF _Toc5996 \h </w:instrText>
      </w:r>
      <w:r>
        <w:fldChar w:fldCharType="separate"/>
      </w:r>
      <w:r>
        <w:t>5</w:t>
      </w:r>
      <w:r>
        <w:fldChar w:fldCharType="end"/>
      </w:r>
      <w:r>
        <w:rPr>
          <w:rFonts w:hint="eastAsia" w:ascii="宋体" w:hAnsi="宋体" w:eastAsia="宋体" w:cs="宋体"/>
          <w:bCs/>
          <w:color w:val="000000"/>
          <w:kern w:val="0"/>
          <w:szCs w:val="28"/>
          <w:lang w:val="en-US" w:eastAsia="zh-CN"/>
        </w:rPr>
        <w:fldChar w:fldCharType="end"/>
      </w:r>
    </w:p>
    <w:p w14:paraId="61214262">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_Toc32265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.4</w:t>
      </w:r>
      <w:r>
        <w:rPr>
          <w:rFonts w:hint="default" w:ascii="宋体" w:hAnsi="宋体" w:eastAsia="宋体" w:cs="宋体"/>
          <w:bCs/>
          <w:kern w:val="0"/>
          <w:szCs w:val="24"/>
        </w:rPr>
        <w:t xml:space="preserve"> 省级端系统管理与后台维护子系统</w:t>
      </w:r>
      <w:r>
        <w:tab/>
      </w:r>
      <w:r>
        <w:fldChar w:fldCharType="begin"/>
      </w:r>
      <w:r>
        <w:instrText xml:space="preserve"> PAGEREF _Toc32265 \h </w:instrText>
      </w:r>
      <w:r>
        <w:fldChar w:fldCharType="separate"/>
      </w:r>
      <w:r>
        <w:t>5</w:t>
      </w:r>
      <w:r>
        <w:fldChar w:fldCharType="end"/>
      </w:r>
      <w:r>
        <w:rPr>
          <w:rFonts w:hint="eastAsia" w:ascii="宋体" w:hAnsi="宋体" w:eastAsia="宋体" w:cs="宋体"/>
          <w:bCs/>
          <w:color w:val="000000"/>
          <w:kern w:val="0"/>
          <w:szCs w:val="28"/>
          <w:lang w:val="en-US" w:eastAsia="zh-CN"/>
        </w:rPr>
        <w:fldChar w:fldCharType="end"/>
      </w:r>
    </w:p>
    <w:p w14:paraId="7A0EC449">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_Toc12704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lang w:val="en-US" w:eastAsia="zh-CN"/>
        </w:rPr>
        <w:t>2.1</w:t>
      </w:r>
      <w:r>
        <w:rPr>
          <w:rFonts w:hint="eastAsia" w:ascii="宋体" w:hAnsi="宋体" w:eastAsia="宋体" w:cs="宋体"/>
          <w:bCs/>
          <w:kern w:val="0"/>
          <w:szCs w:val="24"/>
          <w:lang w:val="en-US" w:eastAsia="zh-CN"/>
        </w:rPr>
        <w:t>.5</w:t>
      </w:r>
      <w:r>
        <w:rPr>
          <w:rFonts w:hint="default" w:ascii="宋体" w:hAnsi="宋体" w:eastAsia="宋体" w:cs="宋体"/>
          <w:bCs/>
          <w:kern w:val="0"/>
          <w:szCs w:val="24"/>
          <w:lang w:val="en-US" w:eastAsia="zh-CN"/>
        </w:rPr>
        <w:t xml:space="preserve"> 排除范围</w:t>
      </w:r>
      <w:r>
        <w:tab/>
      </w:r>
      <w:r>
        <w:fldChar w:fldCharType="begin"/>
      </w:r>
      <w:r>
        <w:instrText xml:space="preserve"> PAGEREF _Toc12704 \h </w:instrText>
      </w:r>
      <w:r>
        <w:fldChar w:fldCharType="separate"/>
      </w:r>
      <w:r>
        <w:t>6</w:t>
      </w:r>
      <w:r>
        <w:fldChar w:fldCharType="end"/>
      </w:r>
      <w:r>
        <w:rPr>
          <w:rFonts w:hint="eastAsia" w:ascii="宋体" w:hAnsi="宋体" w:eastAsia="宋体" w:cs="宋体"/>
          <w:bCs/>
          <w:color w:val="000000"/>
          <w:kern w:val="0"/>
          <w:szCs w:val="28"/>
          <w:lang w:val="en-US" w:eastAsia="zh-CN"/>
        </w:rPr>
        <w:fldChar w:fldCharType="end"/>
      </w:r>
    </w:p>
    <w:p w14:paraId="7914462D">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_Toc25668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2.2 主要交付物</w:t>
      </w:r>
      <w:r>
        <w:tab/>
      </w:r>
      <w:r>
        <w:fldChar w:fldCharType="begin"/>
      </w:r>
      <w:r>
        <w:instrText xml:space="preserve"> PAGEREF _Toc25668 \h </w:instrText>
      </w:r>
      <w:r>
        <w:fldChar w:fldCharType="separate"/>
      </w:r>
      <w:r>
        <w:t>6</w:t>
      </w:r>
      <w:r>
        <w:fldChar w:fldCharType="end"/>
      </w:r>
      <w:r>
        <w:rPr>
          <w:rFonts w:hint="eastAsia" w:ascii="宋体" w:hAnsi="宋体" w:eastAsia="宋体" w:cs="宋体"/>
          <w:bCs/>
          <w:color w:val="000000"/>
          <w:kern w:val="0"/>
          <w:szCs w:val="28"/>
          <w:lang w:val="en-US" w:eastAsia="zh-CN"/>
        </w:rPr>
        <w:fldChar w:fldCharType="end"/>
      </w:r>
    </w:p>
    <w:p w14:paraId="00ACB82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_Toc6415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2.3 工作分解结构（WBS）</w:t>
      </w:r>
      <w:r>
        <w:tab/>
      </w:r>
      <w:r>
        <w:fldChar w:fldCharType="begin"/>
      </w:r>
      <w:r>
        <w:instrText xml:space="preserve"> PAGEREF _Toc6415 \h </w:instrText>
      </w:r>
      <w:r>
        <w:fldChar w:fldCharType="separate"/>
      </w:r>
      <w:r>
        <w:t>6</w:t>
      </w:r>
      <w:r>
        <w:fldChar w:fldCharType="end"/>
      </w:r>
      <w:r>
        <w:rPr>
          <w:rFonts w:hint="eastAsia" w:ascii="宋体" w:hAnsi="宋体" w:eastAsia="宋体" w:cs="宋体"/>
          <w:bCs/>
          <w:color w:val="000000"/>
          <w:kern w:val="0"/>
          <w:szCs w:val="28"/>
          <w:lang w:val="en-US" w:eastAsia="zh-CN"/>
        </w:rPr>
        <w:fldChar w:fldCharType="end"/>
      </w:r>
    </w:p>
    <w:p w14:paraId="380323B5">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_Toc13754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2.4 范围验收标准</w:t>
      </w:r>
      <w:r>
        <w:tab/>
      </w:r>
      <w:r>
        <w:fldChar w:fldCharType="begin"/>
      </w:r>
      <w:r>
        <w:instrText xml:space="preserve"> PAGEREF _Toc13754 \h </w:instrText>
      </w:r>
      <w:r>
        <w:fldChar w:fldCharType="separate"/>
      </w:r>
      <w:r>
        <w:t>7</w:t>
      </w:r>
      <w:r>
        <w:fldChar w:fldCharType="end"/>
      </w:r>
      <w:r>
        <w:rPr>
          <w:rFonts w:hint="eastAsia" w:ascii="宋体" w:hAnsi="宋体" w:eastAsia="宋体" w:cs="宋体"/>
          <w:bCs/>
          <w:color w:val="000000"/>
          <w:kern w:val="0"/>
          <w:szCs w:val="28"/>
          <w:lang w:val="en-US" w:eastAsia="zh-CN"/>
        </w:rPr>
        <w:fldChar w:fldCharType="end"/>
      </w:r>
    </w:p>
    <w:p w14:paraId="1592FBB3">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_Toc2821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3</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进度管理</w:t>
      </w:r>
      <w:r>
        <w:tab/>
      </w:r>
      <w:r>
        <w:fldChar w:fldCharType="begin"/>
      </w:r>
      <w:r>
        <w:instrText xml:space="preserve"> PAGEREF _Toc2821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4B38927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_Toc13299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3.1 活动定义（将WBS工作包进一步分解为具体活动）</w:t>
      </w:r>
      <w:r>
        <w:tab/>
      </w:r>
      <w:r>
        <w:fldChar w:fldCharType="begin"/>
      </w:r>
      <w:r>
        <w:instrText xml:space="preserve"> PAGEREF _Toc13299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6F725FA2">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_Toc32427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3.2 活动排序（网络图，明确依赖关系）</w:t>
      </w:r>
      <w:r>
        <w:tab/>
      </w:r>
      <w:r>
        <w:fldChar w:fldCharType="begin"/>
      </w:r>
      <w:r>
        <w:instrText xml:space="preserve"> PAGEREF _Toc32427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2B887A9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_Toc20011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3.3 活动历时估算</w:t>
      </w:r>
      <w:r>
        <w:tab/>
      </w:r>
      <w:r>
        <w:fldChar w:fldCharType="begin"/>
      </w:r>
      <w:r>
        <w:instrText xml:space="preserve"> PAGEREF _Toc20011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5AA81AE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_Toc4127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方法：定额估算法、经验导出模型（如COCOMO）、PERT（三点估算）等</w:t>
      </w:r>
      <w:r>
        <w:tab/>
      </w:r>
      <w:r>
        <w:fldChar w:fldCharType="begin"/>
      </w:r>
      <w:r>
        <w:instrText xml:space="preserve"> PAGEREF _Toc4127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551C5B4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_Toc14998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3.4 制定进度计划</w:t>
      </w:r>
      <w:r>
        <w:tab/>
      </w:r>
      <w:r>
        <w:fldChar w:fldCharType="begin"/>
      </w:r>
      <w:r>
        <w:instrText xml:space="preserve"> PAGEREF _Toc14998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1CB1DE8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_Toc9515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关键路径法（CPM）</w:t>
      </w:r>
      <w:r>
        <w:tab/>
      </w:r>
      <w:r>
        <w:fldChar w:fldCharType="begin"/>
      </w:r>
      <w:r>
        <w:instrText xml:space="preserve"> PAGEREF _Toc9515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58A2CE91">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_Toc14000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甘特图（使用Microsoft Project绘制，展示任务、依赖关系、里程碑）</w:t>
      </w:r>
      <w:r>
        <w:tab/>
      </w:r>
      <w:r>
        <w:fldChar w:fldCharType="begin"/>
      </w:r>
      <w:r>
        <w:instrText xml:space="preserve"> PAGEREF _Toc14000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6C6888C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_Toc8395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时间压缩法（如需赶工或快速跟进）</w:t>
      </w:r>
      <w:r>
        <w:tab/>
      </w:r>
      <w:r>
        <w:fldChar w:fldCharType="begin"/>
      </w:r>
      <w:r>
        <w:instrText xml:space="preserve"> PAGEREF _Toc8395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01E7D5F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_Toc3881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3.5 里程碑清单</w:t>
      </w:r>
      <w:r>
        <w:tab/>
      </w:r>
      <w:r>
        <w:fldChar w:fldCharType="begin"/>
      </w:r>
      <w:r>
        <w:instrText xml:space="preserve"> PAGEREF _Toc3881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07BB05D5">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_Toc25581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3.6 进度控制（偏差处理机制）</w:t>
      </w:r>
      <w:r>
        <w:tab/>
      </w:r>
      <w:r>
        <w:fldChar w:fldCharType="begin"/>
      </w:r>
      <w:r>
        <w:instrText xml:space="preserve"> PAGEREF _Toc25581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1C8E7163">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_Toc21559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4. 成本管理</w:t>
      </w:r>
      <w:r>
        <w:tab/>
      </w:r>
      <w:r>
        <w:fldChar w:fldCharType="begin"/>
      </w:r>
      <w:r>
        <w:instrText xml:space="preserve"> PAGEREF _Toc21559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0D3A067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_Toc3333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4.1 成本构成</w:t>
      </w:r>
      <w:r>
        <w:tab/>
      </w:r>
      <w:r>
        <w:fldChar w:fldCharType="begin"/>
      </w:r>
      <w:r>
        <w:instrText xml:space="preserve"> PAGEREF _Toc3333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1BBBC78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_Toc1352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直接成本（开发人员薪资等</w:t>
      </w:r>
      <w:r>
        <w:tab/>
      </w:r>
      <w:r>
        <w:fldChar w:fldCharType="begin"/>
      </w:r>
      <w:r>
        <w:instrText xml:space="preserve"> PAGEREF _Toc1352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644E3B61">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_Toc13676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间接成本（培训、管理费等）</w:t>
      </w:r>
      <w:r>
        <w:tab/>
      </w:r>
      <w:r>
        <w:fldChar w:fldCharType="begin"/>
      </w:r>
      <w:r>
        <w:instrText xml:space="preserve"> PAGEREF _Toc13676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49C317D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_Toc5993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管理储备（应对未知风险）</w:t>
      </w:r>
      <w:r>
        <w:tab/>
      </w:r>
      <w:r>
        <w:fldChar w:fldCharType="begin"/>
      </w:r>
      <w:r>
        <w:instrText xml:space="preserve"> PAGEREF _Toc5993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0840449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_Toc8875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4.2 成本估算方法</w:t>
      </w:r>
      <w:r>
        <w:tab/>
      </w:r>
      <w:r>
        <w:fldChar w:fldCharType="begin"/>
      </w:r>
      <w:r>
        <w:instrText xml:space="preserve"> PAGEREF _Toc8875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4B84925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_Toc5095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类比估算（参考历史项目）</w:t>
      </w:r>
      <w:r>
        <w:tab/>
      </w:r>
      <w:r>
        <w:fldChar w:fldCharType="begin"/>
      </w:r>
      <w:r>
        <w:instrText xml:space="preserve"> PAGEREF _Toc5095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735B6A0B">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_Toc21276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自下而上估算（基于WBS）</w:t>
      </w:r>
      <w:r>
        <w:tab/>
      </w:r>
      <w:r>
        <w:fldChar w:fldCharType="begin"/>
      </w:r>
      <w:r>
        <w:instrText xml:space="preserve"> PAGEREF _Toc21276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50B75EE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_Toc14578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功能点或代码行估算（可选）</w:t>
      </w:r>
      <w:r>
        <w:tab/>
      </w:r>
      <w:r>
        <w:fldChar w:fldCharType="begin"/>
      </w:r>
      <w:r>
        <w:instrText xml:space="preserve"> PAGEREF _Toc14578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4637A54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_Toc18563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4.3 成本预算</w:t>
      </w:r>
      <w:r>
        <w:tab/>
      </w:r>
      <w:r>
        <w:fldChar w:fldCharType="begin"/>
      </w:r>
      <w:r>
        <w:instrText xml:space="preserve"> PAGEREF _Toc18563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01E4D7A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_Toc5187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成本基准（按时间安排的成本支出计划）</w:t>
      </w:r>
      <w:r>
        <w:tab/>
      </w:r>
      <w:r>
        <w:fldChar w:fldCharType="begin"/>
      </w:r>
      <w:r>
        <w:instrText xml:space="preserve"> PAGEREF _Toc5187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4F53140B">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_Toc18581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将成本分摊到WBS工作包和具体活动</w:t>
      </w:r>
      <w:r>
        <w:tab/>
      </w:r>
      <w:r>
        <w:fldChar w:fldCharType="begin"/>
      </w:r>
      <w:r>
        <w:instrText xml:space="preserve"> PAGEREF _Toc18581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4C0EF745">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_Toc4124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4.4 成本控制（预算变更流程）</w:t>
      </w:r>
      <w:r>
        <w:tab/>
      </w:r>
      <w:r>
        <w:fldChar w:fldCharType="begin"/>
      </w:r>
      <w:r>
        <w:instrText xml:space="preserve"> PAGEREF _Toc4124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2E4CE40E">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_Toc19072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5</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质量管理</w:t>
      </w:r>
      <w:r>
        <w:tab/>
      </w:r>
      <w:r>
        <w:fldChar w:fldCharType="begin"/>
      </w:r>
      <w:r>
        <w:instrText xml:space="preserve"> PAGEREF _Toc19072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522E4A1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_Toc27928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5.1 质量目标（参考SRS第5章非功能需求：性能、可靠性、安全性等）</w:t>
      </w:r>
      <w:r>
        <w:tab/>
      </w:r>
      <w:r>
        <w:fldChar w:fldCharType="begin"/>
      </w:r>
      <w:r>
        <w:instrText xml:space="preserve"> PAGEREF _Toc27928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1B25EF9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_Toc16884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5.2 质量计划内容</w:t>
      </w:r>
      <w:r>
        <w:tab/>
      </w:r>
      <w:r>
        <w:fldChar w:fldCharType="begin"/>
      </w:r>
      <w:r>
        <w:instrText xml:space="preserve"> PAGEREF _Toc16884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7EAA7915">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_Toc14243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质量目标、活动、职责、资源、控制手段</w:t>
      </w:r>
      <w:r>
        <w:tab/>
      </w:r>
      <w:r>
        <w:fldChar w:fldCharType="begin"/>
      </w:r>
      <w:r>
        <w:instrText xml:space="preserve"> PAGEREF _Toc14243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3E0C6A9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_Toc15169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5.3 质量保证（QA）</w:t>
      </w:r>
      <w:r>
        <w:tab/>
      </w:r>
      <w:r>
        <w:fldChar w:fldCharType="begin"/>
      </w:r>
      <w:r>
        <w:instrText xml:space="preserve"> PAGEREF _Toc15169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42ACED41">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_Toc32277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过程审计、产品审计</w:t>
      </w:r>
      <w:r>
        <w:tab/>
      </w:r>
      <w:r>
        <w:fldChar w:fldCharType="begin"/>
      </w:r>
      <w:r>
        <w:instrText xml:space="preserve"> PAGEREF _Toc32277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6FE3C87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_Toc6526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5.4 质量控制（QC）</w:t>
      </w:r>
      <w:r>
        <w:tab/>
      </w:r>
      <w:r>
        <w:fldChar w:fldCharType="begin"/>
      </w:r>
      <w:r>
        <w:instrText xml:space="preserve"> PAGEREF _Toc6526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49C39C32">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_Toc29893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技术评审、代码走查、测试（单元、集成、系统）、缺陷跟踪</w:t>
      </w:r>
      <w:r>
        <w:tab/>
      </w:r>
      <w:r>
        <w:fldChar w:fldCharType="begin"/>
      </w:r>
      <w:r>
        <w:instrText xml:space="preserve"> PAGEREF _Toc29893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09C3732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_Toc3803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5.5 质量成本（CoQ）</w:t>
      </w:r>
      <w:r>
        <w:tab/>
      </w:r>
      <w:r>
        <w:fldChar w:fldCharType="begin"/>
      </w:r>
      <w:r>
        <w:instrText xml:space="preserve"> PAGEREF _Toc3803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6A8165D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_Toc24461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预防成本、评估成本、内部缺陷成本、外部缺陷成本</w:t>
      </w:r>
      <w:r>
        <w:tab/>
      </w:r>
      <w:r>
        <w:fldChar w:fldCharType="begin"/>
      </w:r>
      <w:r>
        <w:instrText xml:space="preserve"> PAGEREF _Toc24461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47C42F67">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_Toc26759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6</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人力资源管理</w:t>
      </w:r>
      <w:r>
        <w:tab/>
      </w:r>
      <w:r>
        <w:fldChar w:fldCharType="begin"/>
      </w:r>
      <w:r>
        <w:instrText xml:space="preserve"> PAGEREF _Toc26759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6E51845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_Toc5272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6.1 项目角色与职责（项目经理、需求、开发、测试、配置管理、QA等，假设10人团队）</w:t>
      </w:r>
      <w:r>
        <w:tab/>
      </w:r>
      <w:r>
        <w:fldChar w:fldCharType="begin"/>
      </w:r>
      <w:r>
        <w:instrText xml:space="preserve"> PAGEREF _Toc5272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6DC16AF1">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_Toc21208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6.2 人员配备计划（各阶段所需角色）</w:t>
      </w:r>
      <w:r>
        <w:tab/>
      </w:r>
      <w:r>
        <w:fldChar w:fldCharType="begin"/>
      </w:r>
      <w:r>
        <w:instrText xml:space="preserve"> PAGEREF _Toc21208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17A83DBA">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_Toc19055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6.3 培训计划（技术培训、业务培训）</w:t>
      </w:r>
      <w:r>
        <w:tab/>
      </w:r>
      <w:r>
        <w:fldChar w:fldCharType="begin"/>
      </w:r>
      <w:r>
        <w:instrText xml:space="preserve"> PAGEREF _Toc19055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695CC2E1">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_Toc8083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7</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风险管理</w:t>
      </w:r>
      <w:r>
        <w:tab/>
      </w:r>
      <w:r>
        <w:fldChar w:fldCharType="begin"/>
      </w:r>
      <w:r>
        <w:instrText xml:space="preserve"> PAGEREF _Toc8083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3EF567F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_Toc13216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7.1 风险识别（技术风险、进度风险、人员风险、外部依赖）</w:t>
      </w:r>
      <w:r>
        <w:tab/>
      </w:r>
      <w:r>
        <w:fldChar w:fldCharType="begin"/>
      </w:r>
      <w:r>
        <w:instrText xml:space="preserve"> PAGEREF _Toc13216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2641C3A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_Toc10112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7.2 风险分析（概率-影响矩阵）</w:t>
      </w:r>
      <w:r>
        <w:tab/>
      </w:r>
      <w:r>
        <w:fldChar w:fldCharType="begin"/>
      </w:r>
      <w:r>
        <w:instrText xml:space="preserve"> PAGEREF _Toc10112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4DBFF79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_Toc15480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7.3 风险应对计划（规避、减轻、转移、接受）</w:t>
      </w:r>
      <w:r>
        <w:tab/>
      </w:r>
      <w:r>
        <w:fldChar w:fldCharType="begin"/>
      </w:r>
      <w:r>
        <w:instrText xml:space="preserve"> PAGEREF _Toc15480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1181EB72">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_Toc27066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7.4 风险跟踪表</w:t>
      </w:r>
      <w:r>
        <w:tab/>
      </w:r>
      <w:r>
        <w:fldChar w:fldCharType="begin"/>
      </w:r>
      <w:r>
        <w:instrText xml:space="preserve"> PAGEREF _Toc27066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606467A1">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_Toc9121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8</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沟通管理</w:t>
      </w:r>
      <w:r>
        <w:tab/>
      </w:r>
      <w:r>
        <w:fldChar w:fldCharType="begin"/>
      </w:r>
      <w:r>
        <w:instrText xml:space="preserve"> PAGEREF _Toc9121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E9278F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_Toc24151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8.1 干系人识别</w:t>
      </w:r>
      <w:r>
        <w:tab/>
      </w:r>
      <w:r>
        <w:fldChar w:fldCharType="begin"/>
      </w:r>
      <w:r>
        <w:instrText xml:space="preserve"> PAGEREF _Toc24151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04AD29F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_Toc11431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8.2 沟通方式与频率（每周例会、周报、里程碑评审）</w:t>
      </w:r>
      <w:r>
        <w:tab/>
      </w:r>
      <w:r>
        <w:fldChar w:fldCharType="begin"/>
      </w:r>
      <w:r>
        <w:instrText xml:space="preserve"> PAGEREF _Toc11431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8EEA21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_Toc24401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8.3 文档管理（存储位置、命名规则）</w:t>
      </w:r>
      <w:r>
        <w:tab/>
      </w:r>
      <w:r>
        <w:fldChar w:fldCharType="begin"/>
      </w:r>
      <w:r>
        <w:instrText xml:space="preserve"> PAGEREF _Toc24401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7E3F32BE">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_Toc25522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9</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配置管理</w:t>
      </w:r>
      <w:r>
        <w:tab/>
      </w:r>
      <w:r>
        <w:fldChar w:fldCharType="begin"/>
      </w:r>
      <w:r>
        <w:instrText xml:space="preserve"> PAGEREF _Toc25522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6B10600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_Toc25062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9.1 配置项识别（需求文档、设计文档、代码、测试用例等）</w:t>
      </w:r>
      <w:r>
        <w:tab/>
      </w:r>
      <w:r>
        <w:fldChar w:fldCharType="begin"/>
      </w:r>
      <w:r>
        <w:instrText xml:space="preserve"> PAGEREF _Toc25062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0F29E56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_Toc25586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9.2 基线与变更控制</w:t>
      </w:r>
      <w:r>
        <w:tab/>
      </w:r>
      <w:r>
        <w:fldChar w:fldCharType="begin"/>
      </w:r>
      <w:r>
        <w:instrText xml:space="preserve"> PAGEREF _Toc25586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1665EC7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_Toc19398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功能基线、需求基线、产品基线</w:t>
      </w:r>
      <w:r>
        <w:tab/>
      </w:r>
      <w:r>
        <w:fldChar w:fldCharType="begin"/>
      </w:r>
      <w:r>
        <w:instrText xml:space="preserve"> PAGEREF _Toc19398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580E0C1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_Toc24211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SCCB（配置控制委员会）组成与职责</w:t>
      </w:r>
      <w:r>
        <w:tab/>
      </w:r>
      <w:r>
        <w:fldChar w:fldCharType="begin"/>
      </w:r>
      <w:r>
        <w:instrText xml:space="preserve"> PAGEREF _Toc24211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0B396BB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_Toc19134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9.3 变更控制流程</w:t>
      </w:r>
      <w:r>
        <w:tab/>
      </w:r>
      <w:r>
        <w:fldChar w:fldCharType="begin"/>
      </w:r>
      <w:r>
        <w:instrText xml:space="preserve"> PAGEREF _Toc19134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E922F9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_Toc20023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提交变更请求 → 影响分析 → SCCB评审 → 实施变更 → 验证 → 关闭</w:t>
      </w:r>
      <w:r>
        <w:tab/>
      </w:r>
      <w:r>
        <w:fldChar w:fldCharType="begin"/>
      </w:r>
      <w:r>
        <w:instrText xml:space="preserve"> PAGEREF _Toc20023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54197C9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_Toc2764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9.4 版本控制工具（Git/SVN，分支策略）</w:t>
      </w:r>
      <w:r>
        <w:tab/>
      </w:r>
      <w:r>
        <w:fldChar w:fldCharType="begin"/>
      </w:r>
      <w:r>
        <w:instrText xml:space="preserve"> PAGEREF _Toc2764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0382C9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_Toc25408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9.5 配置状态报告与配置审计</w:t>
      </w:r>
      <w:r>
        <w:tab/>
      </w:r>
      <w:r>
        <w:fldChar w:fldCharType="begin"/>
      </w:r>
      <w:r>
        <w:instrText xml:space="preserve"> PAGEREF _Toc25408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63F5EEE6">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_Toc17851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10</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需求变更管理（可并入第9章或单独）</w:t>
      </w:r>
      <w:r>
        <w:tab/>
      </w:r>
      <w:r>
        <w:fldChar w:fldCharType="begin"/>
      </w:r>
      <w:r>
        <w:instrText xml:space="preserve"> PAGEREF _Toc17851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6E8586B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_Toc22389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10.1 基线定义（初始需求基线）</w:t>
      </w:r>
      <w:r>
        <w:tab/>
      </w:r>
      <w:r>
        <w:fldChar w:fldCharType="begin"/>
      </w:r>
      <w:r>
        <w:instrText xml:space="preserve"> PAGEREF _Toc22389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540F93C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_Toc16568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10.2 变更请求模板（变更描述、原因、影响分析、审批人）</w:t>
      </w:r>
      <w:r>
        <w:tab/>
      </w:r>
      <w:r>
        <w:fldChar w:fldCharType="begin"/>
      </w:r>
      <w:r>
        <w:instrText xml:space="preserve"> PAGEREF _Toc16568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7E5BC78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_Toc3014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10.3 变更记录表（编号、日期、变更内容、批准状态）</w:t>
      </w:r>
      <w:r>
        <w:tab/>
      </w:r>
      <w:r>
        <w:fldChar w:fldCharType="begin"/>
      </w:r>
      <w:r>
        <w:instrText xml:space="preserve"> PAGEREF _Toc3014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648965D4">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_Toc12166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11</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项目计划附录</w:t>
      </w:r>
      <w:r>
        <w:tab/>
      </w:r>
      <w:r>
        <w:fldChar w:fldCharType="begin"/>
      </w:r>
      <w:r>
        <w:instrText xml:space="preserve"> PAGEREF _Toc12166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6142135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_Toc10556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附录A：WBS详细列表（Excel）</w:t>
      </w:r>
      <w:r>
        <w:tab/>
      </w:r>
      <w:r>
        <w:fldChar w:fldCharType="begin"/>
      </w:r>
      <w:r>
        <w:instrText xml:space="preserve"> PAGEREF _Toc10556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21003D4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_Toc29227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附录B：甘特图源文件（.mpp或图片）</w:t>
      </w:r>
      <w:r>
        <w:tab/>
      </w:r>
      <w:r>
        <w:fldChar w:fldCharType="begin"/>
      </w:r>
      <w:r>
        <w:instrText xml:space="preserve"> PAGEREF _Toc29227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2367F16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_Toc1622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附录C：风险登记册</w:t>
      </w:r>
      <w:r>
        <w:tab/>
      </w:r>
      <w:r>
        <w:fldChar w:fldCharType="begin"/>
      </w:r>
      <w:r>
        <w:instrText xml:space="preserve"> PAGEREF _Toc1622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46EE3FC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_Toc2397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附录D：配置管理截图示例（如Git log，若作业要求提交则保留）</w:t>
      </w:r>
      <w:r>
        <w:tab/>
      </w:r>
      <w:r>
        <w:fldChar w:fldCharType="begin"/>
      </w:r>
      <w:r>
        <w:instrText xml:space="preserve"> PAGEREF _Toc2397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1F4D7CE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8"/>
          <w:szCs w:val="28"/>
          <w:lang w:val="en-US" w:eastAsia="zh-CN"/>
        </w:rPr>
      </w:pPr>
      <w:r>
        <w:rPr>
          <w:rFonts w:hint="eastAsia" w:ascii="宋体" w:hAnsi="宋体" w:eastAsia="宋体" w:cs="宋体"/>
          <w:bCs/>
          <w:color w:val="000000"/>
          <w:kern w:val="0"/>
          <w:szCs w:val="28"/>
          <w:lang w:val="en-US" w:eastAsia="zh-CN"/>
        </w:rPr>
        <w:fldChar w:fldCharType="end"/>
      </w:r>
    </w:p>
    <w:p w14:paraId="4B01877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8"/>
          <w:szCs w:val="28"/>
        </w:rPr>
      </w:pPr>
      <w:bookmarkStart w:id="0" w:name="_Toc4323"/>
      <w:r>
        <w:rPr>
          <w:rFonts w:hint="eastAsia" w:ascii="宋体" w:hAnsi="宋体" w:eastAsia="宋体" w:cs="宋体"/>
          <w:b/>
          <w:bCs/>
          <w:color w:val="000000"/>
          <w:kern w:val="0"/>
          <w:sz w:val="28"/>
          <w:szCs w:val="28"/>
          <w:lang w:val="en-US" w:eastAsia="zh-CN"/>
        </w:rPr>
        <w:t xml:space="preserve">1 </w:t>
      </w:r>
      <w:r>
        <w:rPr>
          <w:rFonts w:hint="default" w:ascii="宋体" w:hAnsi="宋体" w:eastAsia="宋体" w:cs="宋体"/>
          <w:b/>
          <w:bCs/>
          <w:color w:val="000000"/>
          <w:kern w:val="0"/>
          <w:sz w:val="28"/>
          <w:szCs w:val="28"/>
        </w:rPr>
        <w:t>引言</w:t>
      </w:r>
      <w:bookmarkEnd w:id="0"/>
    </w:p>
    <w:p w14:paraId="0A6C693B">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 w:name="_Toc924"/>
      <w:r>
        <w:rPr>
          <w:rFonts w:hint="default" w:ascii="宋体" w:hAnsi="宋体" w:eastAsia="宋体" w:cs="宋体"/>
          <w:b/>
          <w:bCs/>
          <w:color w:val="000000"/>
          <w:kern w:val="0"/>
          <w:sz w:val="24"/>
          <w:szCs w:val="24"/>
        </w:rPr>
        <w:t>项目背景</w:t>
      </w:r>
      <w:bookmarkEnd w:id="1"/>
    </w:p>
    <w:p w14:paraId="577E74C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为及时掌握云南省企业就业与失业情况，规范企业数据采集、审核、汇总、分析和上报流程，有必要建设统一的《云南省企业就业失业数据采集系统》。</w:t>
      </w:r>
    </w:p>
    <w:p w14:paraId="19C5A08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当前企业就业失业数据的统计工作涉及企业填报、市级审核、省级汇总以及上报部委等多个环节，业务链条较长，参与角色较多，若缺少统一的信息系统支撑，容易出现数据口径不一致、上报不及时、审核效率低、统计分析困难等问题。因此，建设本系统对于提升就业失业数据采集效率、增强数据管理规范性、支撑上级主管部门决策分析具有重要意义。</w:t>
      </w:r>
    </w:p>
    <w:p w14:paraId="6CF4AC3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项目正是在这一背景下启动，旨在通过信息化手段建立标准化、可追踪的数据采集与管理平台，面向企业用户、市级管理部门、省级管理部门及系统管理员，围绕企业备案、月度数据填报、逐级审核、汇总分析、通知发布及系统管理等核心业务，实现全省就业失业监测工作的统一与规范。</w:t>
      </w:r>
    </w:p>
    <w:p w14:paraId="648DE223">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ind w:left="0" w:leftChars="0" w:firstLine="0" w:firstLineChars="0"/>
        <w:jc w:val="both"/>
        <w:textAlignment w:val="auto"/>
        <w:outlineLvl w:val="1"/>
        <w:rPr>
          <w:rFonts w:hint="default" w:ascii="宋体" w:hAnsi="宋体" w:eastAsia="宋体" w:cs="宋体"/>
          <w:b/>
          <w:bCs/>
          <w:color w:val="000000"/>
          <w:kern w:val="0"/>
          <w:sz w:val="24"/>
          <w:szCs w:val="24"/>
        </w:rPr>
      </w:pPr>
      <w:bookmarkStart w:id="2" w:name="_Toc26384"/>
      <w:r>
        <w:rPr>
          <w:rFonts w:hint="default" w:ascii="宋体" w:hAnsi="宋体" w:eastAsia="宋体" w:cs="宋体"/>
          <w:b/>
          <w:bCs/>
          <w:color w:val="000000"/>
          <w:kern w:val="0"/>
          <w:sz w:val="24"/>
          <w:szCs w:val="24"/>
        </w:rPr>
        <w:t>项目目标</w:t>
      </w:r>
      <w:bookmarkEnd w:id="2"/>
    </w:p>
    <w:p w14:paraId="535B2AD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项目的建设目标主要包括以下几个方面：建立统一的企业就业失业数据采集平台，实现企业基础信息备案、月度数据填报和历史数据查询；建立省、市、企业三级业务协同机制，实现企业上报、市局审核、省局汇总与上报的闭环管理；提供数据汇总、图表分析、多维分析、数据导出等功能，为管理部门提供统计分析支撑；通过通知管理、用户管理、角色管理、上报时限管理和系统监控等功能，提升系统运行的规范性和可维护性；同时实现与国家失业监测系统的数据接口对接，提高数据共享和上报效率。</w:t>
      </w:r>
    </w:p>
    <w:p w14:paraId="03A1FEE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Segoe UI" w:hAnsi="Segoe UI" w:eastAsia="Segoe UI" w:cs="Segoe UI"/>
          <w:i w:val="0"/>
          <w:iCs w:val="0"/>
          <w:caps w:val="0"/>
          <w:color w:val="0F1115"/>
          <w:spacing w:val="0"/>
          <w:sz w:val="16"/>
          <w:szCs w:val="16"/>
          <w:shd w:val="clear" w:fill="FFFFFF"/>
        </w:rPr>
      </w:pPr>
      <w:r>
        <w:rPr>
          <w:rFonts w:hint="eastAsia" w:ascii="Times New Roman" w:hAnsi="Times New Roman" w:eastAsia="宋体" w:cs="宋体"/>
          <w:color w:val="000000"/>
          <w:kern w:val="0"/>
          <w:sz w:val="24"/>
          <w:szCs w:val="24"/>
        </w:rPr>
        <w:t>项目将严格遵循云南省关于就业失业监测的业务规范，确保数据上报口径与国家失业监测系统标准接口保持一致，并在国产化软硬件环境下完成适配部署。</w:t>
      </w:r>
    </w:p>
    <w:p w14:paraId="62EB7CBA">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ind w:left="0" w:leftChars="0" w:firstLine="0" w:firstLineChars="0"/>
        <w:jc w:val="both"/>
        <w:textAlignment w:val="auto"/>
        <w:outlineLvl w:val="1"/>
        <w:rPr>
          <w:rFonts w:hint="default" w:ascii="宋体" w:hAnsi="宋体" w:eastAsia="宋体" w:cs="宋体"/>
          <w:b/>
          <w:bCs/>
          <w:color w:val="000000"/>
          <w:kern w:val="0"/>
          <w:sz w:val="24"/>
          <w:szCs w:val="24"/>
        </w:rPr>
      </w:pPr>
      <w:bookmarkStart w:id="3" w:name="_Toc23882"/>
      <w:r>
        <w:rPr>
          <w:rFonts w:hint="default" w:ascii="宋体" w:hAnsi="宋体" w:eastAsia="宋体" w:cs="宋体"/>
          <w:b/>
          <w:bCs/>
          <w:color w:val="000000"/>
          <w:kern w:val="0"/>
          <w:sz w:val="24"/>
          <w:szCs w:val="24"/>
        </w:rPr>
        <w:t>文档范围与读者对象</w:t>
      </w:r>
      <w:bookmarkEnd w:id="3"/>
    </w:p>
    <w:p w14:paraId="40FAC0A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本文档为《云南省企业就业失业数据采集系统》的项目计划，旨在明确项目的范围、进度、成本、质量、风险、人力资源及配置管理等方面的具体安排，作为项目团队执行与控制的基准。</w:t>
      </w:r>
    </w:p>
    <w:p w14:paraId="36E7279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文档主要面向项目开发团队、测试团队、配置管理人员、质量保证人员以及项目甲方代表。开发人员应依据本计划开展编码与单元测试工作，测试团队应参照计划中的里程碑和质量目标设计测试用例，配置管理人员需依据配置管理策略建立版本控制与变更控制流程，甲方代表可通过本计划了解项目整体推进节奏与交付成果。此外，本文档也可供项目后期运维人员参考，以便理解系统建设过程中的关键决策与约束条件。</w:t>
      </w:r>
    </w:p>
    <w:p w14:paraId="71367F33">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ind w:left="0" w:leftChars="0" w:firstLine="0" w:firstLineChars="0"/>
        <w:jc w:val="both"/>
        <w:textAlignment w:val="auto"/>
        <w:outlineLvl w:val="1"/>
        <w:rPr>
          <w:rFonts w:hint="default" w:ascii="宋体" w:hAnsi="宋体" w:eastAsia="宋体" w:cs="宋体"/>
          <w:b/>
          <w:bCs/>
          <w:color w:val="000000"/>
          <w:kern w:val="0"/>
          <w:sz w:val="24"/>
          <w:szCs w:val="24"/>
        </w:rPr>
      </w:pPr>
      <w:bookmarkStart w:id="4" w:name="_Toc24203"/>
      <w:r>
        <w:rPr>
          <w:rFonts w:hint="default" w:ascii="宋体" w:hAnsi="宋体" w:eastAsia="宋体" w:cs="宋体"/>
          <w:b/>
          <w:bCs/>
          <w:color w:val="000000"/>
          <w:kern w:val="0"/>
          <w:sz w:val="24"/>
          <w:szCs w:val="24"/>
        </w:rPr>
        <w:t>术语与定义</w:t>
      </w:r>
      <w:bookmarkEnd w:id="4"/>
    </w:p>
    <w:p w14:paraId="456CE5F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文档中涉及的术语定义如下：调查期指省级管理部门规定的企业就业失业数据填报的时间周期，通常以月或季度为单位；备案指企业在首次使用系统时需提交的基础信息，包括统一社会信用代码、企业名称、所属行业、联系方式等，经省级审核通过后方可进行数据填报；审核分为市级初审和省级终审，市级负责辖区内企业填报数据的审核与退回，省级负责全省数据的汇总与最终确认；退回指当数据不符合要求时，审核方将数据退回至上一级并附明原因，由企业修改后重新提交；基线是指项目计划、需求文档等配置项在经过正式评审和批准后形成的稳定版本，后续变更必须经过正规变更流程；变更单是记录需求变更请求的正式文件，包含变更描述、原因分析、影响评估及审批意见；配置管理是指通过版本控制工具对项目文档、代码等配置项进行标识、存储、控制和审计的过程，确保变更的可追溯性；工作分解结构是将项目可交付成果分解为更小、更易管理工作包的方法，是进度和成本估算的基础。</w:t>
      </w:r>
    </w:p>
    <w:p w14:paraId="4644D79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p>
    <w:p w14:paraId="18C8F07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8"/>
          <w:szCs w:val="28"/>
          <w:lang w:val="en-US" w:eastAsia="zh-CN"/>
        </w:rPr>
      </w:pPr>
      <w:bookmarkStart w:id="5" w:name="_Toc7658"/>
      <w:r>
        <w:rPr>
          <w:rFonts w:hint="default" w:ascii="宋体" w:hAnsi="宋体" w:eastAsia="宋体" w:cs="宋体"/>
          <w:b/>
          <w:bCs/>
          <w:color w:val="000000"/>
          <w:kern w:val="0"/>
          <w:sz w:val="28"/>
          <w:szCs w:val="28"/>
          <w:lang w:val="en-US" w:eastAsia="zh-CN"/>
        </w:rPr>
        <w:t>2</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项目范围管理</w:t>
      </w:r>
      <w:bookmarkEnd w:id="5"/>
    </w:p>
    <w:p w14:paraId="27E2ED9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6" w:name="_Toc2453"/>
      <w:r>
        <w:rPr>
          <w:rFonts w:hint="default" w:ascii="宋体" w:hAnsi="宋体" w:eastAsia="宋体" w:cs="宋体"/>
          <w:b/>
          <w:bCs/>
          <w:color w:val="000000"/>
          <w:kern w:val="0"/>
          <w:sz w:val="24"/>
          <w:szCs w:val="24"/>
        </w:rPr>
        <w:t>2.1 产品范围</w:t>
      </w:r>
      <w:bookmarkEnd w:id="6"/>
    </w:p>
    <w:p w14:paraId="0C9964F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产品范围涵盖《云南省企业就业失业数据采集系统》的全部功能模块，具体包括企业端数据采集与备案子系统、市级端数据审核与辖区调度子系统、省级端数据管理与分析子系统以及省级端系统管理与后台维护子系统四个主要部分。</w:t>
      </w:r>
    </w:p>
    <w:p w14:paraId="2B1E007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eastAsia" w:ascii="宋体" w:hAnsi="宋体" w:eastAsia="宋体" w:cs="宋体"/>
          <w:b/>
          <w:bCs/>
          <w:color w:val="000000"/>
          <w:kern w:val="0"/>
          <w:sz w:val="24"/>
          <w:szCs w:val="24"/>
        </w:rPr>
      </w:pPr>
      <w:bookmarkStart w:id="7" w:name="_Toc12208"/>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.1</w:t>
      </w:r>
      <w:r>
        <w:rPr>
          <w:rFonts w:hint="default" w:ascii="宋体" w:hAnsi="宋体" w:eastAsia="宋体" w:cs="宋体"/>
          <w:b/>
          <w:bCs/>
          <w:color w:val="000000"/>
          <w:kern w:val="0"/>
          <w:sz w:val="24"/>
          <w:szCs w:val="24"/>
        </w:rPr>
        <w:t xml:space="preserve"> 企业端数据采集与备案子系统</w:t>
      </w:r>
      <w:bookmarkEnd w:id="7"/>
    </w:p>
    <w:p w14:paraId="14BDAE5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数据采集与备案子系统面向全省各企业用户，提供企业基础信息的首次备案与变更申请功能，企业在首次使用系统时需录入统一社会信用代码、企业名称、所属行业、联系方式等基本信息，经省级审核通过后方可开展后续业务。该系统还支持企业在规定的调查期内按照模板填报就业失业数据，包括数据的暂存与提交功能，并在填报过程中进行合法性校验——当调查期就业人数小于建档期就业人数时，系统强制要求填写减少原因及说明，超过上报时间则禁止提交。此外，企业端还提供历史报表流转状态查询、各级政策通知浏览、密码修改以及忘记密码找回等账户安全管理功能。</w:t>
      </w:r>
    </w:p>
    <w:p w14:paraId="13C271C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Times New Roman" w:hAnsi="Times New Roman" w:eastAsia="宋体" w:cs="宋体"/>
          <w:color w:val="000000"/>
          <w:kern w:val="0"/>
          <w:sz w:val="24"/>
          <w:szCs w:val="24"/>
        </w:rPr>
      </w:pPr>
      <w:bookmarkStart w:id="8" w:name="_Toc3773"/>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.2</w:t>
      </w:r>
      <w:r>
        <w:rPr>
          <w:rFonts w:hint="default" w:ascii="宋体" w:hAnsi="宋体" w:eastAsia="宋体" w:cs="宋体"/>
          <w:b/>
          <w:bCs/>
          <w:color w:val="000000"/>
          <w:kern w:val="0"/>
          <w:sz w:val="24"/>
          <w:szCs w:val="24"/>
        </w:rPr>
        <w:t xml:space="preserve"> 市级端数据审核与辖区调度子系统</w:t>
      </w:r>
      <w:bookmarkEnd w:id="8"/>
    </w:p>
    <w:p w14:paraId="3912228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数据审核与辖区调度子系统面向各市级管理部门，提供对企业上报数据的审核与退回操作。市级用户可查看企业填报的数据详情及历史记录，审核通过后数据自动上报至省级，退回时系统强制要求填写退回原因并将该原因与数据一并记录，同时通知企业用户。该系统还提供辖区填报进度统计看板，以图表形式展示辖区企业总数、已报数、未报数、审核通过率等关键指标。同时支持按调查期、企业维度导出审核通过的数据为Excel文件，提供退回历史查询功能，以及通知发布和账户安全管理等功能。</w:t>
      </w:r>
    </w:p>
    <w:p w14:paraId="00897E1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Times New Roman" w:hAnsi="Times New Roman" w:eastAsia="宋体" w:cs="宋体"/>
          <w:color w:val="000000"/>
          <w:kern w:val="0"/>
          <w:sz w:val="24"/>
          <w:szCs w:val="24"/>
        </w:rPr>
      </w:pPr>
      <w:bookmarkStart w:id="9" w:name="_Toc5996"/>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.3</w:t>
      </w:r>
      <w:r>
        <w:rPr>
          <w:rFonts w:hint="default" w:ascii="宋体" w:hAnsi="宋体" w:eastAsia="宋体" w:cs="宋体"/>
          <w:b/>
          <w:bCs/>
          <w:color w:val="000000"/>
          <w:kern w:val="0"/>
          <w:sz w:val="24"/>
          <w:szCs w:val="24"/>
        </w:rPr>
        <w:t xml:space="preserve"> 省级端数据管理与分析子系统</w:t>
      </w:r>
      <w:bookmarkEnd w:id="9"/>
    </w:p>
    <w:p w14:paraId="311552B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管理与分析子系统面向省级管理部门，提供全省数据的统一汇总与修正功能。系统按调查期对各市上报数据进行汇总并生成全省统计结果，对于明显错误的数据允许修正，但原始上报数据不可被覆盖，修正数据需单独存储并完整记录修改日志，确保可追溯性。该系统还提供多维度统计分析与图表展示，包括按地区、行业、企业性质等维度进行分析，支持取样分析、对比分析和趋势分析，分析结果可导出为Excel文件。此外，省级端数据管理子系统还负责企业备案信息的审核、数据上报至部级系统、通知发布与浏览、数据质量监控与预警、审计日志查询以及账户安全管理等功能。</w:t>
      </w:r>
    </w:p>
    <w:p w14:paraId="3DC56C3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宋体" w:hAnsi="宋体" w:eastAsia="宋体" w:cs="宋体"/>
          <w:b/>
          <w:bCs/>
          <w:color w:val="000000"/>
          <w:kern w:val="0"/>
          <w:sz w:val="24"/>
          <w:szCs w:val="24"/>
        </w:rPr>
      </w:pPr>
      <w:bookmarkStart w:id="10" w:name="_Toc32265"/>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.4</w:t>
      </w:r>
      <w:r>
        <w:rPr>
          <w:rFonts w:hint="default" w:ascii="宋体" w:hAnsi="宋体" w:eastAsia="宋体" w:cs="宋体"/>
          <w:b/>
          <w:bCs/>
          <w:color w:val="000000"/>
          <w:kern w:val="0"/>
          <w:sz w:val="24"/>
          <w:szCs w:val="24"/>
        </w:rPr>
        <w:t xml:space="preserve"> 省级端系统管理与后台维护子系统</w:t>
      </w:r>
      <w:bookmarkEnd w:id="10"/>
    </w:p>
    <w:p w14:paraId="6E185D4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与后台维护子系统面向省级系统管理员，提供用户与角色的统一管理功能。系统支持用户的新增、修改与删除操作，新增用户时可填写基本信息并分配角色，删除用户时系统校验该用户是否存在已上报业务数据，若存在则禁止删除以保证数据完整性。角色管理方面，支持角色的创建、修改与删除，并为不同角色分配相应的功能权限，系统预定义省级用户、市级用户、企业用户等基础角色，删除角色时若该角色已被用户使用，系统提示并解除关联后方可删除。该系统还提供上报时限管理功能，支持新增和修改调查期时间范围以控制企业填报周期；系统监控功能实时展示CPU、内存、硬盘等资源使用情况；操作日志管理功能记录用户登录、权限变更、配置修改等系统级关键操作，并支持按条件查询与追溯。</w:t>
      </w:r>
    </w:p>
    <w:p w14:paraId="65DCA7B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宋体" w:hAnsi="宋体" w:eastAsia="宋体" w:cs="宋体"/>
          <w:b/>
          <w:bCs/>
          <w:color w:val="000000"/>
          <w:kern w:val="0"/>
          <w:sz w:val="24"/>
          <w:szCs w:val="24"/>
          <w:lang w:val="en-US" w:eastAsia="zh-CN"/>
        </w:rPr>
      </w:pPr>
      <w:bookmarkStart w:id="11" w:name="_Toc12704"/>
      <w:r>
        <w:rPr>
          <w:rFonts w:hint="default" w:ascii="宋体" w:hAnsi="宋体" w:eastAsia="宋体" w:cs="宋体"/>
          <w:b/>
          <w:bCs/>
          <w:color w:val="000000"/>
          <w:kern w:val="0"/>
          <w:sz w:val="24"/>
          <w:szCs w:val="24"/>
          <w:lang w:val="en-US" w:eastAsia="zh-CN"/>
        </w:rPr>
        <w:t>2.1</w:t>
      </w:r>
      <w:r>
        <w:rPr>
          <w:rFonts w:hint="eastAsia" w:ascii="宋体" w:hAnsi="宋体" w:eastAsia="宋体" w:cs="宋体"/>
          <w:b/>
          <w:bCs/>
          <w:color w:val="000000"/>
          <w:kern w:val="0"/>
          <w:sz w:val="24"/>
          <w:szCs w:val="24"/>
          <w:lang w:val="en-US" w:eastAsia="zh-CN"/>
        </w:rPr>
        <w:t>.5</w:t>
      </w:r>
      <w:r>
        <w:rPr>
          <w:rFonts w:hint="default" w:ascii="宋体" w:hAnsi="宋体" w:eastAsia="宋体" w:cs="宋体"/>
          <w:b/>
          <w:bCs/>
          <w:color w:val="000000"/>
          <w:kern w:val="0"/>
          <w:sz w:val="24"/>
          <w:szCs w:val="24"/>
          <w:lang w:val="en-US" w:eastAsia="zh-CN"/>
        </w:rPr>
        <w:t xml:space="preserve"> 排除范围</w:t>
      </w:r>
      <w:bookmarkEnd w:id="11"/>
    </w:p>
    <w:p w14:paraId="4C81B91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本项目明确排除以下范围：功能方面，不涵盖底层物理硬件设备的部署与日常维护，不包含企业内部的人力资源管理系统或企业财务结算业务处理。</w:t>
      </w:r>
    </w:p>
    <w:p w14:paraId="5CC6994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数据方面，禁止处理与就业失业监测无关的员工个人隐私明细数据（如未脱敏的个人生物特征数据）及非结构化原始凭证，所有采集的企业与个人数据仅限在云南省政务云境内存储。</w:t>
      </w:r>
    </w:p>
    <w:p w14:paraId="72E72CE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宋体" w:hAnsi="宋体" w:eastAsia="宋体" w:cs="宋体"/>
          <w:b/>
          <w:bCs/>
          <w:color w:val="000000"/>
          <w:kern w:val="0"/>
          <w:sz w:val="24"/>
          <w:szCs w:val="24"/>
        </w:rPr>
      </w:pPr>
      <w:r>
        <w:rPr>
          <w:rFonts w:hint="default" w:ascii="Times New Roman" w:hAnsi="Times New Roman" w:eastAsia="宋体" w:cs="宋体"/>
          <w:color w:val="000000"/>
          <w:kern w:val="0"/>
          <w:sz w:val="24"/>
          <w:szCs w:val="24"/>
        </w:rPr>
        <w:t>兼容性方面，不支持Windows Server 2012以下版本系统，不支持未满足国家信息安全等级保护三级标准的运行环境，核心代码严禁引入未经安全审查的第三方开源组件。</w:t>
      </w:r>
    </w:p>
    <w:p w14:paraId="2A43D23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2" w:name="_Toc25668"/>
      <w:r>
        <w:rPr>
          <w:rFonts w:hint="default" w:ascii="宋体" w:hAnsi="宋体" w:eastAsia="宋体" w:cs="宋体"/>
          <w:b/>
          <w:bCs/>
          <w:color w:val="000000"/>
          <w:kern w:val="0"/>
          <w:sz w:val="24"/>
          <w:szCs w:val="24"/>
        </w:rPr>
        <w:t>2.2 主要交付物</w:t>
      </w:r>
      <w:bookmarkEnd w:id="12"/>
    </w:p>
    <w:p w14:paraId="6E57C74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本项目的主要交付物包括可运行的软件系统、项目文档以及配置管理与变更记录。</w:t>
      </w:r>
    </w:p>
    <w:p w14:paraId="335A2BA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lang w:eastAsia="zh-CN"/>
        </w:rPr>
      </w:pPr>
      <w:r>
        <w:rPr>
          <w:rFonts w:hint="default" w:ascii="Times New Roman" w:hAnsi="Times New Roman" w:eastAsia="宋体" w:cs="宋体"/>
          <w:color w:val="000000"/>
          <w:kern w:val="0"/>
          <w:sz w:val="24"/>
          <w:szCs w:val="24"/>
        </w:rPr>
        <w:t>软件系统为《云南省企业就业失业数据采集系统》Web应用，包含企业端、市级端、省级端数据管理与分析、省级端系统管理四个子系统</w:t>
      </w:r>
      <w:r>
        <w:rPr>
          <w:rFonts w:hint="eastAsia" w:ascii="Times New Roman" w:hAnsi="Times New Roman" w:eastAsia="宋体" w:cs="宋体"/>
          <w:color w:val="000000"/>
          <w:kern w:val="0"/>
          <w:sz w:val="24"/>
          <w:szCs w:val="24"/>
          <w:lang w:eastAsia="zh-CN"/>
        </w:rPr>
        <w:t>。</w:t>
      </w:r>
    </w:p>
    <w:p w14:paraId="7833E31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项目文档包括项目计划文档、需求规格说明书。</w:t>
      </w:r>
    </w:p>
    <w:p w14:paraId="1E969D8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宋体" w:hAnsi="宋体" w:eastAsia="宋体" w:cs="宋体"/>
          <w:b/>
          <w:bCs/>
          <w:color w:val="000000"/>
          <w:kern w:val="0"/>
          <w:sz w:val="24"/>
          <w:szCs w:val="24"/>
        </w:rPr>
      </w:pPr>
      <w:r>
        <w:rPr>
          <w:rFonts w:hint="default" w:ascii="Times New Roman" w:hAnsi="Times New Roman" w:eastAsia="宋体" w:cs="宋体"/>
          <w:color w:val="000000"/>
          <w:kern w:val="0"/>
          <w:sz w:val="24"/>
          <w:szCs w:val="24"/>
        </w:rPr>
        <w:t>配置管理与变更记录包括Git提交历史截图、多次需求变更申请单以及项目计划的迭代历史记录。</w:t>
      </w:r>
    </w:p>
    <w:p w14:paraId="64F78A9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13" w:name="_Toc6415"/>
      <w:r>
        <w:rPr>
          <w:rFonts w:hint="default" w:ascii="宋体" w:hAnsi="宋体" w:eastAsia="宋体" w:cs="宋体"/>
          <w:b/>
          <w:bCs/>
          <w:color w:val="000000"/>
          <w:kern w:val="0"/>
          <w:sz w:val="24"/>
          <w:szCs w:val="24"/>
        </w:rPr>
        <w:t>2.3 工作分解结构（WBS）</w:t>
      </w:r>
      <w:bookmarkEnd w:id="13"/>
    </w:p>
    <w:p w14:paraId="4260FA4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本项目按功能模块进行分解，具体如下：</w:t>
      </w:r>
    </w:p>
    <w:p w14:paraId="7DC1AD8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企业端：包含备案信息录入与变更、月度数据填报（暂存/提交）、历史查询、通知浏览、账户管理（密码修改、忘记密码）等功能。</w:t>
      </w:r>
    </w:p>
    <w:p w14:paraId="4F1F375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市级端：包含数据审核（通过/退回并填写原因）、统计看板、数据导出、退回历史查询、通知发布、账户管理等功能。</w:t>
      </w:r>
    </w:p>
    <w:p w14:paraId="47852FF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省级端（数据分析）：包含全省数据汇总、数据修正（留痕）、多维度统计分析（图表导出）、企业备案审核、数据上报至部级系统、质量监控预警、审计日志查询等功能。</w:t>
      </w:r>
    </w:p>
    <w:p w14:paraId="383361A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省级端（系统管理）：包含用户管理（增删改查，删除校验）、角色与权限管理、调查期配置、系统监控（CPU/内存/硬盘）、操作日志管理等功能。</w:t>
      </w:r>
    </w:p>
    <w:p w14:paraId="16614AF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非功能需求实现：包含性能优化（高并发响应）、安全性（加密、角色隔离）、可靠性（事务、容错）、易用性、可维护性、可扩展性、兼容性、可审计性等。</w:t>
      </w:r>
    </w:p>
    <w:p w14:paraId="1A3F59F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文档与部署：包含用户手册、部署手册、测试报告、数据库脚本、Docker镜像及Kubernetes配置。</w:t>
      </w:r>
    </w:p>
    <w:p w14:paraId="367F500F">
      <w:pPr>
        <w:keepNext w:val="0"/>
        <w:keepLines w:val="0"/>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宋体"/>
          <w:b/>
          <w:bCs/>
          <w:color w:val="000000"/>
          <w:kern w:val="0"/>
          <w:sz w:val="24"/>
          <w:szCs w:val="24"/>
        </w:rPr>
      </w:pPr>
      <w:r>
        <w:rPr>
          <w:rFonts w:hint="default" w:ascii="Times New Roman" w:hAnsi="Times New Roman" w:eastAsia="宋体" w:cs="宋体"/>
          <w:b/>
          <w:bCs/>
          <w:color w:val="000000"/>
          <w:kern w:val="0"/>
          <w:sz w:val="24"/>
          <w:szCs w:val="24"/>
        </w:rPr>
        <w:t>WBS字典简要说明</w:t>
      </w:r>
    </w:p>
    <w:p w14:paraId="3565DCE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企业端：实现企业用户所有操作界面与后台逻辑，确保数据填报的合法性校验及与市级、省级的流转。</w:t>
      </w:r>
    </w:p>
    <w:p w14:paraId="783A14A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市级端：实现市级审核员对辖区内企业数据的审核、退回、统计及通知管理，确保审核流程可追溯。</w:t>
      </w:r>
    </w:p>
    <w:p w14:paraId="0C38927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省级端（数据分析）：实现省级用户对全省数据的汇总、修正、分析及上报，提供决策支持。</w:t>
      </w:r>
    </w:p>
    <w:p w14:paraId="08DAD6C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省级端（系统管理）：实现系统管理员对用户、角色、调查期、系统运行状态的统一管理及日志审计。</w:t>
      </w:r>
    </w:p>
    <w:p w14:paraId="7E2C863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非功能需求实现：针对SRS第5章的各项非功能要求进行设计、编码与测试，保障系统质量。</w:t>
      </w:r>
    </w:p>
    <w:p w14:paraId="3D7FC43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pPr>
      <w:r>
        <w:rPr>
          <w:rFonts w:hint="default" w:ascii="Times New Roman" w:hAnsi="Times New Roman" w:eastAsia="宋体" w:cs="宋体"/>
          <w:color w:val="000000"/>
          <w:kern w:val="0"/>
          <w:sz w:val="24"/>
          <w:szCs w:val="24"/>
        </w:rPr>
        <w:t>文档与部署：完成所有项目文档编写、系统打包、环境配置及部署验证，确保系统可交付运行。</w:t>
      </w:r>
    </w:p>
    <w:p w14:paraId="67AB3916">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4" w:name="_Toc13754"/>
      <w:r>
        <w:rPr>
          <w:rFonts w:hint="default" w:ascii="宋体" w:hAnsi="宋体" w:eastAsia="宋体" w:cs="宋体"/>
          <w:b/>
          <w:bCs/>
          <w:color w:val="000000"/>
          <w:kern w:val="0"/>
          <w:sz w:val="24"/>
          <w:szCs w:val="24"/>
        </w:rPr>
        <w:t>2.4 范围验收标准</w:t>
      </w:r>
      <w:bookmarkEnd w:id="14"/>
    </w:p>
    <w:p w14:paraId="66A058C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的验收标准为企业用户能够完成备案信息的首次录入与变更申请，系统对关键字段进行格式校验并提交省级审核；能够在调查期内填报就业失业数据，支持暂存与提交，当就业人数异常时强制填写减少原因，超期后禁止提交；能够按调查期查询历史填报数据且仅支持查看；能够浏览通知列表及详情；能够修改密码并通过忘记密码流程找回账户。</w:t>
      </w:r>
    </w:p>
    <w:p w14:paraId="5E9CD00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的验收标准为市级用户能够查看待审核数据列表，对数据执行通过或退回操作，退回时必须填写原因并自动通知企业；能够查看统计看板，展示辖区企业总数、已报数、未报数及通过率；能够按条件导出审核通过的数据为Excel文件；能够查询退回历史并展示原因；能够发布通知并推送至企业端。</w:t>
      </w:r>
    </w:p>
    <w:p w14:paraId="4EBE21F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分析子系统的验收标准为省级用户能够按调查期汇总全省数据，对错误数据进行修正且原始数据不被覆盖、修改日志完整记录；能够按地区、行业等维度生成统计图表并导出Excel；能够审核企业备案信息；能够将汇总数据上报至部级系统；能够自动检测缺报、数据波动异常并发出预警；能够按条件查询审计日志。</w:t>
      </w:r>
    </w:p>
    <w:p w14:paraId="3268A23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子系统的验收标准为系统管理员能够新增、修改、删除用户，删除用户时若存在上报数据则禁止删除；能够创建、修改、删除角色并分配权限，删除角色时若已被用户使用则需解除关联；能够新增和修改调查期时间范围；能够实时查看CPU、内存、硬盘等监控指标；能够记录并查询用户登录、权限变更等操作日志。</w:t>
      </w:r>
    </w:p>
    <w:p w14:paraId="6524FC9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lang w:eastAsia="zh-CN"/>
        </w:rPr>
      </w:pPr>
      <w:r>
        <w:rPr>
          <w:rFonts w:hint="default" w:ascii="Times New Roman" w:hAnsi="Times New Roman" w:eastAsia="宋体" w:cs="宋体"/>
          <w:color w:val="000000"/>
          <w:kern w:val="0"/>
          <w:sz w:val="24"/>
          <w:szCs w:val="24"/>
        </w:rPr>
        <w:t>非功能需求的验收标准依据SRS第5章，要求常规操作响应时间在合理范围内，系统具备高并发处理能力；核心业务流程具备事务回滚机制；数据传输与存储加密，角色权限隔离；界面提供清晰的填写提示与错误指引；支持国产化环境部署；所有数据修正和关键操作均留痕可审计。文档与部署的验收标准为项目计划、需求规格说明书齐全</w:t>
      </w:r>
      <w:r>
        <w:rPr>
          <w:rFonts w:hint="eastAsia" w:ascii="Times New Roman" w:hAnsi="Times New Roman" w:eastAsia="宋体" w:cs="宋体"/>
          <w:color w:val="000000"/>
          <w:kern w:val="0"/>
          <w:sz w:val="24"/>
          <w:szCs w:val="24"/>
          <w:lang w:eastAsia="zh-CN"/>
        </w:rPr>
        <w:t>。</w:t>
      </w:r>
    </w:p>
    <w:p w14:paraId="7699657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15" w:name="_Toc2821"/>
      <w:r>
        <w:rPr>
          <w:rFonts w:hint="default" w:ascii="宋体" w:hAnsi="宋体" w:eastAsia="宋体" w:cs="宋体"/>
          <w:b/>
          <w:bCs/>
          <w:color w:val="000000"/>
          <w:kern w:val="0"/>
          <w:sz w:val="28"/>
          <w:szCs w:val="28"/>
          <w:lang w:val="en-US" w:eastAsia="zh-CN"/>
        </w:rPr>
        <w:t>3</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进度管理</w:t>
      </w:r>
      <w:bookmarkEnd w:id="15"/>
    </w:p>
    <w:p w14:paraId="2335F55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6" w:name="_Toc13299"/>
      <w:r>
        <w:rPr>
          <w:rFonts w:hint="default" w:ascii="宋体" w:hAnsi="宋体" w:eastAsia="宋体" w:cs="宋体"/>
          <w:b/>
          <w:bCs/>
          <w:color w:val="000000"/>
          <w:kern w:val="0"/>
          <w:sz w:val="24"/>
          <w:szCs w:val="24"/>
        </w:rPr>
        <w:t>3.1 活动定义</w:t>
      </w:r>
      <w:bookmarkEnd w:id="16"/>
    </w:p>
    <w:p w14:paraId="60B3BFF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为确保《云南省企业就业失业数据采集系统》的高效推进，项目组以上一阶段明确的WBS工作包为依据，将其进一步细化为团队十名成员可独立执行与追踪的具体活动。</w:t>
      </w:r>
    </w:p>
    <w:p w14:paraId="044B9E7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在前期准备与架构阶段，主要活动包括需求基线评审、数据库物理模型建立以及Docker与Kubernetes底层容器化部署环境的搭建。在核心业务模块开发阶段，活动被严格按照四大子系统进行拆解。</w:t>
      </w:r>
    </w:p>
    <w:p w14:paraId="418BEB1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企业端，细分出了企业首次备案与变更模块开发、月度数据填报与合法性强制校验（如就业人数异常拦截）逻辑编写、填报草稿暂存机制开发、历史只读查询页面与通知中心展示开发，以及包含找回密码流程的账户管理开发。</w:t>
      </w:r>
    </w:p>
    <w:p w14:paraId="194BB1A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针对市级端，定义了待审队列与审批流转开发（包含退回原因必填与自动通知触发逻辑）、涵盖企业总数与通过率的渐变色统计看板渲染、多条件结构化数据Excel导出模块，以及向辖区下发通知的管理功能开发。</w:t>
      </w:r>
    </w:p>
    <w:p w14:paraId="68F5129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省级端，数据分析模块的活动细化为全省填报数据定时汇总入库、带有独立日志留痕且不覆盖原始数据的人工修正机制开发、基于多维度的数据可视化图表开发、企业备案的终审流转、对接国家部委标准接口的数据上报功能，以及自动预警缺报与数据异常波动的质量监控模块开发；系统管理模块则被分解为带有业务数据校验保护机制的用户与角色增删改查开发、动态调查期时间窗口配置开发、系统CPU/内存等底层运行状态的实时监控大屏开发，以及全方位操作审计日志溯源功能开发。</w:t>
      </w:r>
    </w:p>
    <w:p w14:paraId="141F95B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此外，测试与交付维度的活动则涵盖了高并发响应优化、全链路数据加密等非功能性需求的编码与验证，以及测试报告、用户部署手册的统筹编写。</w:t>
      </w:r>
    </w:p>
    <w:p w14:paraId="6AF2FE0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7" w:name="_Toc32427"/>
      <w:r>
        <w:rPr>
          <w:rFonts w:hint="default" w:ascii="宋体" w:hAnsi="宋体" w:eastAsia="宋体" w:cs="宋体"/>
          <w:b/>
          <w:bCs/>
          <w:color w:val="000000"/>
          <w:kern w:val="0"/>
          <w:sz w:val="24"/>
          <w:szCs w:val="24"/>
        </w:rPr>
        <w:t>3.2 活动排序（网络图，明确依赖关系）</w:t>
      </w:r>
      <w:bookmarkEnd w:id="17"/>
    </w:p>
    <w:p w14:paraId="6594834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在全面梳理出具体活动后，项目经理依据软件工程规范与各项业务流转的内在逻辑，明确了活动之间的依赖关系并构建了进度网络图。</w:t>
      </w:r>
    </w:p>
    <w:p w14:paraId="690E5E2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本项目的活动排序主要遵循“前置基础支撑后置业务，上游数据驱动下游审核”的流转逻辑。</w:t>
      </w:r>
    </w:p>
    <w:p w14:paraId="47643F5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首先，需求基线化与底层政务云软硬件环境适配、数据库架构设计是所有后续开发的绝对前置节点，必须优先完成。在进入编码阶段后，系统层面的基础支撑必须最先就绪，因此省级端“系统管理与后台维护子系统”中的角色权限控制底座与调查期时间范围配置活动被排在首位，作为全省用户登录鉴权与操作时间窗口管控的先决条件。紧接着展开的是业务闭环的排序：企业端的“基础备案信息录入与数据填报”活动必须优先于市级端开发，因为它是整个系统的业务源头与数据入口；随后才能并行推进市级端“数据审核与退回调度”活动的开发，以承接企业端上报的数据流；当市级审核节点打通后，省级端的“全省数据汇总入库、多维图表分析与异常预警”活动方具备真实的联调数据源，从而启动开发；最终流转至“对接部级系统接口数据上报”活动。</w:t>
      </w:r>
    </w:p>
    <w:p w14:paraId="054EDF2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贯穿整个周期的非功能性活动中，代码加密与并发处理等底层优化活动与功能开发并行，而跨层级的业务联调测试、渗透安全测试、系统试运行以及最终的操作手册编写则严格作为尾部节点，被置于所有核心业务代码冻结之后。通过识别这些强依赖关系，项目组明确了从权限搭建到填报、审核、汇总上报的项目关键路径，为后续甘特图的绘制提供了坚实依据。</w:t>
      </w:r>
    </w:p>
    <w:p w14:paraId="725495E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18" w:name="_Toc20011"/>
      <w:r>
        <w:rPr>
          <w:rFonts w:hint="default" w:ascii="宋体" w:hAnsi="宋体" w:eastAsia="宋体" w:cs="宋体"/>
          <w:b/>
          <w:bCs/>
          <w:color w:val="000000"/>
          <w:kern w:val="0"/>
          <w:sz w:val="24"/>
          <w:szCs w:val="24"/>
        </w:rPr>
        <w:t>3.3 活动历时估算</w:t>
      </w:r>
      <w:bookmarkEnd w:id="18"/>
    </w:p>
    <w:p w14:paraId="79FDE66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19" w:name="_Toc4127"/>
      <w:r>
        <w:rPr>
          <w:rFonts w:hint="default" w:ascii="宋体" w:hAnsi="宋体" w:eastAsia="宋体" w:cs="宋体"/>
          <w:b/>
          <w:bCs/>
          <w:color w:val="000000"/>
          <w:kern w:val="0"/>
          <w:sz w:val="24"/>
          <w:szCs w:val="24"/>
        </w:rPr>
        <w:t>方法：定额估算法、经验导出模型（如COCOMO）、PERT（三点估算）等</w:t>
      </w:r>
      <w:bookmarkEnd w:id="19"/>
    </w:p>
    <w:p w14:paraId="49AA36C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0" w:name="_Toc14998"/>
      <w:r>
        <w:rPr>
          <w:rFonts w:hint="default" w:ascii="宋体" w:hAnsi="宋体" w:eastAsia="宋体" w:cs="宋体"/>
          <w:b/>
          <w:bCs/>
          <w:color w:val="000000"/>
          <w:kern w:val="0"/>
          <w:sz w:val="24"/>
          <w:szCs w:val="24"/>
        </w:rPr>
        <w:t>3.4 制定进度计划</w:t>
      </w:r>
      <w:bookmarkEnd w:id="20"/>
    </w:p>
    <w:p w14:paraId="5DC6A3D2">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1" w:name="_Toc9515"/>
      <w:r>
        <w:rPr>
          <w:rFonts w:hint="default" w:ascii="宋体" w:hAnsi="宋体" w:eastAsia="宋体" w:cs="宋体"/>
          <w:b/>
          <w:bCs/>
          <w:color w:val="000000"/>
          <w:kern w:val="0"/>
          <w:sz w:val="24"/>
          <w:szCs w:val="24"/>
        </w:rPr>
        <w:t>关键路径法（CPM）</w:t>
      </w:r>
      <w:bookmarkEnd w:id="21"/>
    </w:p>
    <w:p w14:paraId="2C89549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2" w:name="_Toc14000"/>
      <w:r>
        <w:rPr>
          <w:rFonts w:hint="default" w:ascii="宋体" w:hAnsi="宋体" w:eastAsia="宋体" w:cs="宋体"/>
          <w:b/>
          <w:bCs/>
          <w:color w:val="000000"/>
          <w:kern w:val="0"/>
          <w:sz w:val="24"/>
          <w:szCs w:val="24"/>
        </w:rPr>
        <w:t>甘特图（使用Microsoft Project绘制，展示任务、依赖关系、里程碑）</w:t>
      </w:r>
      <w:bookmarkEnd w:id="22"/>
    </w:p>
    <w:p w14:paraId="1F427D7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3" w:name="_Toc8395"/>
      <w:r>
        <w:rPr>
          <w:rFonts w:hint="default" w:ascii="宋体" w:hAnsi="宋体" w:eastAsia="宋体" w:cs="宋体"/>
          <w:b/>
          <w:bCs/>
          <w:color w:val="000000"/>
          <w:kern w:val="0"/>
          <w:sz w:val="24"/>
          <w:szCs w:val="24"/>
        </w:rPr>
        <w:t>时间压缩法（如需赶工或快速跟进）</w:t>
      </w:r>
      <w:bookmarkEnd w:id="23"/>
    </w:p>
    <w:p w14:paraId="29741F4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p>
    <w:p w14:paraId="70B00B5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p>
    <w:p w14:paraId="06B7A39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4" w:name="_Toc3881"/>
      <w:r>
        <w:rPr>
          <w:rFonts w:hint="default" w:ascii="宋体" w:hAnsi="宋体" w:eastAsia="宋体" w:cs="宋体"/>
          <w:b/>
          <w:bCs/>
          <w:color w:val="000000"/>
          <w:kern w:val="0"/>
          <w:sz w:val="24"/>
          <w:szCs w:val="24"/>
        </w:rPr>
        <w:t>3.5 里程碑清单</w:t>
      </w:r>
      <w:bookmarkEnd w:id="24"/>
    </w:p>
    <w:p w14:paraId="75323A4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8"/>
          <w:szCs w:val="28"/>
          <w:lang w:val="en-US" w:eastAsia="zh-CN"/>
        </w:rPr>
      </w:pPr>
      <w:bookmarkStart w:id="25" w:name="_Toc25581"/>
      <w:r>
        <w:rPr>
          <w:rFonts w:hint="default" w:ascii="宋体" w:hAnsi="宋体" w:eastAsia="宋体" w:cs="宋体"/>
          <w:b/>
          <w:bCs/>
          <w:color w:val="000000"/>
          <w:kern w:val="0"/>
          <w:sz w:val="24"/>
          <w:szCs w:val="24"/>
        </w:rPr>
        <w:t>3.6 进度控制（偏差处理机制）</w:t>
      </w:r>
      <w:bookmarkEnd w:id="25"/>
    </w:p>
    <w:p w14:paraId="5A3C58E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26" w:name="_Toc21559"/>
      <w:r>
        <w:rPr>
          <w:rFonts w:hint="default" w:ascii="宋体" w:hAnsi="宋体" w:eastAsia="宋体" w:cs="宋体"/>
          <w:b/>
          <w:bCs/>
          <w:color w:val="000000"/>
          <w:kern w:val="0"/>
          <w:sz w:val="28"/>
          <w:szCs w:val="28"/>
          <w:lang w:val="en-US" w:eastAsia="zh-CN"/>
        </w:rPr>
        <w:t>4. 成本管理</w:t>
      </w:r>
      <w:bookmarkEnd w:id="26"/>
    </w:p>
    <w:p w14:paraId="7F60C6B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27" w:name="_Toc3333"/>
      <w:r>
        <w:rPr>
          <w:rFonts w:hint="default" w:ascii="宋体" w:hAnsi="宋体" w:eastAsia="宋体" w:cs="宋体"/>
          <w:b/>
          <w:bCs/>
          <w:color w:val="000000"/>
          <w:kern w:val="0"/>
          <w:sz w:val="24"/>
          <w:szCs w:val="24"/>
        </w:rPr>
        <w:t>4.1 成本构成</w:t>
      </w:r>
      <w:bookmarkEnd w:id="27"/>
    </w:p>
    <w:p w14:paraId="66B7006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本项目的总成本严格按照科学的工程财务规范进行测算，全面涵盖了直接成本、间接成本以及管理储备三大板块。</w:t>
      </w:r>
    </w:p>
    <w:p w14:paraId="2D256DE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直接成本是项目支出的核心，主要由10名团队成员（包含项目经理、需求分析师、前后端开发、测试及配置管理员等）在8周研发周期内的人力资源薪资构成，按行业平均人力单价折算，预计人力直接成本为300,000元。</w:t>
      </w:r>
    </w:p>
    <w:p w14:paraId="6E7B7C8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此外，直接成本还包含5,000元的软硬件采购费，其中特意拨付了1,000元用于团队集中购买Codex、Claude及GitHub Copilot等智能体编程辅助工具的共享账号，以及4,000元用于租赁云南省政务云标准版测试服务器。</w:t>
      </w:r>
    </w:p>
    <w:p w14:paraId="63B2F81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间接成本主要涵盖团队在研发期间的场地分摊、日常水电、办公耗材以及针对等保三级规范和信创底座适配的内部技术培训费用，该部分按照直接成本的15%进行定额计提，约为45,000元。</w:t>
      </w:r>
    </w:p>
    <w:p w14:paraId="5C0CFAB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为了有效应对因国家失业监测系统接口标准突变或不可预见的技术瓶颈所带来的风险，项目组特别设立了50,000元的管理储备金。</w:t>
      </w:r>
    </w:p>
    <w:p w14:paraId="14ACCE4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综合以上各项，本《云南省企业就业失业数据采集系统》项目的整体估算成本设定为400,000元。</w:t>
      </w:r>
    </w:p>
    <w:p w14:paraId="1097CEC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8" w:name="_Toc8875"/>
      <w:r>
        <w:rPr>
          <w:rFonts w:hint="default" w:ascii="宋体" w:hAnsi="宋体" w:eastAsia="宋体" w:cs="宋体"/>
          <w:b/>
          <w:bCs/>
          <w:color w:val="000000"/>
          <w:kern w:val="0"/>
          <w:sz w:val="24"/>
          <w:szCs w:val="24"/>
        </w:rPr>
        <w:t>4.2 成本估算方法</w:t>
      </w:r>
      <w:bookmarkEnd w:id="28"/>
    </w:p>
    <w:p w14:paraId="456CE8D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29" w:name="_Toc18563"/>
      <w:r>
        <w:rPr>
          <w:rFonts w:hint="default" w:ascii="Times New Roman" w:hAnsi="Times New Roman" w:eastAsia="宋体" w:cs="宋体"/>
          <w:color w:val="000000"/>
          <w:kern w:val="0"/>
          <w:sz w:val="24"/>
          <w:szCs w:val="24"/>
        </w:rPr>
        <w:t>为确保预算数据的精准度与合理性，项目组综合采用了类比估算、自下而上估算以及功能点估算三种测算方法进行交叉验证。</w:t>
      </w:r>
    </w:p>
    <w:p w14:paraId="632F218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在项目启动初期，项目经理首先运用了类比估算法，参考了以往同等规模的“省级社保基础数据上报平台”项目，得出了约40万元的宏观指导基准。</w:t>
      </w:r>
    </w:p>
    <w:p w14:paraId="60E3B15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随后，在完成详细的工作分解结构（WBS）后，团队执行了严谨的自下而上估算，将四个核心子系统拆解为120余项具体活动，并由各活动负责人结合智能体工具带来的编码提效系数，详细评估出各项任务所需的人时与资源消耗，逐层向上汇总得出精确的项目底线成本。</w:t>
      </w:r>
    </w:p>
    <w:p w14:paraId="18B8428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了进一步验证估算的可靠性，项目组还引入了功能点估算法（FP），经测算，本系统的未调整功能点（UFP）总量约为350个，结合10人团队的历史生产率常数，推算出系统的预期核心代码量与测试用例数，由此折算出的工作量成本与自下而上的汇总结果误差在5%以内，最终夯实了总体预算数据的科学基础。</w:t>
      </w:r>
    </w:p>
    <w:p w14:paraId="5559DF2F">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r>
        <w:rPr>
          <w:rFonts w:hint="default" w:ascii="宋体" w:hAnsi="宋体" w:eastAsia="宋体" w:cs="宋体"/>
          <w:b/>
          <w:bCs/>
          <w:color w:val="000000"/>
          <w:kern w:val="0"/>
          <w:sz w:val="24"/>
          <w:szCs w:val="24"/>
        </w:rPr>
        <w:t>4.3 成本预算</w:t>
      </w:r>
      <w:bookmarkEnd w:id="29"/>
    </w:p>
    <w:p w14:paraId="6C166AC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30" w:name="_Toc4124"/>
      <w:r>
        <w:rPr>
          <w:rFonts w:hint="default" w:ascii="Times New Roman" w:hAnsi="Times New Roman" w:eastAsia="宋体" w:cs="宋体"/>
          <w:color w:val="000000"/>
          <w:kern w:val="0"/>
          <w:sz w:val="24"/>
          <w:szCs w:val="24"/>
        </w:rPr>
        <w:t>在确立了40万元的总预算额度后，项目组将其科学地分摊至WBS的各个核心工作包中，并按8周的项目时间轴生成了成本基准支出计划。在资金分配上，系统管控与质量保证模块获批50,000元预算；企业端数据采集与备案子系统因涉及繁琐的表单校验与页面交互，分配预算为80,000元；市级端数据审核与辖区调度子系统分配60,000元；省级端数据管理与分析子系统由于承担了全省数据并发汇总、复杂Echarts多维统计大屏渲染以及部级接口对接等重难点任务，获得了最高的120,000元预算；文档编写、全链路联调与最终交付部署包分配40,000元；剩余50,000元作为管理储备与应急池单独封存。</w:t>
      </w:r>
    </w:p>
    <w:p w14:paraId="16E07DE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按照时间序列铺排，项目的成本支出将呈现标准的S型曲线</w:t>
      </w:r>
      <w:bookmarkStart w:id="68" w:name="_GoBack"/>
      <w:bookmarkEnd w:id="68"/>
      <w:r>
        <w:rPr>
          <w:rFonts w:hint="default" w:ascii="Times New Roman" w:hAnsi="Times New Roman" w:eastAsia="宋体" w:cs="宋体"/>
          <w:color w:val="000000"/>
          <w:kern w:val="0"/>
          <w:sz w:val="24"/>
          <w:szCs w:val="24"/>
        </w:rPr>
        <w:t>：在第1至第2周的需求分析与架构搭建期，资金消耗较为平缓，累计约占15%；在第3至第6周的核心编码与集成联调高峰期，随着大量开发人力与云计算资源的集中投入，成本支出将快速爬升，累计消耗将达到预算的75%（约300,000元）；在最后两周的系统试运行与验收阶段，成本曲线再度趋于平缓。</w:t>
      </w:r>
    </w:p>
    <w:p w14:paraId="54381FE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r>
        <w:rPr>
          <w:rFonts w:hint="default" w:ascii="宋体" w:hAnsi="宋体" w:eastAsia="宋体" w:cs="宋体"/>
          <w:b/>
          <w:bCs/>
          <w:color w:val="000000"/>
          <w:kern w:val="0"/>
          <w:sz w:val="24"/>
          <w:szCs w:val="24"/>
        </w:rPr>
        <w:t>4.4 成本控制</w:t>
      </w:r>
      <w:bookmarkEnd w:id="30"/>
    </w:p>
    <w:p w14:paraId="5C9A2B1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组制定了严格的预算变更流程与成本动态监控机制，以确保项目资金不超支。在日常执行过程中，项目经理将全面引入挣值管理体系，在每周五的课内实验与里程碑评审会上，定期计算项目的成本绩效指数与进度绩效指数。一旦发现CPI跌破0.95的安全红线，项目组将立刻触发预警机制，召开专项会议排查资源浪费或返工重灾区，并采取加班赶工或优化智能体提示词等纠偏措施。</w:t>
      </w:r>
    </w:p>
    <w:p w14:paraId="4C9922A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当既定需求发生实质性变化并由此引发成本超支风险时，必须走正规的预算变更流程。需求提出方需提交详尽的变更申请单，阐明修改内容及其对成本基准的具体影响金额，随后由配置控制委员会进行影响面评估与审批。</w:t>
      </w:r>
    </w:p>
    <w:p w14:paraId="5513F51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只有在负责人签字同意后，方可动用50,000元的管理储备金来追加相应模块的开发预算，且所有成本基准的修改操作及历史审批流转记录，均需完整保存在Git等配置管理工具中以备期末验收审计。</w:t>
      </w:r>
    </w:p>
    <w:p w14:paraId="0AC1042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default" w:ascii="宋体" w:hAnsi="宋体" w:eastAsia="宋体" w:cs="宋体"/>
          <w:b/>
          <w:bCs/>
          <w:color w:val="000000"/>
          <w:kern w:val="0"/>
          <w:sz w:val="28"/>
          <w:szCs w:val="28"/>
          <w:lang w:val="en-US" w:eastAsia="zh-CN"/>
        </w:rPr>
      </w:pPr>
      <w:bookmarkStart w:id="31" w:name="_Toc19072"/>
      <w:r>
        <w:rPr>
          <w:rFonts w:hint="default" w:ascii="宋体" w:hAnsi="宋体" w:eastAsia="宋体" w:cs="宋体"/>
          <w:b/>
          <w:bCs/>
          <w:color w:val="000000"/>
          <w:kern w:val="0"/>
          <w:sz w:val="28"/>
          <w:szCs w:val="28"/>
          <w:lang w:val="en-US" w:eastAsia="zh-CN"/>
        </w:rPr>
        <w:t>5</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质量管理</w:t>
      </w:r>
      <w:bookmarkEnd w:id="31"/>
    </w:p>
    <w:p w14:paraId="4ED1C82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2" w:name="_Toc27928"/>
      <w:r>
        <w:rPr>
          <w:rFonts w:hint="default" w:ascii="宋体" w:hAnsi="宋体" w:eastAsia="宋体" w:cs="宋体"/>
          <w:b/>
          <w:bCs/>
          <w:color w:val="000000"/>
          <w:kern w:val="0"/>
          <w:sz w:val="24"/>
          <w:szCs w:val="24"/>
        </w:rPr>
        <w:t>5.1 质量目标</w:t>
      </w:r>
      <w:bookmarkEnd w:id="32"/>
    </w:p>
    <w:p w14:paraId="2A99EDE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33" w:name="_Toc16884"/>
      <w:r>
        <w:rPr>
          <w:rFonts w:hint="default" w:ascii="Times New Roman" w:hAnsi="Times New Roman" w:eastAsia="宋体" w:cs="宋体"/>
          <w:color w:val="000000"/>
          <w:kern w:val="0"/>
          <w:sz w:val="24"/>
          <w:szCs w:val="24"/>
        </w:rPr>
        <w:t>本项目以《需求规格说明书》第5章的非功能性需求为根本准绳，致力于交付高标准、严要求的政务级软件系统。</w:t>
      </w:r>
    </w:p>
    <w:p w14:paraId="668BBD4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在性能目标方面，系统必须具备处理全省大规模企业集中访问与数据交互的能力，关键业务接口（如大批量审核数据的Excel导出、多维度统计看板加载）的响应延迟需严格控制在500ms以内。</w:t>
      </w:r>
    </w:p>
    <w:p w14:paraId="3B1BEE2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在可靠性目标方面，核心业务流程（如数据提交省级审核、退回重报等）必须具备完整的事务回滚与容错恢复机制，确保在极值并发或网络波动下暂存数据与审核进度不丢失。</w:t>
      </w:r>
    </w:p>
    <w:p w14:paraId="29DBCCC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在安全性目标方面，系统必须满足国家信息安全等级保护三级标准，实现严格的角色权限隔离（企业、市级、省级），对敏感明细数据传输与存储实施加密，并彻底杜绝引入未经安全审查的第三方开源组件。</w:t>
      </w:r>
    </w:p>
    <w:p w14:paraId="7F9A6BB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lang w:val="en-US" w:eastAsia="zh-CN"/>
        </w:rPr>
      </w:pPr>
      <w:r>
        <w:rPr>
          <w:rFonts w:hint="default" w:ascii="Times New Roman" w:hAnsi="Times New Roman" w:eastAsia="宋体" w:cs="宋体"/>
          <w:color w:val="000000"/>
          <w:kern w:val="0"/>
          <w:sz w:val="24"/>
          <w:szCs w:val="24"/>
        </w:rPr>
        <w:t>此外，在可维护性与兼容性方面，系统需全面适配国产化信创软硬件底座，代码结构需保持高内聚低耦合；同时，所有数据修正及权限变更行为必须做到百分之百留痕，达成严苛的可审计性目标。</w:t>
      </w:r>
    </w:p>
    <w:p w14:paraId="14059D6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r>
        <w:rPr>
          <w:rFonts w:hint="default" w:ascii="宋体" w:hAnsi="宋体" w:eastAsia="宋体" w:cs="宋体"/>
          <w:b/>
          <w:bCs/>
          <w:color w:val="000000"/>
          <w:kern w:val="0"/>
          <w:sz w:val="24"/>
          <w:szCs w:val="24"/>
        </w:rPr>
        <w:t>5.2 质量计划内容</w:t>
      </w:r>
      <w:bookmarkEnd w:id="33"/>
    </w:p>
    <w:p w14:paraId="06478CD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34" w:name="_Toc15169"/>
      <w:r>
        <w:rPr>
          <w:rFonts w:hint="default" w:ascii="Times New Roman" w:hAnsi="Times New Roman" w:eastAsia="宋体" w:cs="宋体"/>
          <w:color w:val="000000"/>
          <w:kern w:val="0"/>
          <w:sz w:val="24"/>
          <w:szCs w:val="24"/>
        </w:rPr>
        <w:t>为确保上述质量目标的全面达成，项目组制定了贯穿全生命周期的综合质量计划。</w:t>
      </w:r>
    </w:p>
    <w:p w14:paraId="5579CE7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本计划的核心内容明确了以“预防为主、持续改进”为原则的质量把控活动，包括前期的需求基线评审、开发过程中的持续集成与自动化构建，以及交付前的全链路压测。</w:t>
      </w:r>
    </w:p>
    <w:p w14:paraId="7905201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在职责划分上，项目经理全面统筹项目质量，指定的质量保证（QA）专员独立负责监督工程化流程的规范落地，而开发与测试人员则分别对所交付的代码质量和缺陷检出率负责。</w:t>
      </w:r>
    </w:p>
    <w:p w14:paraId="6C31C7A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在资源配置方面，项目组将充分利用智能体编程工具进行辅助代码审查，并依托政务云提供的专属测试服务器开展沙箱环境验证。</w:t>
      </w:r>
    </w:p>
    <w:p w14:paraId="0A3167E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整个质量计划通过建立明确的准入与准出控制手段，确保每一个WBS工作包在进入下一阶段前，都必须经过严格的质量门禁核查。</w:t>
      </w:r>
    </w:p>
    <w:p w14:paraId="74B6A44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r>
        <w:rPr>
          <w:rFonts w:hint="default" w:ascii="宋体" w:hAnsi="宋体" w:eastAsia="宋体" w:cs="宋体"/>
          <w:b/>
          <w:bCs/>
          <w:color w:val="000000"/>
          <w:kern w:val="0"/>
          <w:sz w:val="24"/>
          <w:szCs w:val="24"/>
        </w:rPr>
        <w:t>5.3 质量保证</w:t>
      </w:r>
      <w:bookmarkEnd w:id="34"/>
    </w:p>
    <w:p w14:paraId="6337D49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35" w:name="_Toc6526"/>
      <w:r>
        <w:rPr>
          <w:rFonts w:hint="default" w:ascii="Times New Roman" w:hAnsi="Times New Roman" w:eastAsia="宋体" w:cs="宋体"/>
          <w:color w:val="000000"/>
          <w:kern w:val="0"/>
          <w:sz w:val="24"/>
          <w:szCs w:val="24"/>
        </w:rPr>
        <w:t>质量保证工作侧重于项目过程的合规性与规范性，旨在通过构建科学的体系来防止缺陷的产生。</w:t>
      </w:r>
    </w:p>
    <w:p w14:paraId="6C46218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组将定期开展过程审计，重点检查十名团队成员是否严格遵循了既定的软件工程规范。这其中包括审计需求变更流程的执行情况，核实当需求发生变动时是否正式提交了变更申请单、是否经过了配置控制委员会的签字审批，以及版本控制库（Git）中的分支管理策略与提交日志是否规范完整。</w:t>
      </w:r>
    </w:p>
    <w:p w14:paraId="39FC0C4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另一方面，团队还将实施产品审计，对项目运行周期内产生的各阶段非代码类阶段性交付物（如项目计划基线版本、需求规格说明书、数据库物理设计报告、系统操作手册等）进行独立的形式与内容双重审查，确保文档的完整性、一致性以及与系统实际功能的高度吻合，从而向上级主管部门和干系人提供项目质量符合标准的充分信心。</w:t>
      </w:r>
    </w:p>
    <w:p w14:paraId="60793F0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r>
        <w:rPr>
          <w:rFonts w:hint="default" w:ascii="宋体" w:hAnsi="宋体" w:eastAsia="宋体" w:cs="宋体"/>
          <w:b/>
          <w:bCs/>
          <w:color w:val="000000"/>
          <w:kern w:val="0"/>
          <w:sz w:val="24"/>
          <w:szCs w:val="24"/>
        </w:rPr>
        <w:t>5.4 质量控制</w:t>
      </w:r>
      <w:bookmarkEnd w:id="35"/>
    </w:p>
    <w:p w14:paraId="7924D22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36" w:name="_Toc3803"/>
      <w:r>
        <w:rPr>
          <w:rFonts w:hint="default" w:ascii="Times New Roman" w:hAnsi="Times New Roman" w:eastAsia="宋体" w:cs="宋体"/>
          <w:color w:val="000000"/>
          <w:kern w:val="0"/>
          <w:sz w:val="24"/>
          <w:szCs w:val="24"/>
        </w:rPr>
        <w:t>质量控制工作聚焦于具体的产出物，通过一系列查错与纠偏手段，力保最终交付的系统质量过关。</w:t>
      </w:r>
    </w:p>
    <w:p w14:paraId="74ADE06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在编码阶段，团队将严格落实技术评审与代码走查机制，针对核心的数据库E-R结构、跨端权限校验逻辑以及并发数据暂存逻辑进行组内同行评审，并借助智能编程工具对语法规范与潜在漏洞进行实时静态扫描。</w:t>
      </w:r>
    </w:p>
    <w:p w14:paraId="0786D81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动态测试层面，实施由微观到宏观的三级测试体系：首先由开发人员完成各独立模块的单元测试；随后开展集成测试，重点验证企业端填报、市级端审核退回、省级端汇总上报这一跨子系统核心数据链路的正确性；最后进行全局系统测试，涵盖功能验收测试、等保三级安全渗透测试以及模拟全省上报高峰期的并发压力测试。</w:t>
      </w:r>
    </w:p>
    <w:p w14:paraId="387B8F4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对于测试阶段发现的任何异常，项目组将引入标准化的缺陷跟踪管理机制，详细记录缺陷的发现时间、重现步骤、严重等级及处理状态，确保所有中高级别缺陷在系统上线发布前被彻底清零闭环。</w:t>
      </w:r>
    </w:p>
    <w:p w14:paraId="5EC6572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r>
        <w:rPr>
          <w:rFonts w:hint="default" w:ascii="宋体" w:hAnsi="宋体" w:eastAsia="宋体" w:cs="宋体"/>
          <w:b/>
          <w:bCs/>
          <w:color w:val="000000"/>
          <w:kern w:val="0"/>
          <w:sz w:val="24"/>
          <w:szCs w:val="24"/>
        </w:rPr>
        <w:t>5.5 质量成本</w:t>
      </w:r>
      <w:bookmarkEnd w:id="36"/>
    </w:p>
    <w:p w14:paraId="1D9ADE8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37" w:name="_Toc26759"/>
      <w:r>
        <w:rPr>
          <w:rFonts w:hint="default" w:ascii="Times New Roman" w:hAnsi="Times New Roman" w:eastAsia="宋体" w:cs="宋体"/>
          <w:color w:val="000000"/>
          <w:kern w:val="0"/>
          <w:sz w:val="24"/>
          <w:szCs w:val="24"/>
        </w:rPr>
        <w:t>为在有限的资源内实现质量效益的最大化，项目组对质量成本进行了科学的规划与度量。</w:t>
      </w:r>
    </w:p>
    <w:p w14:paraId="629108E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项目大力倾斜于预防成本的投入，包括在项目启动初期为十名成员安排关于政务云国产化部署规范、智能体辅助编程工具高效使用以及等保三级安全合规体系的专项技术培训，以期从源头降低代码返工率。</w:t>
      </w:r>
    </w:p>
    <w:p w14:paraId="21504EE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评估成本方面，团队合理拨付了用于实施代码走查、环境搭建、自动化测试脚手架构建以及开展多轮次系统集成测试的人力与时间资源。通过做重预防与评估环节，项目组致力于将内部缺陷成本压缩至最低水平。</w:t>
      </w:r>
    </w:p>
    <w:p w14:paraId="6CA5F27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同时，项目设立了零外部缺陷成本的极致目标，即坚决杜绝带有重大逻辑漏洞或数据泄漏风险的系统被发布至生产环境，从而彻底避免因处理全省范围内的线上故障投诉、数据脏写修复以及行政问责所带来的巨额隐性外部损失。</w:t>
      </w:r>
    </w:p>
    <w:p w14:paraId="2B2F2F3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Times New Roman" w:hAnsi="Times New Roman" w:eastAsia="宋体" w:cs="宋体"/>
          <w:color w:val="000000"/>
          <w:kern w:val="0"/>
          <w:sz w:val="24"/>
          <w:szCs w:val="24"/>
        </w:rPr>
      </w:pPr>
      <w:r>
        <w:rPr>
          <w:rFonts w:hint="default" w:ascii="宋体" w:hAnsi="宋体" w:eastAsia="宋体" w:cs="宋体"/>
          <w:b/>
          <w:bCs/>
          <w:color w:val="000000"/>
          <w:kern w:val="0"/>
          <w:sz w:val="28"/>
          <w:szCs w:val="28"/>
          <w:lang w:val="en-US" w:eastAsia="zh-CN"/>
        </w:rPr>
        <w:t>6</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人力资源管理</w:t>
      </w:r>
      <w:bookmarkEnd w:id="37"/>
    </w:p>
    <w:p w14:paraId="3B1BB32F">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8" w:name="_Toc5272"/>
      <w:r>
        <w:rPr>
          <w:rFonts w:hint="default" w:ascii="宋体" w:hAnsi="宋体" w:eastAsia="宋体" w:cs="宋体"/>
          <w:b/>
          <w:bCs/>
          <w:color w:val="000000"/>
          <w:kern w:val="0"/>
          <w:sz w:val="24"/>
          <w:szCs w:val="24"/>
        </w:rPr>
        <w:t>6.1 项目角色与职责（项目经理、需求、开发、测试、配置管理、QA等，假设10人团队）</w:t>
      </w:r>
      <w:bookmarkEnd w:id="38"/>
    </w:p>
    <w:p w14:paraId="619B8B4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9" w:name="_Toc21208"/>
      <w:r>
        <w:rPr>
          <w:rFonts w:hint="default" w:ascii="宋体" w:hAnsi="宋体" w:eastAsia="宋体" w:cs="宋体"/>
          <w:b/>
          <w:bCs/>
          <w:color w:val="000000"/>
          <w:kern w:val="0"/>
          <w:sz w:val="24"/>
          <w:szCs w:val="24"/>
        </w:rPr>
        <w:t>6.2 人员配备计划（各阶段所需角色）</w:t>
      </w:r>
      <w:bookmarkEnd w:id="39"/>
    </w:p>
    <w:p w14:paraId="5A17AA2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Times New Roman" w:hAnsi="Times New Roman" w:eastAsia="宋体" w:cs="宋体"/>
          <w:color w:val="000000"/>
          <w:kern w:val="0"/>
          <w:sz w:val="24"/>
          <w:szCs w:val="24"/>
        </w:rPr>
      </w:pPr>
      <w:bookmarkStart w:id="40" w:name="_Toc19055"/>
      <w:r>
        <w:rPr>
          <w:rFonts w:hint="default" w:ascii="宋体" w:hAnsi="宋体" w:eastAsia="宋体" w:cs="宋体"/>
          <w:b/>
          <w:bCs/>
          <w:color w:val="000000"/>
          <w:kern w:val="0"/>
          <w:sz w:val="24"/>
          <w:szCs w:val="24"/>
        </w:rPr>
        <w:t>6.3 培训计划（技术培训、业务培训）</w:t>
      </w:r>
      <w:bookmarkEnd w:id="40"/>
    </w:p>
    <w:p w14:paraId="356013B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41" w:name="_Toc8083"/>
      <w:r>
        <w:rPr>
          <w:rFonts w:hint="default" w:ascii="宋体" w:hAnsi="宋体" w:eastAsia="宋体" w:cs="宋体"/>
          <w:b/>
          <w:bCs/>
          <w:color w:val="000000"/>
          <w:kern w:val="0"/>
          <w:sz w:val="28"/>
          <w:szCs w:val="28"/>
          <w:lang w:val="en-US" w:eastAsia="zh-CN"/>
        </w:rPr>
        <w:t>7</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风险管理</w:t>
      </w:r>
      <w:bookmarkEnd w:id="41"/>
    </w:p>
    <w:p w14:paraId="5EBC065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42" w:name="_Toc13216"/>
      <w:r>
        <w:rPr>
          <w:rFonts w:hint="default" w:ascii="宋体" w:hAnsi="宋体" w:eastAsia="宋体" w:cs="宋体"/>
          <w:b/>
          <w:bCs/>
          <w:color w:val="000000"/>
          <w:kern w:val="0"/>
          <w:sz w:val="24"/>
          <w:szCs w:val="24"/>
        </w:rPr>
        <w:t>7.1 风险识别（技术风险、进度风险、人员风险、外部依赖）</w:t>
      </w:r>
      <w:bookmarkEnd w:id="42"/>
    </w:p>
    <w:p w14:paraId="52D4BC0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43" w:name="_Toc10112"/>
      <w:r>
        <w:rPr>
          <w:rFonts w:hint="default" w:ascii="宋体" w:hAnsi="宋体" w:eastAsia="宋体" w:cs="宋体"/>
          <w:b/>
          <w:bCs/>
          <w:color w:val="000000"/>
          <w:kern w:val="0"/>
          <w:sz w:val="24"/>
          <w:szCs w:val="24"/>
        </w:rPr>
        <w:t>7.2 风险分析（概率-影响矩阵）</w:t>
      </w:r>
      <w:bookmarkEnd w:id="43"/>
    </w:p>
    <w:p w14:paraId="2984C61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44" w:name="_Toc15480"/>
      <w:r>
        <w:rPr>
          <w:rFonts w:hint="default" w:ascii="宋体" w:hAnsi="宋体" w:eastAsia="宋体" w:cs="宋体"/>
          <w:b/>
          <w:bCs/>
          <w:color w:val="000000"/>
          <w:kern w:val="0"/>
          <w:sz w:val="24"/>
          <w:szCs w:val="24"/>
        </w:rPr>
        <w:t>7.3 风险应对计划（规避、减轻、转移、接受）</w:t>
      </w:r>
      <w:bookmarkEnd w:id="44"/>
    </w:p>
    <w:p w14:paraId="2F96DAF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Times New Roman" w:hAnsi="Times New Roman" w:eastAsia="宋体" w:cs="宋体"/>
          <w:color w:val="000000"/>
          <w:kern w:val="0"/>
          <w:sz w:val="24"/>
          <w:szCs w:val="24"/>
        </w:rPr>
      </w:pPr>
      <w:bookmarkStart w:id="45" w:name="_Toc27066"/>
      <w:r>
        <w:rPr>
          <w:rFonts w:hint="default" w:ascii="宋体" w:hAnsi="宋体" w:eastAsia="宋体" w:cs="宋体"/>
          <w:b/>
          <w:bCs/>
          <w:color w:val="000000"/>
          <w:kern w:val="0"/>
          <w:sz w:val="24"/>
          <w:szCs w:val="24"/>
        </w:rPr>
        <w:t>7.4 风险跟踪表</w:t>
      </w:r>
      <w:bookmarkEnd w:id="45"/>
    </w:p>
    <w:p w14:paraId="5183E622">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46" w:name="_Toc9121"/>
      <w:r>
        <w:rPr>
          <w:rFonts w:hint="default" w:ascii="宋体" w:hAnsi="宋体" w:eastAsia="宋体" w:cs="宋体"/>
          <w:b/>
          <w:bCs/>
          <w:color w:val="000000"/>
          <w:kern w:val="0"/>
          <w:sz w:val="28"/>
          <w:szCs w:val="28"/>
          <w:lang w:val="en-US" w:eastAsia="zh-CN"/>
        </w:rPr>
        <w:t>8</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沟通管理</w:t>
      </w:r>
      <w:bookmarkEnd w:id="46"/>
    </w:p>
    <w:p w14:paraId="6FA3E0C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47" w:name="_Toc24151"/>
      <w:r>
        <w:rPr>
          <w:rFonts w:hint="default" w:ascii="宋体" w:hAnsi="宋体" w:eastAsia="宋体" w:cs="宋体"/>
          <w:b/>
          <w:bCs/>
          <w:color w:val="000000"/>
          <w:kern w:val="0"/>
          <w:sz w:val="24"/>
          <w:szCs w:val="24"/>
        </w:rPr>
        <w:t>8.1 干系人识别</w:t>
      </w:r>
      <w:bookmarkEnd w:id="47"/>
    </w:p>
    <w:p w14:paraId="5B15E8B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48" w:name="_Toc11431"/>
      <w:r>
        <w:rPr>
          <w:rFonts w:hint="default" w:ascii="宋体" w:hAnsi="宋体" w:eastAsia="宋体" w:cs="宋体"/>
          <w:b/>
          <w:bCs/>
          <w:color w:val="000000"/>
          <w:kern w:val="0"/>
          <w:sz w:val="24"/>
          <w:szCs w:val="24"/>
        </w:rPr>
        <w:t>8.2 沟通方式与频率（每周例会、周报、里程碑评审）</w:t>
      </w:r>
      <w:bookmarkEnd w:id="48"/>
    </w:p>
    <w:p w14:paraId="04983E1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Times New Roman" w:hAnsi="Times New Roman" w:eastAsia="宋体" w:cs="宋体"/>
          <w:color w:val="000000"/>
          <w:kern w:val="0"/>
          <w:sz w:val="24"/>
          <w:szCs w:val="24"/>
        </w:rPr>
      </w:pPr>
      <w:bookmarkStart w:id="49" w:name="_Toc24401"/>
      <w:r>
        <w:rPr>
          <w:rFonts w:hint="default" w:ascii="宋体" w:hAnsi="宋体" w:eastAsia="宋体" w:cs="宋体"/>
          <w:b/>
          <w:bCs/>
          <w:color w:val="000000"/>
          <w:kern w:val="0"/>
          <w:sz w:val="24"/>
          <w:szCs w:val="24"/>
        </w:rPr>
        <w:t>8.3 文档管理（存储位置、命名规则）</w:t>
      </w:r>
      <w:bookmarkEnd w:id="49"/>
    </w:p>
    <w:p w14:paraId="29FEF7B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50" w:name="_Toc25522"/>
      <w:r>
        <w:rPr>
          <w:rFonts w:hint="default" w:ascii="宋体" w:hAnsi="宋体" w:eastAsia="宋体" w:cs="宋体"/>
          <w:b/>
          <w:bCs/>
          <w:color w:val="000000"/>
          <w:kern w:val="0"/>
          <w:sz w:val="28"/>
          <w:szCs w:val="28"/>
          <w:lang w:val="en-US" w:eastAsia="zh-CN"/>
        </w:rPr>
        <w:t>9</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配置管理</w:t>
      </w:r>
      <w:bookmarkEnd w:id="50"/>
    </w:p>
    <w:p w14:paraId="63DDA84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1" w:name="_Toc25062"/>
      <w:r>
        <w:rPr>
          <w:rFonts w:hint="default" w:ascii="宋体" w:hAnsi="宋体" w:eastAsia="宋体" w:cs="宋体"/>
          <w:b/>
          <w:bCs/>
          <w:color w:val="000000"/>
          <w:kern w:val="0"/>
          <w:sz w:val="24"/>
          <w:szCs w:val="24"/>
        </w:rPr>
        <w:t>9.1 配置项识别（需求文档、设计文档、代码、测试用例等）</w:t>
      </w:r>
      <w:bookmarkEnd w:id="51"/>
    </w:p>
    <w:p w14:paraId="2911FBF6">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2" w:name="_Toc25586"/>
      <w:r>
        <w:rPr>
          <w:rFonts w:hint="default" w:ascii="宋体" w:hAnsi="宋体" w:eastAsia="宋体" w:cs="宋体"/>
          <w:b/>
          <w:bCs/>
          <w:color w:val="000000"/>
          <w:kern w:val="0"/>
          <w:sz w:val="24"/>
          <w:szCs w:val="24"/>
        </w:rPr>
        <w:t>9.2 基线与变更控制</w:t>
      </w:r>
      <w:bookmarkEnd w:id="52"/>
    </w:p>
    <w:p w14:paraId="3F4FF19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3" w:name="_Toc19398"/>
      <w:r>
        <w:rPr>
          <w:rFonts w:hint="default" w:ascii="宋体" w:hAnsi="宋体" w:eastAsia="宋体" w:cs="宋体"/>
          <w:b/>
          <w:bCs/>
          <w:color w:val="000000"/>
          <w:kern w:val="0"/>
          <w:sz w:val="24"/>
          <w:szCs w:val="24"/>
        </w:rPr>
        <w:t>功能基线、需求基线、产品基线</w:t>
      </w:r>
      <w:bookmarkEnd w:id="53"/>
    </w:p>
    <w:p w14:paraId="264E7DB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4" w:name="_Toc24211"/>
      <w:r>
        <w:rPr>
          <w:rFonts w:hint="default" w:ascii="宋体" w:hAnsi="宋体" w:eastAsia="宋体" w:cs="宋体"/>
          <w:b/>
          <w:bCs/>
          <w:color w:val="000000"/>
          <w:kern w:val="0"/>
          <w:sz w:val="24"/>
          <w:szCs w:val="24"/>
        </w:rPr>
        <w:t>SCCB（配置控制委员会）组成与职责</w:t>
      </w:r>
      <w:bookmarkEnd w:id="54"/>
    </w:p>
    <w:p w14:paraId="0A0679D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5" w:name="_Toc19134"/>
      <w:r>
        <w:rPr>
          <w:rFonts w:hint="default" w:ascii="宋体" w:hAnsi="宋体" w:eastAsia="宋体" w:cs="宋体"/>
          <w:b/>
          <w:bCs/>
          <w:color w:val="000000"/>
          <w:kern w:val="0"/>
          <w:sz w:val="24"/>
          <w:szCs w:val="24"/>
        </w:rPr>
        <w:t>9.3 变更控制流程</w:t>
      </w:r>
      <w:bookmarkEnd w:id="55"/>
    </w:p>
    <w:p w14:paraId="10EC760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6" w:name="_Toc20023"/>
      <w:r>
        <w:rPr>
          <w:rFonts w:hint="default" w:ascii="宋体" w:hAnsi="宋体" w:eastAsia="宋体" w:cs="宋体"/>
          <w:b/>
          <w:bCs/>
          <w:color w:val="000000"/>
          <w:kern w:val="0"/>
          <w:sz w:val="24"/>
          <w:szCs w:val="24"/>
        </w:rPr>
        <w:t>提交变更请求 → 影响分析 → SCCB评审 → 实施变更 → 验证 → 关闭</w:t>
      </w:r>
      <w:bookmarkEnd w:id="56"/>
    </w:p>
    <w:p w14:paraId="1119E77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7" w:name="_Toc2764"/>
      <w:r>
        <w:rPr>
          <w:rFonts w:hint="default" w:ascii="宋体" w:hAnsi="宋体" w:eastAsia="宋体" w:cs="宋体"/>
          <w:b/>
          <w:bCs/>
          <w:color w:val="000000"/>
          <w:kern w:val="0"/>
          <w:sz w:val="24"/>
          <w:szCs w:val="24"/>
        </w:rPr>
        <w:t>9.4 版本控制工具（Git/SVN，分支策略）</w:t>
      </w:r>
      <w:bookmarkEnd w:id="57"/>
    </w:p>
    <w:p w14:paraId="0ABBF5C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Times New Roman" w:hAnsi="Times New Roman" w:eastAsia="宋体" w:cs="宋体"/>
          <w:color w:val="000000"/>
          <w:kern w:val="0"/>
          <w:sz w:val="24"/>
          <w:szCs w:val="24"/>
        </w:rPr>
      </w:pPr>
      <w:bookmarkStart w:id="58" w:name="_Toc25408"/>
      <w:r>
        <w:rPr>
          <w:rFonts w:hint="default" w:ascii="宋体" w:hAnsi="宋体" w:eastAsia="宋体" w:cs="宋体"/>
          <w:b/>
          <w:bCs/>
          <w:color w:val="000000"/>
          <w:kern w:val="0"/>
          <w:sz w:val="24"/>
          <w:szCs w:val="24"/>
        </w:rPr>
        <w:t>9.5 配置状态报告与配置审计</w:t>
      </w:r>
      <w:bookmarkEnd w:id="58"/>
    </w:p>
    <w:p w14:paraId="42B41625">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59" w:name="_Toc17851"/>
      <w:r>
        <w:rPr>
          <w:rFonts w:hint="default" w:ascii="宋体" w:hAnsi="宋体" w:eastAsia="宋体" w:cs="宋体"/>
          <w:b/>
          <w:bCs/>
          <w:color w:val="000000"/>
          <w:kern w:val="0"/>
          <w:sz w:val="28"/>
          <w:szCs w:val="28"/>
          <w:lang w:val="en-US" w:eastAsia="zh-CN"/>
        </w:rPr>
        <w:t>10</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需求变更管理（可并入第9章或单独）</w:t>
      </w:r>
      <w:bookmarkEnd w:id="59"/>
    </w:p>
    <w:p w14:paraId="644E3EC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0" w:name="_Toc22389"/>
      <w:r>
        <w:rPr>
          <w:rFonts w:hint="default" w:ascii="宋体" w:hAnsi="宋体" w:eastAsia="宋体" w:cs="宋体"/>
          <w:b/>
          <w:bCs/>
          <w:color w:val="000000"/>
          <w:kern w:val="0"/>
          <w:sz w:val="24"/>
          <w:szCs w:val="24"/>
        </w:rPr>
        <w:t>10.1 基线定义（初始需求基线）</w:t>
      </w:r>
      <w:bookmarkEnd w:id="60"/>
    </w:p>
    <w:p w14:paraId="7E33934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1" w:name="_Toc16568"/>
      <w:r>
        <w:rPr>
          <w:rFonts w:hint="default" w:ascii="宋体" w:hAnsi="宋体" w:eastAsia="宋体" w:cs="宋体"/>
          <w:b/>
          <w:bCs/>
          <w:color w:val="000000"/>
          <w:kern w:val="0"/>
          <w:sz w:val="24"/>
          <w:szCs w:val="24"/>
        </w:rPr>
        <w:t>10.2 变更请求模板（变更描述、原因、影响分析、审批人）</w:t>
      </w:r>
      <w:bookmarkEnd w:id="61"/>
    </w:p>
    <w:p w14:paraId="3FB9579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Times New Roman" w:hAnsi="Times New Roman" w:eastAsia="宋体" w:cs="宋体"/>
          <w:color w:val="000000"/>
          <w:kern w:val="0"/>
          <w:sz w:val="24"/>
          <w:szCs w:val="24"/>
        </w:rPr>
      </w:pPr>
      <w:bookmarkStart w:id="62" w:name="_Toc3014"/>
      <w:r>
        <w:rPr>
          <w:rFonts w:hint="default" w:ascii="宋体" w:hAnsi="宋体" w:eastAsia="宋体" w:cs="宋体"/>
          <w:b/>
          <w:bCs/>
          <w:color w:val="000000"/>
          <w:kern w:val="0"/>
          <w:sz w:val="24"/>
          <w:szCs w:val="24"/>
        </w:rPr>
        <w:t>10.3 变更记录表（编号、日期、变更内容、批准状态）</w:t>
      </w:r>
      <w:bookmarkEnd w:id="62"/>
    </w:p>
    <w:p w14:paraId="4205D0D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63" w:name="_Toc12166"/>
      <w:r>
        <w:rPr>
          <w:rFonts w:hint="default" w:ascii="宋体" w:hAnsi="宋体" w:eastAsia="宋体" w:cs="宋体"/>
          <w:b/>
          <w:bCs/>
          <w:color w:val="000000"/>
          <w:kern w:val="0"/>
          <w:sz w:val="28"/>
          <w:szCs w:val="28"/>
          <w:lang w:val="en-US" w:eastAsia="zh-CN"/>
        </w:rPr>
        <w:t>11</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项目计划附录</w:t>
      </w:r>
      <w:bookmarkEnd w:id="63"/>
    </w:p>
    <w:p w14:paraId="5FE4229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4" w:name="_Toc10556"/>
      <w:r>
        <w:rPr>
          <w:rFonts w:hint="default" w:ascii="宋体" w:hAnsi="宋体" w:eastAsia="宋体" w:cs="宋体"/>
          <w:b/>
          <w:bCs/>
          <w:color w:val="000000"/>
          <w:kern w:val="0"/>
          <w:sz w:val="24"/>
          <w:szCs w:val="24"/>
        </w:rPr>
        <w:t>附录A：WBS详细列表（Excel）</w:t>
      </w:r>
      <w:bookmarkEnd w:id="64"/>
    </w:p>
    <w:p w14:paraId="5FAE239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5" w:name="_Toc29227"/>
      <w:r>
        <w:rPr>
          <w:rFonts w:hint="default" w:ascii="宋体" w:hAnsi="宋体" w:eastAsia="宋体" w:cs="宋体"/>
          <w:b/>
          <w:bCs/>
          <w:color w:val="000000"/>
          <w:kern w:val="0"/>
          <w:sz w:val="24"/>
          <w:szCs w:val="24"/>
        </w:rPr>
        <w:t>附录B：甘特图源文件（.mpp或图片）</w:t>
      </w:r>
      <w:bookmarkEnd w:id="65"/>
    </w:p>
    <w:p w14:paraId="5C72982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6" w:name="_Toc1622"/>
      <w:r>
        <w:rPr>
          <w:rFonts w:hint="default" w:ascii="宋体" w:hAnsi="宋体" w:eastAsia="宋体" w:cs="宋体"/>
          <w:b/>
          <w:bCs/>
          <w:color w:val="000000"/>
          <w:kern w:val="0"/>
          <w:sz w:val="24"/>
          <w:szCs w:val="24"/>
        </w:rPr>
        <w:t>附录C：风险登记册</w:t>
      </w:r>
      <w:bookmarkEnd w:id="66"/>
    </w:p>
    <w:p w14:paraId="2255E05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7" w:name="_Toc2397"/>
      <w:r>
        <w:rPr>
          <w:rFonts w:hint="default" w:ascii="宋体" w:hAnsi="宋体" w:eastAsia="宋体" w:cs="宋体"/>
          <w:b/>
          <w:bCs/>
          <w:color w:val="000000"/>
          <w:kern w:val="0"/>
          <w:sz w:val="24"/>
          <w:szCs w:val="24"/>
        </w:rPr>
        <w:t>附录D：配置管理截图示例（如Git log，若作业要求提交则保留）</w:t>
      </w:r>
      <w:bookmarkEnd w:id="67"/>
    </w:p>
    <w:p w14:paraId="6896A35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p>
    <w:p w14:paraId="053F04E4"/>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0BAA32"/>
    <w:multiLevelType w:val="multilevel"/>
    <w:tmpl w:val="060BAA32"/>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0FF492F"/>
    <w:rsid w:val="5E637DC9"/>
    <w:rsid w:val="7FB61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toc 3"/>
    <w:basedOn w:val="1"/>
    <w:next w:val="1"/>
    <w:qFormat/>
    <w:uiPriority w:val="0"/>
    <w:pPr>
      <w:ind w:left="840" w:leftChars="400"/>
    </w:pPr>
  </w:style>
  <w:style w:type="paragraph" w:styleId="5">
    <w:name w:val="toc 1"/>
    <w:basedOn w:val="1"/>
    <w:next w:val="1"/>
    <w:qFormat/>
    <w:uiPriority w:val="0"/>
  </w:style>
  <w:style w:type="paragraph" w:styleId="6">
    <w:name w:val="toc 2"/>
    <w:basedOn w:val="1"/>
    <w:next w:val="1"/>
    <w:uiPriority w:val="0"/>
    <w:pPr>
      <w:ind w:left="420" w:leftChars="200"/>
    </w:pPr>
  </w:style>
  <w:style w:type="paragraph" w:styleId="7">
    <w:name w:val="Normal (Web)"/>
    <w:basedOn w:val="1"/>
    <w:qFormat/>
    <w:uiPriority w:val="0"/>
    <w:rPr>
      <w:sz w:val="24"/>
    </w:rPr>
  </w:style>
  <w:style w:type="character" w:styleId="10">
    <w:name w:val="Strong"/>
    <w:basedOn w:val="9"/>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9190</Words>
  <Characters>9646</Characters>
  <Lines>0</Lines>
  <Paragraphs>0</Paragraphs>
  <TotalTime>13</TotalTime>
  <ScaleCrop>false</ScaleCrop>
  <LinksUpToDate>false</LinksUpToDate>
  <CharactersWithSpaces>9862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2026-04-08T07:16:00Z</dcterms:created>
  <dc:creator>HP</dc:creator>
  <cp:lastModifiedBy>初战的信仰(｡•̀ᴗ-)✧6</cp:lastModifiedBy>
  <dcterms:modified xsi:type="dcterms:W3CDTF">2026-04-14T08:40:31Z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eyJoZGlkIjoiYTM1NmU0MmY3ZmZjYjc3Yjc2M2MwZTkwYmQxZWU2NTUiLCJ1c2VySWQiOiIzODAzMTk2ODgifQ==</vt:lpwstr>
  </property>
  <property fmtid="{D5CDD505-2E9C-101B-9397-08002B2CF9AE}" pid="4" name="ICV">
    <vt:lpwstr>DF9C6C8C79E24032BDDAFC441031898E_12</vt:lpwstr>
  </property>
</Properties>
</file>