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0"/>
        </w:rPr>
      </w:pPr>
      <w:r>
        <w:rPr>
          <w:lang w:val="zh-CN" w:eastAsia="zh-CN"/>
        </w:rPr>
        <w:drawing>
          <wp:inline distT="0" distB="0" distL="114300" distR="114300">
            <wp:extent cx="3294380" cy="3687445"/>
            <wp:effectExtent l="0" t="0" r="1270" b="8255"/>
            <wp:docPr id="7" name="图片 7" descr="logo_i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o_ipan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jc w:val="both"/>
        <w:rPr>
          <w:b/>
          <w:bCs/>
          <w:sz w:val="160"/>
        </w:rPr>
      </w:pPr>
      <w:r>
        <w:rPr>
          <w:rFonts w:hint="eastAsia"/>
          <w:b/>
          <w:bCs/>
          <w:sz w:val="160"/>
        </w:rPr>
        <w:t>iPanel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iPanel.TV Inc.</w:t>
      </w:r>
    </w:p>
    <w:p>
      <w:pPr>
        <w:rPr>
          <w:b/>
        </w:rPr>
      </w:pPr>
    </w:p>
    <w:p>
      <w:pPr>
        <w:pStyle w:val="22"/>
        <w:jc w:val="center"/>
        <w:rPr>
          <w:rFonts w:ascii="方正大黑_GBK" w:eastAsia="方正大黑_GBK" w:cs="黑体"/>
          <w:b/>
          <w:color w:val="000000"/>
          <w:sz w:val="44"/>
          <w:szCs w:val="44"/>
        </w:rPr>
      </w:pPr>
      <w:r>
        <w:rPr>
          <w:rFonts w:hint="eastAsia" w:ascii="方正大黑_GBK" w:eastAsia="方正大黑_GBK" w:cs="黑体"/>
          <w:b/>
          <w:color w:val="000000"/>
          <w:sz w:val="44"/>
          <w:szCs w:val="44"/>
          <w:lang w:val="en-US" w:eastAsia="zh-CN"/>
        </w:rPr>
        <w:t>Zabbix API</w:t>
      </w:r>
      <w:r>
        <w:rPr>
          <w:rFonts w:hint="eastAsia" w:ascii="方正大黑_GBK" w:eastAsia="方正大黑_GBK" w:cs="黑体"/>
          <w:b/>
          <w:color w:val="000000"/>
          <w:sz w:val="44"/>
          <w:szCs w:val="44"/>
        </w:rPr>
        <w:t>说明书</w:t>
      </w:r>
    </w:p>
    <w:p>
      <w:pPr>
        <w:jc w:val="center"/>
        <w:rPr>
          <w:rFonts w:cs="Tahoma"/>
          <w:sz w:val="30"/>
          <w:szCs w:val="30"/>
        </w:rPr>
      </w:pPr>
      <w:r>
        <w:rPr>
          <w:rFonts w:cs="Tahoma"/>
          <w:sz w:val="30"/>
          <w:szCs w:val="30"/>
        </w:rPr>
        <w:t>V</w:t>
      </w:r>
      <w:r>
        <w:rPr>
          <w:rFonts w:hint="eastAsia" w:cs="Tahoma"/>
          <w:sz w:val="30"/>
          <w:szCs w:val="30"/>
        </w:rPr>
        <w:t>0</w:t>
      </w:r>
      <w:r>
        <w:rPr>
          <w:rFonts w:cs="Tahoma"/>
          <w:sz w:val="30"/>
          <w:szCs w:val="30"/>
        </w:rPr>
        <w:t>.</w:t>
      </w:r>
      <w:r>
        <w:rPr>
          <w:rFonts w:hint="eastAsia" w:cs="Tahoma"/>
          <w:sz w:val="30"/>
          <w:szCs w:val="30"/>
        </w:rPr>
        <w:t>0</w:t>
      </w:r>
      <w:r>
        <w:rPr>
          <w:rFonts w:cs="Tahoma"/>
          <w:sz w:val="30"/>
          <w:szCs w:val="30"/>
        </w:rPr>
        <w:t>.</w:t>
      </w:r>
      <w:r>
        <w:rPr>
          <w:rFonts w:hint="eastAsia" w:cs="Tahoma"/>
          <w:sz w:val="30"/>
          <w:szCs w:val="30"/>
        </w:rPr>
        <w:t>1</w:t>
      </w:r>
    </w:p>
    <w:p>
      <w:pPr>
        <w:pStyle w:val="12"/>
        <w:widowControl w:val="0"/>
        <w:ind w:left="0" w:leftChars="0"/>
        <w:rPr>
          <w:rFonts w:hint="eastAsia" w:cs="Tahoma"/>
        </w:rPr>
      </w:pPr>
    </w:p>
    <w:p>
      <w:pPr>
        <w:pStyle w:val="12"/>
        <w:widowControl w:val="0"/>
        <w:ind w:left="0" w:leftChars="0"/>
        <w:rPr>
          <w:rFonts w:cs="Tahoma"/>
        </w:rPr>
      </w:pPr>
    </w:p>
    <w:p>
      <w:pPr>
        <w:jc w:val="center"/>
        <w:rPr>
          <w:rFonts w:cs="Tahoma"/>
          <w:bCs/>
          <w:szCs w:val="21"/>
        </w:rPr>
      </w:pPr>
      <w:r>
        <w:rPr>
          <w:rFonts w:hint="eastAsia" w:cs="Tahoma"/>
          <w:bCs/>
          <w:szCs w:val="21"/>
        </w:rPr>
        <w:t>单位：深圳市茁壮网络股份有限公司</w:t>
      </w:r>
    </w:p>
    <w:p>
      <w:pPr>
        <w:spacing w:line="360" w:lineRule="auto"/>
        <w:jc w:val="center"/>
        <w:rPr>
          <w:rFonts w:hint="eastAsia" w:ascii="Arial" w:hAnsi="宋体" w:cs="Arial"/>
          <w:b/>
          <w:bCs/>
          <w:szCs w:val="28"/>
        </w:rPr>
      </w:pPr>
      <w:r>
        <w:rPr>
          <w:rFonts w:hint="eastAsia" w:ascii="Arial" w:hAnsi="宋体" w:cs="Arial"/>
          <w:b/>
          <w:bCs/>
          <w:szCs w:val="28"/>
        </w:rPr>
        <w:br w:type="page"/>
      </w:r>
    </w:p>
    <w:p>
      <w:pPr>
        <w:spacing w:line="360" w:lineRule="auto"/>
        <w:jc w:val="center"/>
        <w:rPr>
          <w:rFonts w:ascii="Arial" w:hAnsi="Arial" w:cs="Arial"/>
          <w:szCs w:val="28"/>
        </w:rPr>
      </w:pPr>
      <w:r>
        <w:rPr>
          <w:rFonts w:ascii="Arial" w:hAnsi="宋体" w:cs="Arial"/>
          <w:b/>
          <w:bCs/>
          <w:szCs w:val="28"/>
        </w:rPr>
        <w:t>文档更新记录</w:t>
      </w:r>
    </w:p>
    <w:tbl>
      <w:tblPr>
        <w:tblStyle w:val="20"/>
        <w:tblW w:w="8582" w:type="dxa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751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427" w:type="dxa"/>
            <w:shd w:val="clear" w:color="auto" w:fill="D9D9D9"/>
            <w:vAlign w:val="center"/>
          </w:tcPr>
          <w:p>
            <w:pPr>
              <w:pStyle w:val="23"/>
              <w:rPr>
                <w:rFonts w:ascii="Arial" w:hAnsi="Arial" w:cs="Arial"/>
              </w:rPr>
            </w:pPr>
            <w:r>
              <w:rPr>
                <w:rFonts w:ascii="Arial" w:hAnsi="宋体" w:cs="Arial"/>
              </w:rPr>
              <w:t>日期</w:t>
            </w:r>
          </w:p>
        </w:tc>
        <w:tc>
          <w:tcPr>
            <w:tcW w:w="5751" w:type="dxa"/>
            <w:shd w:val="clear" w:color="auto" w:fill="D9D9D9"/>
            <w:vAlign w:val="center"/>
          </w:tcPr>
          <w:p>
            <w:pPr>
              <w:pStyle w:val="23"/>
              <w:rPr>
                <w:rFonts w:ascii="Arial" w:hAnsi="Arial" w:cs="Arial"/>
              </w:rPr>
            </w:pPr>
            <w:r>
              <w:rPr>
                <w:rFonts w:ascii="Arial" w:hAnsi="宋体" w:cs="Arial"/>
              </w:rPr>
              <w:t>更新内容</w:t>
            </w:r>
          </w:p>
        </w:tc>
        <w:tc>
          <w:tcPr>
            <w:tcW w:w="1404" w:type="dxa"/>
            <w:shd w:val="clear" w:color="auto" w:fill="D9D9D9"/>
            <w:vAlign w:val="center"/>
          </w:tcPr>
          <w:p>
            <w:pPr>
              <w:pStyle w:val="23"/>
              <w:rPr>
                <w:rFonts w:ascii="Arial" w:hAnsi="Arial" w:cs="Arial"/>
              </w:rPr>
            </w:pPr>
            <w:r>
              <w:rPr>
                <w:rFonts w:ascii="Arial" w:hAnsi="宋体" w:cs="Arial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lang w:val="en-US" w:eastAsia="zh-CN"/>
              </w:rPr>
              <w:t>2016-03-07</w:t>
            </w:r>
          </w:p>
        </w:tc>
        <w:tc>
          <w:tcPr>
            <w:tcW w:w="575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lang w:eastAsia="zh-CN"/>
              </w:rPr>
              <w:t>初稿</w:t>
            </w:r>
          </w:p>
        </w:tc>
        <w:tc>
          <w:tcPr>
            <w:tcW w:w="14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lang w:eastAsia="zh-CN"/>
              </w:rPr>
              <w:t>王东冬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4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val="en-US" w:eastAsia="zh-CN"/>
              </w:rPr>
            </w:pPr>
          </w:p>
        </w:tc>
        <w:tc>
          <w:tcPr>
            <w:tcW w:w="575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</w:p>
        </w:tc>
        <w:tc>
          <w:tcPr>
            <w:tcW w:w="14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4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val="en-US" w:eastAsia="zh-CN"/>
              </w:rPr>
            </w:pPr>
          </w:p>
        </w:tc>
        <w:tc>
          <w:tcPr>
            <w:tcW w:w="575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</w:p>
        </w:tc>
        <w:tc>
          <w:tcPr>
            <w:tcW w:w="14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4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cs="Arial"/>
                <w:sz w:val="20"/>
                <w:lang w:val="en-US" w:eastAsia="zh-CN"/>
              </w:rPr>
            </w:pPr>
          </w:p>
        </w:tc>
        <w:tc>
          <w:tcPr>
            <w:tcW w:w="575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cs="Arial"/>
                <w:sz w:val="20"/>
                <w:lang w:val="en-US" w:eastAsia="zh-CN"/>
              </w:rPr>
            </w:pPr>
          </w:p>
        </w:tc>
        <w:tc>
          <w:tcPr>
            <w:tcW w:w="140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cs="Arial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1427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751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427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751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center"/>
        <w:rPr>
          <w:rFonts w:ascii="Times New Roman" w:hAnsi="Times New Roman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br w:type="page"/>
      </w:r>
      <w:r>
        <w:rPr>
          <w:rFonts w:hint="eastAsia"/>
          <w:b/>
          <w:bCs/>
          <w:sz w:val="28"/>
          <w:szCs w:val="28"/>
        </w:rPr>
        <w:t>目录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 xml:space="preserve">TOC \o "1-3" \h \z \u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</w:p>
    <w:p>
      <w:pPr>
        <w:pStyle w:val="15"/>
        <w:tabs>
          <w:tab w:val="right" w:leader="dot" w:pos="9746"/>
        </w:tabs>
        <w:rPr>
          <w:rFonts w:ascii="Times New Roman" w:hAnsi="Times New Roman" w:eastAsia="宋体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HYPERLINK \l _Toc3883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楷体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/>
          <w:kern w:val="2"/>
          <w:szCs w:val="22"/>
          <w:lang w:val="en-US" w:eastAsia="zh-CN" w:bidi="ar-SA"/>
        </w:rPr>
        <w:t>文档说明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PAGEREF _Toc3883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楷体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746"/>
        </w:tabs>
        <w:rPr>
          <w:rFonts w:ascii="Times New Roman" w:hAnsi="Times New Roman" w:eastAsia="宋体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HYPERLINK \l _Toc809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楷体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/>
          <w:kern w:val="2"/>
          <w:szCs w:val="22"/>
          <w:lang w:val="en-US" w:eastAsia="zh-CN" w:bidi="ar-SA"/>
        </w:rPr>
        <w:t>Zabbix API简介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PAGEREF _Toc809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楷体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746"/>
        </w:tabs>
        <w:rPr>
          <w:rFonts w:ascii="Times New Roman" w:hAnsi="Times New Roman" w:eastAsia="宋体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HYPERLINK \l _Toc31117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楷体" w:cstheme="minorBidi"/>
          <w:kern w:val="2"/>
          <w:szCs w:val="2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/>
          <w:kern w:val="2"/>
          <w:szCs w:val="22"/>
          <w:lang w:val="en-US" w:eastAsia="zh-CN" w:bidi="ar-SA"/>
        </w:rPr>
        <w:t>概述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instrText xml:space="preserve"> PAGEREF _Toc31117 </w:instrTex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楷体" w:cstheme="minorBidi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rFonts w:hint="eastAsia"/>
        </w:rPr>
      </w:pPr>
      <w:r>
        <w:fldChar w:fldCharType="end"/>
      </w:r>
    </w:p>
    <w:p>
      <w:pPr>
        <w:pStyle w:val="2"/>
        <w:keepNext w:val="0"/>
        <w:keepLines w:val="0"/>
        <w:pageBreakBefore/>
        <w:widowControl w:val="0"/>
        <w:tabs>
          <w:tab w:val="left" w:pos="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00" w:beforeLines="0" w:after="60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eastAsia="zh-CN"/>
        </w:rPr>
      </w:pPr>
      <w:bookmarkStart w:id="0" w:name="_Toc3883"/>
      <w:r>
        <w:rPr>
          <w:rFonts w:hint="eastAsia"/>
          <w:lang w:eastAsia="zh-CN"/>
        </w:rPr>
        <w:t>文档说明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本文档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zabbix API说明书，</w:t>
      </w:r>
      <w:r>
        <w:rPr>
          <w:rFonts w:hint="eastAsia"/>
        </w:rPr>
        <w:t>供</w:t>
      </w:r>
      <w:r>
        <w:rPr>
          <w:rFonts w:hint="eastAsia"/>
          <w:lang w:eastAsia="zh-CN"/>
        </w:rPr>
        <w:t>前端开发人员以及</w:t>
      </w:r>
      <w:r>
        <w:rPr>
          <w:rFonts w:hint="eastAsia"/>
          <w:lang w:val="en-US" w:eastAsia="zh-CN"/>
        </w:rPr>
        <w:t>运维人员</w:t>
      </w:r>
      <w:r>
        <w:rPr>
          <w:rFonts w:hint="eastAsia"/>
        </w:rPr>
        <w:t>参考。</w:t>
      </w:r>
      <w:bookmarkStart w:id="1" w:name="_Toc448738433"/>
      <w:bookmarkStart w:id="2" w:name="_Toc450098940"/>
      <w:bookmarkStart w:id="3" w:name="_Toc2174"/>
      <w:bookmarkStart w:id="4" w:name="_Toc327870825"/>
      <w:bookmarkStart w:id="5" w:name="_Toc57470435"/>
      <w:bookmarkStart w:id="6" w:name="_Toc20250"/>
    </w:p>
    <w:p>
      <w:pPr>
        <w:pStyle w:val="2"/>
        <w:tabs>
          <w:tab w:val="clear" w:pos="432"/>
        </w:tabs>
        <w:rPr>
          <w:rFonts w:hint="eastAsia"/>
          <w:lang w:eastAsia="zh-CN"/>
        </w:rPr>
      </w:pPr>
      <w:bookmarkStart w:id="7" w:name="_Toc809"/>
      <w:r>
        <w:rPr>
          <w:rFonts w:hint="eastAsia"/>
          <w:lang w:val="en-US" w:eastAsia="zh-CN"/>
        </w:rPr>
        <w:t>Zabbix API简介</w:t>
      </w:r>
      <w:bookmarkEnd w:id="7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" w:name="_Toc31117"/>
      <w:r>
        <w:rPr>
          <w:rFonts w:hint="eastAsia"/>
          <w:lang w:eastAsia="zh-CN"/>
        </w:rPr>
        <w:t>概述</w:t>
      </w:r>
      <w:bookmarkEnd w:id="8"/>
    </w:p>
    <w:bookmarkEnd w:id="1"/>
    <w:bookmarkEnd w:id="2"/>
    <w:bookmarkEnd w:id="3"/>
    <w:bookmarkEnd w:id="4"/>
    <w:bookmarkEnd w:id="5"/>
    <w:bookmarkEnd w:id="6"/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zabbix api可以获取出zabbix数据库中所有的信息，然后进行二次开发。Zabbix 官网api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"https://www.zabbix.com/documentation/2.4/manual/api"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https://www.zabbix.com/documentation/2.4/manual/api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,对zabbix 进行二次开发时只需利用api获取数据即可，不涉及到对数据的增、删、改操作。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常用的API有: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Alert.get 获取告警信息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Application.get 获取应用集的信息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获取被监控主机的列表信息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Item.get 获取监控项目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History.get 获取出监控的数据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数据获取的流程如下: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首先通过host.get获取出主机的hostid，然后利用item.get根据hostid获取出itemid,然后利用history.get根据itemid获取出需要的数据。Item.get得到的数据是最新的数据，history.get得到的是历史数据用于画图。</w:t>
      </w:r>
      <w:bookmarkStart w:id="9" w:name="_GoBack"/>
      <w:bookmarkEnd w:id="9"/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监控的数据归类方式，每个监控项目有一个监控名字和ID，可以通过item.get获取。为了便于管理，会把具有某种相同特性的监控项目归类，进而产生了application的概念。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Host.get获取的主要信息:</w:t>
      </w:r>
    </w:p>
    <w:tbl>
      <w:tblPr>
        <w:tblStyle w:val="21"/>
        <w:tblW w:w="8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hostid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0,1 两个值 0代表启用对本机的监控 1 停止监控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 两个值 1代表zabbix_agent 正常运行2异常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可以获取出被监控主机的数量，存活状态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Item.get 获取的主要信息:</w:t>
      </w:r>
    </w:p>
    <w:tbl>
      <w:tblPr>
        <w:tblStyle w:val="21"/>
        <w:tblW w:w="8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hostid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Itemid 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监控项目的名称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监控所需要的key值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lastvalue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监控项目的最新值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lastclock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监控项目的最新监测时间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  <w:textDirection w:val="lrTb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021" w:type="dxa"/>
            <w:textDirection w:val="lrTb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0,1 两个值 0代表启用监控 1 停止监控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History.get 获取的主要信息: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利用这个key获取信息是，过滤参数history 对应0--float 1--string 2--log 3---integer 4---text 默认3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监控时获取的不同类型的值会写入到不同的数据表中，而1-4的类型判断就是去对应的表中查询数据。</w:t>
      </w:r>
    </w:p>
    <w:tbl>
      <w:tblPr>
        <w:tblStyle w:val="21"/>
        <w:tblW w:w="8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Itemid 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监控的值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Alert.get 获取的主要信息:</w:t>
      </w:r>
    </w:p>
    <w:tbl>
      <w:tblPr>
        <w:tblStyle w:val="21"/>
        <w:tblW w:w="8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alertid 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告警邮件主题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alerttype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告警的状态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Application.get 获取的主要信息:</w:t>
      </w:r>
    </w:p>
    <w:tbl>
      <w:tblPr>
        <w:tblStyle w:val="21"/>
        <w:tblW w:w="8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applicationid 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hostid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3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602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应用集名字</w:t>
            </w:r>
          </w:p>
        </w:tc>
      </w:tr>
    </w:tbl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Homed监控数据的简要介绍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为了便于管理监控项目，根据监控项目的特性进行了归类管理。每台被监控主机都有的application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有CPU状态、Disk IO状态、Homed 服务CPU使用情况、Homed 服务内存使用情况、Homed进程状态、主机的内存状态、主机的基本信息、文件系统大小状态、网卡流量和状态。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HDFS、数据库、录流的监控仅在运维主机上部署了，对应的application 为HDFS Status、数据库主从复制状态、频道录流监控。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---------------------------------------------------------------end---------------------------------------------------------------</w:t>
      </w: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0" w:footer="907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方正大黑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0"/>
      <w:tblW w:w="9962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33"/>
      <w:gridCol w:w="2985"/>
      <w:gridCol w:w="324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4" w:hRule="atLeast"/>
      </w:trPr>
      <w:tc>
        <w:tcPr>
          <w:tcW w:w="3733" w:type="dxa"/>
          <w:vMerge w:val="restart"/>
          <w:vAlign w:val="top"/>
        </w:tcPr>
        <w:p>
          <w:pPr>
            <w:pStyle w:val="14"/>
            <w:pBdr>
              <w:bottom w:val="none" w:color="auto" w:sz="0" w:space="0"/>
            </w:pBdr>
            <w:jc w:val="both"/>
            <w:rPr>
              <w:rFonts w:hint="eastAsia" w:ascii="Tahoma" w:hAnsi="Tahoma"/>
              <w:lang w:val="en-US" w:eastAsia="zh-CN"/>
            </w:rPr>
          </w:pPr>
          <w:r>
            <w:rPr>
              <w:rFonts w:ascii="Tahoma" w:hAnsi="Tahoma"/>
              <w:lang w:val="en-US" w:eastAsia="zh-CN"/>
            </w:rPr>
            <w:pict>
              <v:shape id="PowerPlusWaterMarkObject31405849" o:spid="_x0000_s4097" o:spt="136" type="#_x0000_t136" style="position:absolute;left:0pt;height:45pt;width:54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 adj="10800">
                <v:path/>
                <v:fill on="t" opacity="32768f" focussize="0,0"/>
                <v:stroke on="f"/>
                <v:imagedata o:title=""/>
                <o:lock v:ext="edit" grouping="f" rotation="f" text="f" aspectratio="f"/>
                <v:textpath on="t" fitshape="t" fitpath="t" trim="t" xscale="f" string="内参文件严禁直接对外发布" style="font-family:宋体;font-size:8pt;v-text-align:center;"/>
              </v:shape>
            </w:pict>
          </w:r>
          <w:r>
            <w:rPr>
              <w:rFonts w:hint="eastAsia" w:ascii="Tahoma" w:hAnsi="Tahoma"/>
              <w:lang w:val="en-US" w:eastAsia="zh-CN"/>
            </w:rPr>
            <w:drawing>
              <wp:inline distT="0" distB="0" distL="114300" distR="114300">
                <wp:extent cx="1600200" cy="607060"/>
                <wp:effectExtent l="0" t="0" r="0" b="2540"/>
                <wp:docPr id="19" name="图片 19" descr="logo中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logo中文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5" w:type="dxa"/>
          <w:vAlign w:val="center"/>
        </w:tcPr>
        <w:p>
          <w:pPr>
            <w:pStyle w:val="14"/>
            <w:pBdr>
              <w:bottom w:val="none" w:color="auto" w:sz="0" w:space="0"/>
            </w:pBd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Zabbix API说明书</w:t>
          </w:r>
        </w:p>
      </w:tc>
      <w:tc>
        <w:tcPr>
          <w:tcW w:w="3244" w:type="dxa"/>
          <w:vAlign w:val="center"/>
        </w:tcPr>
        <w:p>
          <w:pPr>
            <w:pStyle w:val="14"/>
            <w:pBdr>
              <w:bottom w:val="none" w:color="auto" w:sz="0" w:space="0"/>
            </w:pBdr>
            <w:jc w:val="right"/>
            <w:rPr>
              <w:rFonts w:hint="eastAsia" w:ascii="Tahoma" w:hAnsi="Tahoma"/>
              <w:lang w:val="en-US" w:eastAsia="zh-CN"/>
            </w:rPr>
          </w:pPr>
          <w:r>
            <w:rPr>
              <w:rFonts w:hint="eastAsia" w:ascii="Tahoma" w:hAnsi="Tahoma" w:cs="Tahoma"/>
              <w:lang w:val="en-US" w:eastAsia="zh-CN"/>
            </w:rPr>
            <w:t>第</w:t>
          </w:r>
          <w:r>
            <w:rPr>
              <w:rFonts w:ascii="Tahoma" w:hAnsi="Tahoma" w:cs="Tahoma"/>
              <w:lang w:val="zh-CN" w:eastAsia="zh-CN"/>
            </w:rPr>
            <w:t xml:space="preserve"> </w:t>
          </w:r>
          <w:r>
            <w:rPr>
              <w:rFonts w:ascii="Tahoma" w:hAnsi="Tahoma" w:cs="Tahoma"/>
              <w:lang w:val="en-US" w:eastAsia="zh-CN"/>
            </w:rPr>
            <w:fldChar w:fldCharType="begin"/>
          </w:r>
          <w:r>
            <w:rPr>
              <w:rFonts w:ascii="Tahoma" w:hAnsi="Tahoma" w:cs="Tahoma"/>
              <w:lang w:val="en-US" w:eastAsia="zh-CN"/>
            </w:rPr>
            <w:instrText xml:space="preserve">PAGE</w:instrText>
          </w:r>
          <w:r>
            <w:rPr>
              <w:rFonts w:ascii="Tahoma" w:hAnsi="Tahoma" w:cs="Tahoma"/>
              <w:lang w:val="en-US" w:eastAsia="zh-CN"/>
            </w:rPr>
            <w:fldChar w:fldCharType="separate"/>
          </w:r>
          <w:r>
            <w:rPr>
              <w:rFonts w:ascii="Tahoma" w:hAnsi="Tahoma" w:cs="Tahoma"/>
              <w:lang w:val="en-US" w:eastAsia="zh-CN"/>
            </w:rPr>
            <w:t>7</w:t>
          </w:r>
          <w:r>
            <w:rPr>
              <w:rFonts w:ascii="Tahoma" w:hAnsi="Tahoma" w:cs="Tahoma"/>
              <w:lang w:val="en-US" w:eastAsia="zh-CN"/>
            </w:rPr>
            <w:fldChar w:fldCharType="end"/>
          </w:r>
          <w:r>
            <w:rPr>
              <w:rFonts w:hint="eastAsia" w:ascii="Tahoma" w:hAnsi="Tahoma" w:cs="Tahoma"/>
              <w:lang w:val="en-US" w:eastAsia="zh-CN"/>
            </w:rPr>
            <w:t>页，共</w:t>
          </w:r>
          <w:r>
            <w:rPr>
              <w:rFonts w:ascii="Tahoma" w:hAnsi="Tahoma"/>
              <w:lang w:val="en-US" w:eastAsia="zh-CN"/>
            </w:rPr>
            <w:fldChar w:fldCharType="begin"/>
          </w:r>
          <w:r>
            <w:rPr>
              <w:rStyle w:val="18"/>
              <w:rFonts w:ascii="Tahoma" w:hAnsi="Tahoma"/>
              <w:lang w:val="en-US" w:eastAsia="zh-CN"/>
            </w:rPr>
            <w:instrText xml:space="preserve"> NUMPAGES </w:instrText>
          </w:r>
          <w:r>
            <w:rPr>
              <w:rFonts w:ascii="Tahoma" w:hAnsi="Tahoma"/>
              <w:lang w:val="en-US" w:eastAsia="zh-CN"/>
            </w:rPr>
            <w:fldChar w:fldCharType="separate"/>
          </w:r>
          <w:r>
            <w:rPr>
              <w:rStyle w:val="18"/>
              <w:rFonts w:ascii="Tahoma" w:hAnsi="Tahoma"/>
              <w:lang w:val="en-US" w:eastAsia="zh-CN"/>
            </w:rPr>
            <w:t>7</w:t>
          </w:r>
          <w:r>
            <w:rPr>
              <w:rFonts w:ascii="Tahoma" w:hAnsi="Tahoma"/>
              <w:lang w:val="en-US" w:eastAsia="zh-CN"/>
            </w:rPr>
            <w:fldChar w:fldCharType="end"/>
          </w:r>
          <w:r>
            <w:rPr>
              <w:rFonts w:hint="eastAsia" w:ascii="Tahoma" w:hAnsi="Tahoma"/>
              <w:lang w:val="en-US" w:eastAsia="zh-CN"/>
            </w:rPr>
            <w:t>页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0" w:hRule="atLeast"/>
      </w:trPr>
      <w:tc>
        <w:tcPr>
          <w:tcW w:w="3733" w:type="dxa"/>
          <w:vMerge w:val="continue"/>
          <w:vAlign w:val="top"/>
        </w:tcPr>
        <w:p>
          <w:pPr>
            <w:pStyle w:val="14"/>
            <w:pBdr>
              <w:bottom w:val="none" w:color="auto" w:sz="0" w:space="0"/>
            </w:pBdr>
            <w:jc w:val="both"/>
            <w:rPr>
              <w:rFonts w:hint="eastAsia" w:ascii="Tahoma" w:hAnsi="Tahoma"/>
              <w:lang w:val="en-US" w:eastAsia="zh-CN"/>
            </w:rPr>
          </w:pPr>
        </w:p>
      </w:tc>
      <w:tc>
        <w:tcPr>
          <w:tcW w:w="2985" w:type="dxa"/>
          <w:vAlign w:val="center"/>
        </w:tcPr>
        <w:p>
          <w:pPr>
            <w:pStyle w:val="14"/>
            <w:pBdr>
              <w:bottom w:val="none" w:color="auto" w:sz="0" w:space="0"/>
            </w:pBdr>
            <w:rPr>
              <w:rFonts w:hint="eastAsia" w:ascii="Tahoma" w:hAnsi="Tahoma"/>
              <w:lang w:val="en-US" w:eastAsia="zh-CN"/>
            </w:rPr>
          </w:pPr>
          <w:r>
            <w:rPr>
              <w:rFonts w:hint="eastAsia" w:ascii="Tahoma" w:hAnsi="Tahoma"/>
              <w:lang w:val="en-US" w:eastAsia="zh-CN"/>
            </w:rPr>
            <w:t>茁壮网络内部文档</w:t>
          </w:r>
        </w:p>
      </w:tc>
      <w:tc>
        <w:tcPr>
          <w:tcW w:w="3244" w:type="dxa"/>
          <w:vAlign w:val="center"/>
        </w:tcPr>
        <w:p>
          <w:pPr>
            <w:pStyle w:val="14"/>
            <w:pBdr>
              <w:bottom w:val="none" w:color="auto" w:sz="0" w:space="0"/>
            </w:pBdr>
            <w:jc w:val="right"/>
            <w:rPr>
              <w:rFonts w:hint="eastAsia" w:ascii="Tahoma" w:hAnsi="Tahoma"/>
              <w:lang w:val="en-US" w:eastAsia="zh-CN"/>
            </w:rPr>
          </w:pPr>
          <w:r>
            <w:rPr>
              <w:rFonts w:hint="eastAsia" w:ascii="Tahoma" w:hAnsi="Tahoma"/>
              <w:lang w:val="en-US" w:eastAsia="zh-CN"/>
            </w:rPr>
            <w:t>茁壮网络股份有限公司版权</w:t>
          </w:r>
        </w:p>
      </w:tc>
    </w:tr>
  </w:tbl>
  <w:p>
    <w:pPr>
      <w:pStyle w:val="14"/>
      <w:jc w:val="both"/>
    </w:pPr>
    <w:r>
      <w:rPr>
        <w:lang w:val="zh-CN" w:eastAsia="zh-CN"/>
      </w:rPr>
      <w:pict>
        <v:shape id="PowerPlusWaterMarkObject31405848" o:spid="_x0000_s4098" o:spt="136" type="#_x0000_t136" style="position:absolute;left:0pt;height:45pt;width:54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 adj="10800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内参文件严禁直接对外发布" style="font-family:宋体;font-size:8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rPr>
        <w:lang w:val="zh-CN" w:eastAsia="zh-CN"/>
      </w:rPr>
      <w:pict>
        <v:shape id="PowerPlusWaterMarkObject31405850" o:spid="_x0000_s4099" o:spt="136" type="#_x0000_t136" style="position:absolute;left:0pt;height:45pt;width:540.3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 adj="10800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内参文件严禁直接对外发布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pBdr>
        <w:bottom w:val="none" w:color="auto" w:sz="0" w:space="0"/>
      </w:pBdr>
      <w:jc w:val="both"/>
      <w:rPr>
        <w:rFonts w:hint="eastAsia"/>
        <w:lang w:val="zh-CN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608397">
    <w:nsid w:val="56397E0D"/>
    <w:multiLevelType w:val="multilevel"/>
    <w:tmpl w:val="56397E0D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46608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753F6"/>
    <w:rsid w:val="00CB4F7A"/>
    <w:rsid w:val="059A44EB"/>
    <w:rsid w:val="06651278"/>
    <w:rsid w:val="07F22610"/>
    <w:rsid w:val="09B3013C"/>
    <w:rsid w:val="0C6C330A"/>
    <w:rsid w:val="0E662EDB"/>
    <w:rsid w:val="0F02428B"/>
    <w:rsid w:val="14E24C91"/>
    <w:rsid w:val="16C12FF7"/>
    <w:rsid w:val="18EE1E88"/>
    <w:rsid w:val="1D4F0C0C"/>
    <w:rsid w:val="23E10F9E"/>
    <w:rsid w:val="24FD4781"/>
    <w:rsid w:val="29327CAD"/>
    <w:rsid w:val="2B8D3841"/>
    <w:rsid w:val="32DB50E8"/>
    <w:rsid w:val="340248B3"/>
    <w:rsid w:val="3596016D"/>
    <w:rsid w:val="3BC42EA2"/>
    <w:rsid w:val="419E6ED4"/>
    <w:rsid w:val="427C2B5F"/>
    <w:rsid w:val="442E2D79"/>
    <w:rsid w:val="49A1736C"/>
    <w:rsid w:val="5199314A"/>
    <w:rsid w:val="51D726CC"/>
    <w:rsid w:val="5314419B"/>
    <w:rsid w:val="55F91B71"/>
    <w:rsid w:val="561B6B38"/>
    <w:rsid w:val="5675726B"/>
    <w:rsid w:val="59081E02"/>
    <w:rsid w:val="59EA65D4"/>
    <w:rsid w:val="59FE74D9"/>
    <w:rsid w:val="5BD057C1"/>
    <w:rsid w:val="5CB06DCC"/>
    <w:rsid w:val="5CE3630C"/>
    <w:rsid w:val="63E555FB"/>
    <w:rsid w:val="6CA00826"/>
    <w:rsid w:val="6F5B1460"/>
    <w:rsid w:val="73D95FF2"/>
    <w:rsid w:val="758753F6"/>
    <w:rsid w:val="7A1A4C58"/>
    <w:rsid w:val="7DD770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beforeLines="0" w:beforeAutospacing="0" w:after="120" w:afterLines="0" w:afterAutospacing="0" w:line="240" w:lineRule="auto"/>
      <w:ind w:left="432" w:hanging="432" w:firstLineChars="0"/>
      <w:outlineLvl w:val="0"/>
    </w:pPr>
    <w:rPr>
      <w:rFonts w:ascii="Times New Roman" w:hAnsi="Times New Roman" w:eastAsia="楷体" w:cstheme="minorBidi"/>
      <w:b/>
      <w:kern w:val="44"/>
      <w:sz w:val="30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120" w:beforeLines="0" w:beforeAutospacing="0" w:after="120" w:afterLines="0" w:afterAutospacing="0" w:line="240" w:lineRule="auto"/>
      <w:ind w:left="575" w:hanging="575" w:firstLineChars="0"/>
      <w:outlineLvl w:val="1"/>
    </w:pPr>
    <w:rPr>
      <w:rFonts w:ascii="Times New Roman" w:hAnsi="Times New Roman" w:eastAsia="楷体" w:cstheme="minorBidi"/>
      <w:b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575"/>
      </w:tabs>
      <w:spacing w:before="120" w:beforeLines="0" w:beforeAutospacing="0" w:after="120" w:afterLines="0" w:afterAutospacing="0" w:line="240" w:lineRule="auto"/>
      <w:ind w:left="720" w:hanging="720" w:firstLineChars="0"/>
      <w:outlineLvl w:val="2"/>
    </w:pPr>
    <w:rPr>
      <w:rFonts w:ascii="Times New Roman" w:hAnsi="Times New Roman" w:eastAsia="楷体" w:cstheme="minorBidi"/>
      <w:sz w:val="28"/>
    </w:rPr>
  </w:style>
  <w:style w:type="paragraph" w:styleId="5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20" w:afterLines="0" w:afterAutospacing="0" w:line="240" w:lineRule="auto"/>
      <w:ind w:left="0" w:firstLine="0" w:firstLineChars="0"/>
      <w:outlineLvl w:val="3"/>
    </w:pPr>
    <w:rPr>
      <w:rFonts w:ascii="Arial" w:hAnsi="Arial" w:eastAsia="楷体" w:cstheme="minorBidi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spacing w:before="93" w:beforeLines="30" w:after="93" w:afterLines="30"/>
      <w:ind w:firstLine="200" w:firstLineChars="200"/>
    </w:pPr>
    <w:rPr>
      <w:rFonts w:ascii="宋体"/>
      <w:kern w:val="0"/>
    </w:rPr>
  </w:style>
  <w:style w:type="paragraph" w:styleId="12">
    <w:name w:val="Body Text Indent"/>
    <w:basedOn w:val="1"/>
    <w:qFormat/>
    <w:uiPriority w:val="0"/>
    <w:pPr>
      <w:widowControl/>
      <w:spacing w:after="120" w:afterLines="0"/>
      <w:ind w:left="420" w:leftChars="200"/>
      <w:jc w:val="left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character" w:styleId="18">
    <w:name w:val="page number"/>
    <w:basedOn w:val="17"/>
    <w:uiPriority w:val="0"/>
  </w:style>
  <w:style w:type="character" w:styleId="19">
    <w:name w:val="Hyperlink"/>
    <w:basedOn w:val="17"/>
    <w:uiPriority w:val="0"/>
    <w:rPr>
      <w:color w:val="0000FF"/>
      <w:u w:val="single"/>
    </w:r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题目"/>
    <w:basedOn w:val="1"/>
    <w:next w:val="1"/>
    <w:qFormat/>
    <w:uiPriority w:val="0"/>
    <w:pPr>
      <w:autoSpaceDE w:val="0"/>
      <w:autoSpaceDN w:val="0"/>
      <w:adjustRightInd w:val="0"/>
      <w:spacing w:before="240" w:beforeLines="0" w:after="60" w:afterLines="0"/>
      <w:jc w:val="left"/>
    </w:pPr>
    <w:rPr>
      <w:rFonts w:ascii="Arial" w:hAnsi="Arial"/>
      <w:kern w:val="0"/>
      <w:sz w:val="24"/>
      <w:szCs w:val="24"/>
    </w:rPr>
  </w:style>
  <w:style w:type="paragraph" w:customStyle="1" w:styleId="23">
    <w:name w:val="样式 Courier New 10 磅 加粗 居中1"/>
    <w:basedOn w:val="1"/>
    <w:qFormat/>
    <w:uiPriority w:val="0"/>
    <w:pPr>
      <w:jc w:val="center"/>
    </w:pPr>
    <w:rPr>
      <w:rFonts w:ascii="Courier New" w:hAnsi="Courier New" w:cs="宋体"/>
      <w:b/>
      <w:bCs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2016-03-07T01:18:00Z</dcterms:created>
  <dc:creator>Administrator</dc:creator>
  <cp:lastModifiedBy>Administrator</cp:lastModifiedBy>
  <dcterms:modified xsi:type="dcterms:W3CDTF">2016-03-07T08:48:56Z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