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illSans-bold.ttf" ContentType="application/x-font-ttf"/>
  <Override PartName="/word/fonts/GillSans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</w:pPr>
      <w:r>
        <w:rPr>
          <w:b/>
          <w:color w:val="276236"/>
          <w:sz w:val="36"/>
        </w:rPr>
        <w:t>Reading Material 2: Using Digital Information Safely</w:t>
      </w:r>
    </w:p>
    <w:p>
      <w:pPr>
        <w:jc w:val="center"/>
      </w:pPr>
      <w:r>
        <w:drawing>
          <wp:inline>
            <wp:extent cx="5394960" cy="3591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tic_sc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1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0"/>
        </w:rPr>
        <w:t>The contents of this document help learners understand the topic in simple language and connect it with class, lab, and workshop situations.</w:t>
      </w:r>
    </w:p>
    <w:p>
      <w:pPr>
        <w:pStyle w:val="Heading2"/>
      </w:pPr>
      <w:r>
        <w:rPr>
          <w:b/>
          <w:color w:val="276236"/>
          <w:sz w:val="28"/>
        </w:rPr>
        <w:t>Reading digital workshop information</w:t>
      </w:r>
    </w:p>
    <w:p>
      <w:pPr/>
      <w:r>
        <w:rPr>
          <w:b w:val="0"/>
          <w:sz w:val="20"/>
        </w:rPr>
        <w:t>A diagnostic scan report, service history, or part record can support a mechanic. But digital output is not a final answer by itself. It gives clues. The mechanic must verify the clue with observation, measurement, manual, and instructor guidance.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6"/>
      </w:tblGrid>
      <w:tr>
        <w:tc>
          <w:tcPr>
            <w:tcW w:type="dxa" w:w="9926"/>
            <w:shd w:fill="E8F4EA"/>
          </w:tcPr>
          <w:p>
            <w:r>
              <w:rPr>
                <w:b/>
                <w:color w:val="276236"/>
                <w:sz w:val="24"/>
              </w:rPr>
              <w:t>Use Case 1: Diagnostic report as a clue</w:t>
              <w:br/>
            </w:r>
            <w:r>
              <w:rPr>
                <w:sz w:val="20"/>
              </w:rPr>
              <w:t>A scan report shows a sensor-related fault. A learner should not replace the sensor immediately. First check wiring, connector condition, battery voltage, and whether the fault returns after clearing. This saves time and avoids unnecessary replacement.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26"/>
      </w:tblGrid>
      <w:tr>
        <w:tc>
          <w:tcPr>
            <w:tcW w:type="dxa" w:w="9926"/>
            <w:shd w:fill="E8F4EA"/>
          </w:tcPr>
          <w:p>
            <w:r>
              <w:rPr>
                <w:b/>
                <w:color w:val="276236"/>
                <w:sz w:val="24"/>
              </w:rPr>
              <w:t>Use Case 2: Finding the right service record</w:t>
              <w:br/>
            </w:r>
            <w:r>
              <w:rPr>
                <w:sz w:val="20"/>
              </w:rPr>
              <w:t>A vehicle returns with the same complaint. The mechanic checks previous job notes and sees that a related check was already done. This helps the workshop avoid repeating the same work and plan the next check properly.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26"/>
      </w:tblGrid>
      <w:tr>
        <w:tc>
          <w:tcPr>
            <w:tcW w:type="dxa" w:w="9926"/>
            <w:shd w:fill="E8F4EA"/>
          </w:tcPr>
          <w:p>
            <w:r>
              <w:rPr>
                <w:b/>
                <w:color w:val="276236"/>
                <w:sz w:val="24"/>
              </w:rPr>
              <w:t>Use Case 3: Parts information</w:t>
              <w:br/>
            </w:r>
            <w:r>
              <w:rPr>
                <w:sz w:val="20"/>
              </w:rPr>
              <w:t>A part may look similar but have different specifications. The learner checks the part record and confirms with the instructor before selecting it.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26"/>
      </w:tblGrid>
      <w:tr>
        <w:tc>
          <w:tcPr>
            <w:tcW w:type="dxa" w:w="9926"/>
            <w:shd w:fill="E8F4EA"/>
          </w:tcPr>
          <w:p>
            <w:r>
              <w:rPr>
                <w:b/>
                <w:color w:val="276236"/>
                <w:sz w:val="24"/>
              </w:rPr>
              <w:t>Think &amp; Reflect</w:t>
              <w:br/>
            </w:r>
            <w:r>
              <w:rPr>
                <w:sz w:val="20"/>
              </w:rPr>
              <w:t>What can go wrong if a mechanic follows a digital report without checking the actual vehicle? Write two points.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26"/>
      </w:tblGrid>
      <w:tr>
        <w:tc>
          <w:tcPr>
            <w:tcW w:type="dxa" w:w="9926"/>
            <w:shd w:fill="E8F4EA"/>
          </w:tcPr>
          <w:p>
            <w:r>
              <w:rPr>
                <w:b/>
                <w:color w:val="276236"/>
                <w:sz w:val="24"/>
              </w:rPr>
              <w:t>Key Takeaways</w:t>
              <w:br/>
            </w:r>
            <w:r>
              <w:rPr>
                <w:sz w:val="20"/>
              </w:rPr>
              <w:t>Digital information helps only when it is organised, understood, and verified. A good mechanic combines digital clues with practical checking.</w:t>
            </w:r>
          </w:p>
        </w:tc>
      </w:tr>
    </w:tbl>
    <w:sectPr>
      <w:headerReference r:id="rId10" w:type="default"/>
      <w:footerReference r:id="rId11" w:type="default"/>
      <w:pgSz w:h="16850" w:w="11910" w:orient="portrait"/>
      <w:pgMar w:bottom="0" w:top="0" w:left="992" w:right="992" w:header="1020" w:footer="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ata Strive" w:id="0" w:date="2025-12-22T10:37:00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icons like these or any other similar ones for sectioning out content and to make the asset visually appealing and more understandable for learners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rebuchet MS"/>
  <w:font w:name="Georgia"/>
  <w:font w:name="Calibri"/>
  <w:font w:name="Times New Roman"/>
  <w:font w:name="Arial"/>
  <w:font w:name="Courier New"/>
  <w:font w:name="Lucida Sans"/>
  <w:font w:name="Noto Sans Symbols">
    <w:embedRegular w:fontKey="{00000000-0000-0000-0000-000000000000}" r:id="rId1" w:subsetted="0"/>
    <w:embedBold w:fontKey="{00000000-0000-0000-0000-000000000000}" r:id="rId2" w:subsetted="0"/>
  </w:font>
  <w:font w:name="Gill San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rFonts w:ascii="Calibri" w:cs="Calibri" w:eastAsia="Calibri" w:hAnsi="Calibri"/>
        <w:color w:val="000000"/>
        <w:sz w:val="14"/>
        <w:szCs w:val="14"/>
      </w:rPr>
    </w:pPr>
    <w:r w:rsidDel="00000000" w:rsidR="00000000" w:rsidRPr="00000000">
      <w:rPr>
        <w:rFonts w:ascii="Calibri" w:cs="Calibri" w:eastAsia="Calibri" w:hAnsi="Calibri"/>
        <w:color w:val="000000"/>
        <w:sz w:val="18"/>
        <w:szCs w:val="18"/>
        <w:rtl w:val="0"/>
      </w:rPr>
      <w:t xml:space="preserve">@</w:t>
    </w: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Tata Community Initiatives Trust. All Rights Reserved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ind w:left="447" w:firstLine="0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5867400</wp:posOffset>
          </wp:positionH>
          <wp:positionV relativeFrom="page">
            <wp:posOffset>417830</wp:posOffset>
          </wp:positionV>
          <wp:extent cx="1460500" cy="361950"/>
          <wp:effectExtent b="0" l="0" r="0" t="0"/>
          <wp:wrapNone/>
          <wp:docPr id="4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0500" cy="3619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3319779</wp:posOffset>
          </wp:positionH>
          <wp:positionV relativeFrom="paragraph">
            <wp:posOffset>-209549</wp:posOffset>
          </wp:positionV>
          <wp:extent cx="1587500" cy="335549"/>
          <wp:effectExtent b="0" l="0" r="0" t="0"/>
          <wp:wrapNone/>
          <wp:docPr id="4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7500" cy="33554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2081530</wp:posOffset>
          </wp:positionH>
          <wp:positionV relativeFrom="paragraph">
            <wp:posOffset>-354964</wp:posOffset>
          </wp:positionV>
          <wp:extent cx="951259" cy="596458"/>
          <wp:effectExtent b="0" l="0" r="0" t="0"/>
          <wp:wrapNone/>
          <wp:docPr id="41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1259" cy="59645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819150</wp:posOffset>
          </wp:positionH>
          <wp:positionV relativeFrom="paragraph">
            <wp:posOffset>-438149</wp:posOffset>
          </wp:positionV>
          <wp:extent cx="846455" cy="752475"/>
          <wp:effectExtent b="0" l="0" r="0" t="0"/>
          <wp:wrapNone/>
          <wp:docPr id="39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4"/>
                  <a:srcRect b="0" l="-13881" r="-8049" t="-7225"/>
                  <a:stretch>
                    <a:fillRect/>
                  </a:stretch>
                </pic:blipFill>
                <pic:spPr>
                  <a:xfrm>
                    <a:off x="0" y="0"/>
                    <a:ext cx="846455" cy="7524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-337819</wp:posOffset>
          </wp:positionH>
          <wp:positionV relativeFrom="paragraph">
            <wp:posOffset>-360679</wp:posOffset>
          </wp:positionV>
          <wp:extent cx="758190" cy="620395"/>
          <wp:effectExtent b="0" l="0" r="0" t="0"/>
          <wp:wrapNone/>
          <wp:docPr id="4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8190" cy="6203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70"/>
      <w:jc w:val="both"/>
    </w:pPr>
    <w:rPr>
      <w:rFonts w:ascii="Trebuchet MS" w:cs="Trebuchet MS" w:eastAsia="Trebuchet MS" w:hAnsi="Trebuchet MS"/>
      <w:b w:val="1"/>
      <w:bCs w:val="1"/>
      <w:sz w:val="34"/>
      <w:szCs w:val="34"/>
      <w:u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34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NormalWeb">
    <w:name w:val="Normal (Web)"/>
    <w:basedOn w:val="Normal"/>
    <w:uiPriority w:val="99"/>
    <w:semiHidden w:val="1"/>
    <w:unhideWhenUsed w:val="1"/>
    <w:rsid w:val="00D71ACD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6C24DC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C24DC"/>
    <w:rPr>
      <w:rFonts w:ascii="Lucida Sans" w:cs="Lucida Sans" w:eastAsia="Lucida Sans" w:hAnsi="Lucida Sans"/>
    </w:rPr>
  </w:style>
  <w:style w:type="paragraph" w:styleId="Footer">
    <w:name w:val="footer"/>
    <w:basedOn w:val="Normal"/>
    <w:link w:val="FooterChar"/>
    <w:uiPriority w:val="99"/>
    <w:unhideWhenUsed w:val="1"/>
    <w:rsid w:val="006C24DC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C24DC"/>
    <w:rPr>
      <w:rFonts w:ascii="Lucida Sans" w:cs="Lucida Sans" w:eastAsia="Lucida Sans" w:hAnsi="Lucida Sans"/>
    </w:rPr>
  </w:style>
  <w:style w:type="character" w:styleId="Heading1Char" w:customStyle="1">
    <w:name w:val="Heading 1 Char"/>
    <w:basedOn w:val="DefaultParagraphFont"/>
    <w:link w:val="Heading1"/>
    <w:uiPriority w:val="9"/>
    <w:rsid w:val="004E2F57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85A3C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85A3C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85A3C"/>
    <w:rPr>
      <w:rFonts w:ascii="Segoe UI" w:cs="Segoe UI" w:eastAsia="Lucida Sans" w:hAnsi="Segoe UI"/>
      <w:sz w:val="18"/>
      <w:szCs w:val="18"/>
    </w:rPr>
  </w:style>
  <w:style w:type="table" w:styleId="TableGrid">
    <w:name w:val="Table Grid"/>
    <w:basedOn w:val="TableNormal"/>
    <w:uiPriority w:val="39"/>
    <w:rsid w:val="00C61CE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"/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4F78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4F78F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4F78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F78F4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F78F4"/>
    <w:rPr>
      <w:b w:val="1"/>
      <w:bCs w:val="1"/>
      <w:sz w:val="20"/>
      <w:szCs w:val="20"/>
    </w:rPr>
  </w:style>
  <w:style w:type="paragraph" w:styleId="NoSpacing">
    <w:name w:val="No Spacing"/>
    <w:uiPriority w:val="1"/>
    <w:qFormat w:val="1"/>
    <w:rsid w:val="004F78F4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12" Type="http://schemas.openxmlformats.org/officeDocument/2006/relationships/image" Target="media/image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GillSans-regular.ttf"/><Relationship Id="rId4" Type="http://schemas.openxmlformats.org/officeDocument/2006/relationships/font" Target="fonts/GillSan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jpg"/><Relationship Id="rId3" Type="http://schemas.openxmlformats.org/officeDocument/2006/relationships/image" Target="media/image4.jpg"/><Relationship Id="rId4" Type="http://schemas.openxmlformats.org/officeDocument/2006/relationships/image" Target="media/image5.jpg"/><Relationship Id="rId5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p5tkXUdO7SuHQuaDQmiNpi1fow==">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2025-11-04T08:35:00Z</dcterms:created>
  <dc:creator>Sanjhi Dalal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Canva</vt:lpwstr>
  </property>
  <property fmtid="{D5CDD505-2E9C-101B-9397-08002B2CF9AE}" pid="4" name="LastSaved">
    <vt:filetime>2025-10-31T00:00:00Z</vt:filetime>
  </property>
  <property fmtid="{D5CDD505-2E9C-101B-9397-08002B2CF9AE}" pid="5" name="Producer">
    <vt:lpwstr>3-Heights(TM) PDF Security Shell 4.8.25.2 (http://www.pdf-tools.com)</vt:lpwstr>
  </property>
</Properties>
</file>