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6B8F0">
      <w:pPr>
        <w:jc w:val="center"/>
      </w:pPr>
      <w:r>
        <w:drawing>
          <wp:anchor distT="0" distB="0" distL="0" distR="0" simplePos="0" relativeHeight="251659264" behindDoc="0" locked="0" layoutInCell="1" allowOverlap="1">
            <wp:simplePos x="0" y="0"/>
            <wp:positionH relativeFrom="column">
              <wp:posOffset>311785</wp:posOffset>
            </wp:positionH>
            <wp:positionV relativeFrom="paragraph">
              <wp:posOffset>-614680</wp:posOffset>
            </wp:positionV>
            <wp:extent cx="5133975" cy="828675"/>
            <wp:effectExtent l="0" t="0" r="1905" b="9525"/>
            <wp:wrapSquare wrapText="bothSides"/>
            <wp:docPr id="2" name="图片 2"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组合20100609正规用法"/>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33975" cy="828675"/>
                    </a:xfrm>
                    <a:prstGeom prst="rect">
                      <a:avLst/>
                    </a:prstGeom>
                    <a:noFill/>
                    <a:ln>
                      <a:noFill/>
                    </a:ln>
                  </pic:spPr>
                </pic:pic>
              </a:graphicData>
            </a:graphic>
          </wp:anchor>
        </w:drawing>
      </w:r>
    </w:p>
    <w:p w14:paraId="0AC18B22">
      <w:pPr>
        <w:spacing w:before="1560" w:beforeLines="500" w:after="1560" w:afterLines="500"/>
        <w:jc w:val="center"/>
        <w:rPr>
          <w:rFonts w:ascii="黑体" w:hAnsi="黑体" w:eastAsia="黑体"/>
          <w:b/>
          <w:sz w:val="52"/>
          <w:szCs w:val="52"/>
        </w:rPr>
      </w:pPr>
      <w:r>
        <w:rPr>
          <w:rFonts w:hint="eastAsia" w:ascii="黑体" w:hAnsi="黑体" w:eastAsia="黑体"/>
          <w:b/>
          <w:sz w:val="52"/>
          <w:szCs w:val="52"/>
        </w:rPr>
        <w:t>本科毕业设计（论文）开题报告</w:t>
      </w:r>
    </w:p>
    <w:tbl>
      <w:tblPr>
        <w:tblStyle w:val="5"/>
        <w:tblW w:w="4546" w:type="pct"/>
        <w:jc w:val="center"/>
        <w:tblLayout w:type="autofit"/>
        <w:tblCellMar>
          <w:top w:w="0" w:type="dxa"/>
          <w:left w:w="108" w:type="dxa"/>
          <w:bottom w:w="0" w:type="dxa"/>
          <w:right w:w="108" w:type="dxa"/>
        </w:tblCellMar>
      </w:tblPr>
      <w:tblGrid>
        <w:gridCol w:w="1393"/>
        <w:gridCol w:w="7050"/>
      </w:tblGrid>
      <w:tr w14:paraId="58D6FFD5">
        <w:tblPrEx>
          <w:tblCellMar>
            <w:top w:w="0" w:type="dxa"/>
            <w:left w:w="108" w:type="dxa"/>
            <w:bottom w:w="0" w:type="dxa"/>
            <w:right w:w="108" w:type="dxa"/>
          </w:tblCellMar>
        </w:tblPrEx>
        <w:trPr>
          <w:jc w:val="center"/>
        </w:trPr>
        <w:tc>
          <w:tcPr>
            <w:tcW w:w="825" w:type="pct"/>
          </w:tcPr>
          <w:p w14:paraId="3E0356D1">
            <w:pPr>
              <w:jc w:val="center"/>
              <w:rPr>
                <w:rFonts w:ascii="宋体" w:hAnsi="宋体"/>
                <w:b/>
                <w:sz w:val="32"/>
                <w:szCs w:val="32"/>
              </w:rPr>
            </w:pPr>
            <w:r>
              <w:rPr>
                <w:rFonts w:hint="eastAsia" w:ascii="宋体" w:hAnsi="宋体"/>
                <w:b/>
                <w:sz w:val="32"/>
                <w:szCs w:val="32"/>
              </w:rPr>
              <w:t>题目：</w:t>
            </w:r>
          </w:p>
        </w:tc>
        <w:tc>
          <w:tcPr>
            <w:tcW w:w="4175" w:type="pct"/>
            <w:tcBorders>
              <w:top w:val="nil"/>
              <w:left w:val="nil"/>
              <w:bottom w:val="single" w:color="auto" w:sz="4" w:space="0"/>
              <w:right w:val="nil"/>
            </w:tcBorders>
            <w:vAlign w:val="center"/>
          </w:tcPr>
          <w:p w14:paraId="212663FF">
            <w:pPr>
              <w:jc w:val="center"/>
              <w:rPr>
                <w:rFonts w:ascii="宋体" w:hAnsi="宋体"/>
                <w:b/>
                <w:sz w:val="32"/>
                <w:szCs w:val="32"/>
              </w:rPr>
            </w:pPr>
            <w:r>
              <w:rPr>
                <w:rFonts w:hint="eastAsia" w:ascii="宋体" w:hAnsi="宋体"/>
                <w:b/>
                <w:sz w:val="32"/>
                <w:szCs w:val="32"/>
              </w:rPr>
              <w:t>白噪音疗愈音箱设计与实现</w:t>
            </w:r>
          </w:p>
        </w:tc>
      </w:tr>
      <w:tr w14:paraId="215DBC4E">
        <w:tblPrEx>
          <w:tblCellMar>
            <w:top w:w="0" w:type="dxa"/>
            <w:left w:w="108" w:type="dxa"/>
            <w:bottom w:w="0" w:type="dxa"/>
            <w:right w:w="108" w:type="dxa"/>
          </w:tblCellMar>
        </w:tblPrEx>
        <w:trPr>
          <w:jc w:val="center"/>
        </w:trPr>
        <w:tc>
          <w:tcPr>
            <w:tcW w:w="825" w:type="pct"/>
          </w:tcPr>
          <w:p w14:paraId="4B21722F">
            <w:pPr>
              <w:jc w:val="center"/>
              <w:rPr>
                <w:rFonts w:ascii="黑体" w:hAnsi="黑体" w:eastAsia="黑体"/>
                <w:b/>
                <w:sz w:val="32"/>
                <w:szCs w:val="32"/>
              </w:rPr>
            </w:pPr>
          </w:p>
        </w:tc>
        <w:tc>
          <w:tcPr>
            <w:tcW w:w="4175" w:type="pct"/>
            <w:tcBorders>
              <w:top w:val="single" w:color="auto" w:sz="4" w:space="0"/>
              <w:left w:val="nil"/>
              <w:bottom w:val="single" w:color="auto" w:sz="4" w:space="0"/>
              <w:right w:val="nil"/>
            </w:tcBorders>
            <w:vAlign w:val="center"/>
          </w:tcPr>
          <w:p w14:paraId="5D264CD0">
            <w:pPr>
              <w:rPr>
                <w:rFonts w:ascii="黑体" w:hAnsi="黑体" w:eastAsia="黑体"/>
                <w:b/>
                <w:sz w:val="32"/>
                <w:szCs w:val="32"/>
              </w:rPr>
            </w:pPr>
          </w:p>
        </w:tc>
      </w:tr>
    </w:tbl>
    <w:p w14:paraId="240DAFAA">
      <w:pPr>
        <w:adjustRightInd w:val="0"/>
        <w:snapToGrid w:val="0"/>
        <w:spacing w:line="480" w:lineRule="auto"/>
        <w:ind w:right="206"/>
        <w:rPr>
          <w:bCs/>
          <w:sz w:val="32"/>
          <w:szCs w:val="32"/>
          <w:u w:val="single"/>
        </w:rPr>
      </w:pPr>
    </w:p>
    <w:p w14:paraId="3C18D07E">
      <w:pPr>
        <w:adjustRightInd w:val="0"/>
        <w:snapToGrid w:val="0"/>
        <w:spacing w:line="480" w:lineRule="auto"/>
        <w:rPr>
          <w:b/>
          <w:bCs/>
          <w:sz w:val="10"/>
          <w:szCs w:val="10"/>
        </w:rPr>
      </w:pPr>
    </w:p>
    <w:tbl>
      <w:tblPr>
        <w:tblStyle w:val="5"/>
        <w:tblW w:w="0" w:type="auto"/>
        <w:jc w:val="center"/>
        <w:tblLayout w:type="fixed"/>
        <w:tblCellMar>
          <w:top w:w="0" w:type="dxa"/>
          <w:left w:w="108" w:type="dxa"/>
          <w:bottom w:w="0" w:type="dxa"/>
          <w:right w:w="108" w:type="dxa"/>
        </w:tblCellMar>
      </w:tblPr>
      <w:tblGrid>
        <w:gridCol w:w="2232"/>
        <w:gridCol w:w="236"/>
        <w:gridCol w:w="5677"/>
      </w:tblGrid>
      <w:tr w14:paraId="09B7F2C2">
        <w:tblPrEx>
          <w:tblCellMar>
            <w:top w:w="0" w:type="dxa"/>
            <w:left w:w="108" w:type="dxa"/>
            <w:bottom w:w="0" w:type="dxa"/>
            <w:right w:w="108" w:type="dxa"/>
          </w:tblCellMar>
        </w:tblPrEx>
        <w:trPr>
          <w:jc w:val="center"/>
        </w:trPr>
        <w:tc>
          <w:tcPr>
            <w:tcW w:w="2232" w:type="dxa"/>
            <w:vAlign w:val="center"/>
          </w:tcPr>
          <w:p w14:paraId="1F035368">
            <w:pPr>
              <w:jc w:val="distribute"/>
              <w:rPr>
                <w:rFonts w:ascii="宋体" w:hAnsi="宋体"/>
                <w:b/>
                <w:bCs/>
                <w:sz w:val="30"/>
                <w:szCs w:val="30"/>
              </w:rPr>
            </w:pPr>
            <w:r>
              <w:rPr>
                <w:rFonts w:hint="eastAsia" w:ascii="宋体" w:hAnsi="宋体"/>
                <w:b/>
                <w:bCs/>
                <w:sz w:val="30"/>
                <w:szCs w:val="30"/>
              </w:rPr>
              <w:t>学号</w:t>
            </w:r>
          </w:p>
        </w:tc>
        <w:tc>
          <w:tcPr>
            <w:tcW w:w="236" w:type="dxa"/>
          </w:tcPr>
          <w:p w14:paraId="5DA38A41">
            <w:pPr>
              <w:jc w:val="center"/>
              <w:rPr>
                <w:rFonts w:ascii="宋体" w:hAnsi="宋体"/>
                <w:sz w:val="30"/>
                <w:szCs w:val="30"/>
              </w:rPr>
            </w:pPr>
            <w:r>
              <w:rPr>
                <w:rFonts w:hint="eastAsia" w:ascii="宋体" w:hAnsi="宋体"/>
                <w:sz w:val="30"/>
                <w:szCs w:val="30"/>
              </w:rPr>
              <w:t>：</w:t>
            </w:r>
          </w:p>
        </w:tc>
        <w:tc>
          <w:tcPr>
            <w:tcW w:w="5677" w:type="dxa"/>
            <w:tcBorders>
              <w:top w:val="nil"/>
              <w:left w:val="nil"/>
              <w:bottom w:val="single" w:color="auto" w:sz="4" w:space="0"/>
              <w:right w:val="nil"/>
            </w:tcBorders>
            <w:vAlign w:val="center"/>
          </w:tcPr>
          <w:p w14:paraId="65FBD8C5">
            <w:pPr>
              <w:jc w:val="center"/>
              <w:rPr>
                <w:rFonts w:hint="eastAsia" w:ascii="宋体" w:hAnsi="宋体" w:eastAsia="宋体"/>
                <w:sz w:val="30"/>
                <w:szCs w:val="30"/>
                <w:lang w:eastAsia="zh-CN"/>
              </w:rPr>
            </w:pPr>
            <w:r>
              <w:rPr>
                <w:rFonts w:hint="eastAsia" w:ascii="宋体" w:hAnsi="宋体"/>
                <w:sz w:val="30"/>
                <w:szCs w:val="30"/>
                <w:lang w:val="en-US" w:eastAsia="zh-CN"/>
              </w:rPr>
              <w:t>2200810405</w:t>
            </w:r>
          </w:p>
        </w:tc>
      </w:tr>
      <w:tr w14:paraId="5B6ED407">
        <w:tblPrEx>
          <w:tblCellMar>
            <w:top w:w="0" w:type="dxa"/>
            <w:left w:w="108" w:type="dxa"/>
            <w:bottom w:w="0" w:type="dxa"/>
            <w:right w:w="108" w:type="dxa"/>
          </w:tblCellMar>
        </w:tblPrEx>
        <w:trPr>
          <w:jc w:val="center"/>
        </w:trPr>
        <w:tc>
          <w:tcPr>
            <w:tcW w:w="2232" w:type="dxa"/>
            <w:vAlign w:val="center"/>
          </w:tcPr>
          <w:p w14:paraId="70E8B33F">
            <w:pPr>
              <w:jc w:val="distribute"/>
              <w:rPr>
                <w:rFonts w:ascii="宋体" w:hAnsi="宋体"/>
                <w:b/>
                <w:bCs/>
                <w:sz w:val="30"/>
                <w:szCs w:val="30"/>
              </w:rPr>
            </w:pPr>
            <w:r>
              <w:rPr>
                <w:rFonts w:hint="eastAsia" w:ascii="宋体" w:hAnsi="宋体"/>
                <w:b/>
                <w:bCs/>
                <w:sz w:val="30"/>
                <w:szCs w:val="30"/>
              </w:rPr>
              <w:t>姓名</w:t>
            </w:r>
          </w:p>
        </w:tc>
        <w:tc>
          <w:tcPr>
            <w:tcW w:w="236" w:type="dxa"/>
          </w:tcPr>
          <w:p w14:paraId="2A316FA0">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14:paraId="45940ACA">
            <w:pPr>
              <w:jc w:val="center"/>
              <w:rPr>
                <w:rFonts w:hint="eastAsia" w:ascii="宋体" w:hAnsi="宋体" w:eastAsia="宋体"/>
                <w:sz w:val="30"/>
                <w:szCs w:val="30"/>
                <w:lang w:eastAsia="zh-CN"/>
              </w:rPr>
            </w:pPr>
            <w:r>
              <w:rPr>
                <w:rFonts w:hint="eastAsia" w:ascii="宋体" w:hAnsi="宋体"/>
                <w:sz w:val="30"/>
                <w:szCs w:val="30"/>
                <w:lang w:val="en-US" w:eastAsia="zh-CN"/>
              </w:rPr>
              <w:t>王文欣</w:t>
            </w:r>
          </w:p>
        </w:tc>
      </w:tr>
      <w:tr w14:paraId="70D126D9">
        <w:tblPrEx>
          <w:tblCellMar>
            <w:top w:w="0" w:type="dxa"/>
            <w:left w:w="108" w:type="dxa"/>
            <w:bottom w:w="0" w:type="dxa"/>
            <w:right w:w="108" w:type="dxa"/>
          </w:tblCellMar>
        </w:tblPrEx>
        <w:trPr>
          <w:jc w:val="center"/>
        </w:trPr>
        <w:tc>
          <w:tcPr>
            <w:tcW w:w="2232" w:type="dxa"/>
            <w:vAlign w:val="center"/>
          </w:tcPr>
          <w:p w14:paraId="45C8F8EB">
            <w:pPr>
              <w:jc w:val="distribute"/>
              <w:rPr>
                <w:rFonts w:ascii="宋体" w:hAnsi="宋体"/>
                <w:b/>
                <w:bCs/>
                <w:sz w:val="30"/>
                <w:szCs w:val="30"/>
              </w:rPr>
            </w:pPr>
            <w:r>
              <w:rPr>
                <w:rFonts w:hint="eastAsia" w:ascii="宋体" w:hAnsi="宋体"/>
                <w:b/>
                <w:bCs/>
                <w:sz w:val="30"/>
                <w:szCs w:val="30"/>
              </w:rPr>
              <w:t>学院</w:t>
            </w:r>
          </w:p>
        </w:tc>
        <w:tc>
          <w:tcPr>
            <w:tcW w:w="236" w:type="dxa"/>
          </w:tcPr>
          <w:p w14:paraId="4A022A2F">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14:paraId="50192C9B">
            <w:pPr>
              <w:jc w:val="center"/>
              <w:rPr>
                <w:rFonts w:hint="default" w:ascii="宋体" w:hAnsi="宋体" w:eastAsia="宋体"/>
                <w:sz w:val="30"/>
                <w:szCs w:val="30"/>
                <w:lang w:val="en-US" w:eastAsia="zh-CN"/>
              </w:rPr>
            </w:pPr>
            <w:r>
              <w:rPr>
                <w:rFonts w:hint="eastAsia" w:ascii="宋体" w:hAnsi="宋体"/>
                <w:sz w:val="30"/>
                <w:szCs w:val="30"/>
                <w:lang w:val="en-US" w:eastAsia="zh-CN"/>
              </w:rPr>
              <w:t>电子工程与自动化学院</w:t>
            </w:r>
          </w:p>
        </w:tc>
      </w:tr>
      <w:tr w14:paraId="46E71A6B">
        <w:tblPrEx>
          <w:tblCellMar>
            <w:top w:w="0" w:type="dxa"/>
            <w:left w:w="108" w:type="dxa"/>
            <w:bottom w:w="0" w:type="dxa"/>
            <w:right w:w="108" w:type="dxa"/>
          </w:tblCellMar>
        </w:tblPrEx>
        <w:trPr>
          <w:jc w:val="center"/>
        </w:trPr>
        <w:tc>
          <w:tcPr>
            <w:tcW w:w="2232" w:type="dxa"/>
            <w:vAlign w:val="center"/>
          </w:tcPr>
          <w:p w14:paraId="22CC4C4B">
            <w:pPr>
              <w:jc w:val="distribute"/>
              <w:rPr>
                <w:rFonts w:ascii="宋体" w:hAnsi="宋体"/>
                <w:b/>
                <w:bCs/>
                <w:sz w:val="30"/>
                <w:szCs w:val="30"/>
              </w:rPr>
            </w:pPr>
            <w:r>
              <w:rPr>
                <w:rFonts w:hint="eastAsia" w:ascii="宋体" w:hAnsi="宋体"/>
                <w:b/>
                <w:bCs/>
                <w:sz w:val="30"/>
                <w:szCs w:val="30"/>
              </w:rPr>
              <w:t>专业</w:t>
            </w:r>
          </w:p>
        </w:tc>
        <w:tc>
          <w:tcPr>
            <w:tcW w:w="236" w:type="dxa"/>
          </w:tcPr>
          <w:p w14:paraId="12979DA9">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14:paraId="5D8809A6">
            <w:pPr>
              <w:jc w:val="center"/>
              <w:rPr>
                <w:rFonts w:hint="eastAsia" w:ascii="宋体" w:hAnsi="宋体" w:eastAsia="宋体"/>
                <w:sz w:val="30"/>
                <w:szCs w:val="30"/>
                <w:lang w:val="en-US" w:eastAsia="zh-CN"/>
              </w:rPr>
            </w:pPr>
            <w:r>
              <w:rPr>
                <w:rFonts w:hint="eastAsia" w:ascii="宋体" w:hAnsi="宋体"/>
                <w:sz w:val="30"/>
                <w:szCs w:val="30"/>
                <w:lang w:val="en-US" w:eastAsia="zh-CN"/>
              </w:rPr>
              <w:t>自动化</w:t>
            </w:r>
          </w:p>
        </w:tc>
      </w:tr>
      <w:tr w14:paraId="4F64B938">
        <w:tblPrEx>
          <w:tblCellMar>
            <w:top w:w="0" w:type="dxa"/>
            <w:left w:w="108" w:type="dxa"/>
            <w:bottom w:w="0" w:type="dxa"/>
            <w:right w:w="108" w:type="dxa"/>
          </w:tblCellMar>
        </w:tblPrEx>
        <w:trPr>
          <w:jc w:val="center"/>
        </w:trPr>
        <w:tc>
          <w:tcPr>
            <w:tcW w:w="2232" w:type="dxa"/>
            <w:vAlign w:val="center"/>
          </w:tcPr>
          <w:p w14:paraId="2AED510A">
            <w:pPr>
              <w:jc w:val="distribute"/>
              <w:rPr>
                <w:rFonts w:ascii="宋体" w:hAnsi="宋体"/>
                <w:b/>
                <w:bCs/>
                <w:sz w:val="30"/>
                <w:szCs w:val="30"/>
              </w:rPr>
            </w:pPr>
            <w:r>
              <w:rPr>
                <w:rFonts w:hint="eastAsia" w:ascii="宋体" w:hAnsi="宋体"/>
                <w:b/>
                <w:bCs/>
                <w:sz w:val="30"/>
                <w:szCs w:val="30"/>
              </w:rPr>
              <w:t>指导教师</w:t>
            </w:r>
          </w:p>
        </w:tc>
        <w:tc>
          <w:tcPr>
            <w:tcW w:w="236" w:type="dxa"/>
          </w:tcPr>
          <w:p w14:paraId="6D4AC220">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14:paraId="68062921">
            <w:pPr>
              <w:jc w:val="center"/>
              <w:rPr>
                <w:rFonts w:hint="eastAsia" w:ascii="宋体" w:hAnsi="宋体" w:eastAsia="宋体"/>
                <w:sz w:val="30"/>
                <w:szCs w:val="30"/>
                <w:lang w:eastAsia="zh-CN"/>
              </w:rPr>
            </w:pPr>
            <w:r>
              <w:rPr>
                <w:rFonts w:hint="eastAsia" w:ascii="宋体" w:hAnsi="宋体"/>
                <w:sz w:val="30"/>
                <w:szCs w:val="30"/>
                <w:lang w:val="en-US" w:eastAsia="zh-CN"/>
              </w:rPr>
              <w:t>杨青</w:t>
            </w:r>
          </w:p>
        </w:tc>
      </w:tr>
      <w:tr w14:paraId="3F8C311B">
        <w:tblPrEx>
          <w:tblCellMar>
            <w:top w:w="0" w:type="dxa"/>
            <w:left w:w="108" w:type="dxa"/>
            <w:bottom w:w="0" w:type="dxa"/>
            <w:right w:w="108" w:type="dxa"/>
          </w:tblCellMar>
        </w:tblPrEx>
        <w:trPr>
          <w:jc w:val="center"/>
        </w:trPr>
        <w:tc>
          <w:tcPr>
            <w:tcW w:w="2232" w:type="dxa"/>
            <w:vAlign w:val="center"/>
          </w:tcPr>
          <w:p w14:paraId="66227833">
            <w:pPr>
              <w:jc w:val="distribute"/>
              <w:rPr>
                <w:rFonts w:ascii="宋体" w:hAnsi="宋体"/>
                <w:b/>
                <w:bCs/>
                <w:sz w:val="30"/>
                <w:szCs w:val="30"/>
              </w:rPr>
            </w:pPr>
            <w:r>
              <w:rPr>
                <w:rFonts w:hint="eastAsia" w:ascii="宋体" w:hAnsi="宋体"/>
                <w:b/>
                <w:bCs/>
                <w:sz w:val="30"/>
                <w:szCs w:val="30"/>
              </w:rPr>
              <w:t>指导教师职称</w:t>
            </w:r>
          </w:p>
        </w:tc>
        <w:tc>
          <w:tcPr>
            <w:tcW w:w="236" w:type="dxa"/>
          </w:tcPr>
          <w:p w14:paraId="536A3B15">
            <w:pPr>
              <w:jc w:val="center"/>
              <w:rPr>
                <w:rFonts w:ascii="宋体" w:hAnsi="宋体"/>
                <w:sz w:val="30"/>
                <w:szCs w:val="30"/>
              </w:rPr>
            </w:pPr>
            <w:r>
              <w:rPr>
                <w:rFonts w:hint="eastAsia" w:ascii="宋体" w:hAnsi="宋体"/>
                <w:sz w:val="30"/>
                <w:szCs w:val="30"/>
              </w:rPr>
              <w:t>：</w:t>
            </w:r>
          </w:p>
        </w:tc>
        <w:tc>
          <w:tcPr>
            <w:tcW w:w="5677" w:type="dxa"/>
            <w:tcBorders>
              <w:top w:val="single" w:color="auto" w:sz="4" w:space="0"/>
              <w:left w:val="nil"/>
              <w:bottom w:val="single" w:color="auto" w:sz="4" w:space="0"/>
              <w:right w:val="nil"/>
            </w:tcBorders>
            <w:vAlign w:val="center"/>
          </w:tcPr>
          <w:p w14:paraId="2D696674">
            <w:pPr>
              <w:jc w:val="center"/>
              <w:rPr>
                <w:rFonts w:ascii="宋体" w:hAnsi="宋体"/>
                <w:sz w:val="30"/>
                <w:szCs w:val="30"/>
              </w:rPr>
            </w:pPr>
            <w:r>
              <w:rPr>
                <w:rFonts w:hint="eastAsia" w:ascii="宋体" w:hAnsi="宋体"/>
                <w:sz w:val="30"/>
                <w:szCs w:val="30"/>
              </w:rPr>
              <w:t>小三宋体居中</w:t>
            </w:r>
          </w:p>
        </w:tc>
      </w:tr>
    </w:tbl>
    <w:p w14:paraId="00449ECC">
      <w:pPr>
        <w:adjustRightInd w:val="0"/>
        <w:snapToGrid w:val="0"/>
        <w:spacing w:line="480" w:lineRule="auto"/>
        <w:rPr>
          <w:b/>
          <w:bCs/>
          <w:sz w:val="30"/>
        </w:rPr>
      </w:pPr>
    </w:p>
    <w:p w14:paraId="638C9E3F">
      <w:pPr>
        <w:jc w:val="center"/>
        <w:rPr>
          <w:rFonts w:ascii="宋体" w:hAnsi="宋体"/>
          <w:sz w:val="32"/>
        </w:rPr>
      </w:pPr>
    </w:p>
    <w:p w14:paraId="73EAB715">
      <w:pPr>
        <w:jc w:val="center"/>
        <w:rPr>
          <w:rFonts w:hint="eastAsia" w:ascii="仿宋_GB2312" w:hAnsi="??" w:eastAsia="黑体"/>
          <w:color w:val="000000"/>
          <w:sz w:val="36"/>
        </w:rPr>
        <w:sectPr>
          <w:headerReference r:id="rId5" w:type="default"/>
          <w:pgSz w:w="11906" w:h="16838"/>
          <w:pgMar w:top="1134" w:right="1418" w:bottom="1134" w:left="1418" w:header="851" w:footer="992" w:gutter="0"/>
          <w:cols w:space="425" w:num="1"/>
          <w:docGrid w:type="lines" w:linePitch="312" w:charSpace="0"/>
        </w:sectPr>
      </w:pPr>
      <w:r>
        <w:rPr>
          <w:rFonts w:hint="eastAsia" w:ascii="宋体" w:hAnsi="宋体"/>
          <w:sz w:val="32"/>
          <w:szCs w:val="32"/>
        </w:rPr>
        <w:t>20</w:t>
      </w:r>
      <w:r>
        <w:rPr>
          <w:rFonts w:ascii="宋体" w:hAnsi="宋体"/>
          <w:sz w:val="32"/>
          <w:szCs w:val="32"/>
        </w:rPr>
        <w:t>25</w:t>
      </w:r>
      <w:r>
        <w:rPr>
          <w:rFonts w:hint="eastAsia" w:ascii="宋体" w:hAnsi="宋体"/>
          <w:sz w:val="32"/>
          <w:szCs w:val="32"/>
        </w:rPr>
        <w:t>年</w:t>
      </w:r>
      <w:r>
        <w:rPr>
          <w:rFonts w:ascii="宋体" w:hAnsi="宋体"/>
          <w:sz w:val="32"/>
          <w:szCs w:val="32"/>
        </w:rPr>
        <w:t xml:space="preserve">  </w:t>
      </w:r>
      <w:r>
        <w:rPr>
          <w:rFonts w:hint="eastAsia" w:ascii="宋体" w:hAnsi="宋体"/>
          <w:sz w:val="32"/>
          <w:szCs w:val="32"/>
          <w:lang w:val="en-US" w:eastAsia="zh-CN"/>
        </w:rPr>
        <w:t>12</w:t>
      </w:r>
      <w:r>
        <w:rPr>
          <w:rFonts w:hint="eastAsia" w:ascii="宋体" w:hAnsi="宋体"/>
          <w:sz w:val="32"/>
          <w:szCs w:val="32"/>
        </w:rPr>
        <w:t>月</w:t>
      </w:r>
      <w:r>
        <w:rPr>
          <w:rFonts w:ascii="宋体" w:hAnsi="宋体"/>
          <w:sz w:val="32"/>
          <w:szCs w:val="32"/>
        </w:rPr>
        <w:t xml:space="preserve"> </w:t>
      </w:r>
      <w:r>
        <w:rPr>
          <w:rFonts w:hint="eastAsia" w:ascii="宋体" w:hAnsi="宋体"/>
          <w:sz w:val="32"/>
          <w:szCs w:val="32"/>
          <w:lang w:val="en-US" w:eastAsia="zh-CN"/>
        </w:rPr>
        <w:t>15</w:t>
      </w:r>
      <w:r>
        <w:rPr>
          <w:rFonts w:ascii="宋体" w:hAnsi="宋体"/>
          <w:sz w:val="32"/>
          <w:szCs w:val="32"/>
        </w:rPr>
        <w:t xml:space="preserve"> </w:t>
      </w:r>
      <w:r>
        <w:rPr>
          <w:rFonts w:hint="eastAsia" w:ascii="宋体" w:hAnsi="宋体"/>
          <w:sz w:val="32"/>
          <w:szCs w:val="32"/>
        </w:rPr>
        <w:t>日</w:t>
      </w:r>
    </w:p>
    <w:p w14:paraId="65EF697C">
      <w:pPr>
        <w:pStyle w:val="4"/>
        <w:ind w:left="691" w:right="458" w:rightChars="218" w:hanging="691"/>
        <w:jc w:val="center"/>
        <w:rPr>
          <w:rFonts w:hint="eastAsia" w:ascii="??" w:hAnsi="??"/>
          <w:color w:val="000000"/>
          <w:sz w:val="21"/>
          <w:szCs w:val="21"/>
        </w:rPr>
      </w:pPr>
      <w:r>
        <w:rPr>
          <w:rFonts w:hint="eastAsia" w:ascii="仿宋_GB2312" w:hAnsi="??" w:eastAsia="黑体"/>
          <w:color w:val="000000"/>
          <w:sz w:val="36"/>
        </w:rPr>
        <w:t>开题报告填写要求</w:t>
      </w:r>
    </w:p>
    <w:p w14:paraId="2CAE9875">
      <w:pPr>
        <w:pStyle w:val="4"/>
        <w:ind w:leftChars="256" w:right="-260" w:rightChars="-124" w:firstLine="136" w:firstLineChars="65"/>
        <w:rPr>
          <w:rFonts w:hint="eastAsia" w:ascii="??" w:hAnsi="??"/>
          <w:color w:val="000000"/>
          <w:sz w:val="21"/>
          <w:szCs w:val="21"/>
        </w:rPr>
      </w:pPr>
    </w:p>
    <w:p w14:paraId="411B9540">
      <w:pPr>
        <w:pStyle w:val="4"/>
        <w:spacing w:line="440" w:lineRule="exact"/>
        <w:ind w:left="718" w:leftChars="342" w:right="458" w:rightChars="218" w:firstLine="508" w:firstLineChars="212"/>
        <w:rPr>
          <w:rFonts w:hint="eastAsia" w:ascii="??" w:hAnsi="??"/>
          <w:color w:val="000000"/>
          <w:sz w:val="24"/>
        </w:rPr>
      </w:pPr>
      <w:r>
        <w:rPr>
          <w:rFonts w:ascii="??" w:hAnsi="??"/>
          <w:color w:val="000000"/>
          <w:sz w:val="24"/>
        </w:rPr>
        <w:t>1</w:t>
      </w:r>
      <w:r>
        <w:rPr>
          <w:rFonts w:hint="eastAsia"/>
          <w:color w:val="000000"/>
          <w:sz w:val="24"/>
        </w:rPr>
        <w:t>．开题报告作为毕业设计（论文）答辩委员会对学生答辩资格审查的依据材料之一。此报告应在指导教师指导下，由学生在毕业设计（论文）工作前期内完成，经指导教师签署意见审查后生效。</w:t>
      </w:r>
      <w:r>
        <w:rPr>
          <w:rFonts w:ascii="??" w:hAnsi="??"/>
          <w:color w:val="000000"/>
          <w:sz w:val="24"/>
        </w:rPr>
        <w:t xml:space="preserve">    </w:t>
      </w:r>
    </w:p>
    <w:p w14:paraId="5A397C6F">
      <w:pPr>
        <w:pStyle w:val="4"/>
        <w:spacing w:line="440" w:lineRule="exact"/>
        <w:ind w:left="718" w:leftChars="342" w:right="458" w:rightChars="218" w:firstLine="508" w:firstLineChars="212"/>
        <w:rPr>
          <w:rFonts w:hint="eastAsia" w:ascii="??" w:hAnsi="??"/>
          <w:color w:val="000000"/>
          <w:sz w:val="24"/>
        </w:rPr>
      </w:pPr>
      <w:r>
        <w:rPr>
          <w:rFonts w:ascii="??" w:hAnsi="??"/>
          <w:color w:val="000000"/>
          <w:sz w:val="24"/>
        </w:rPr>
        <w:t> 2</w:t>
      </w:r>
      <w:r>
        <w:rPr>
          <w:rFonts w:hint="eastAsia"/>
          <w:color w:val="000000"/>
          <w:sz w:val="24"/>
        </w:rPr>
        <w:t>．开题报告内容必须用黑墨水笔工整书写，或按教务处统一设计的电子文档标准格式打印，禁止打印在其它纸上后剪贴，完成后应及时交给指导教师签署意见。</w:t>
      </w:r>
    </w:p>
    <w:p w14:paraId="6A679366">
      <w:pPr>
        <w:pStyle w:val="4"/>
        <w:spacing w:line="440" w:lineRule="exact"/>
        <w:ind w:left="718" w:leftChars="342" w:right="458" w:rightChars="218" w:firstLine="480" w:firstLineChars="200"/>
        <w:rPr>
          <w:rFonts w:hint="eastAsia" w:ascii="??" w:hAnsi="??"/>
          <w:color w:val="000000"/>
          <w:sz w:val="24"/>
        </w:rPr>
      </w:pPr>
      <w:r>
        <w:rPr>
          <w:rFonts w:ascii="??" w:hAnsi="??"/>
          <w:color w:val="000000"/>
          <w:sz w:val="24"/>
        </w:rPr>
        <w:t> 3</w:t>
      </w:r>
      <w:r>
        <w:rPr>
          <w:rFonts w:hint="eastAsia"/>
          <w:color w:val="000000"/>
          <w:sz w:val="24"/>
        </w:rPr>
        <w:t>．学生查阅资料的参考文献应在10篇及以上（不包括辞典、手册）。</w:t>
      </w:r>
    </w:p>
    <w:p w14:paraId="228EB188">
      <w:pPr>
        <w:pStyle w:val="4"/>
        <w:spacing w:line="440" w:lineRule="exact"/>
        <w:ind w:left="718" w:leftChars="342" w:right="458" w:rightChars="218" w:firstLine="508" w:firstLineChars="212"/>
        <w:rPr>
          <w:rFonts w:hint="eastAsia" w:ascii="??" w:hAnsi="??"/>
          <w:color w:val="000000"/>
          <w:sz w:val="24"/>
        </w:rPr>
      </w:pPr>
      <w:r>
        <w:rPr>
          <w:rFonts w:ascii="??" w:hAnsi="??"/>
          <w:color w:val="000000"/>
          <w:sz w:val="24"/>
        </w:rPr>
        <w:t> 4</w:t>
      </w:r>
      <w:r>
        <w:rPr>
          <w:rFonts w:hint="eastAsia"/>
          <w:color w:val="000000"/>
          <w:sz w:val="24"/>
        </w:rPr>
        <w:t>．有关年月日等日期的填写，应当按照国标GB/T 7408—94《数据元和交换格式、信息交换、日期和时间表示法》规定的要求，一律用阿拉伯数字书写。如“2012年12月25日”或“2012-12-25”。</w:t>
      </w:r>
    </w:p>
    <w:p w14:paraId="573D8373">
      <w:pPr>
        <w:pStyle w:val="4"/>
        <w:spacing w:line="440" w:lineRule="exact"/>
        <w:ind w:left="718" w:leftChars="342" w:right="458" w:rightChars="218" w:firstLine="508" w:firstLineChars="212"/>
        <w:rPr>
          <w:rFonts w:hint="eastAsia" w:ascii="??" w:hAnsi="??"/>
          <w:color w:val="000000"/>
          <w:sz w:val="24"/>
        </w:rPr>
      </w:pPr>
      <w:r>
        <w:rPr>
          <w:rFonts w:ascii="??" w:hAnsi="??"/>
          <w:color w:val="000000"/>
          <w:sz w:val="24"/>
        </w:rPr>
        <w:t> </w:t>
      </w:r>
    </w:p>
    <w:p w14:paraId="6DE8B2D5">
      <w:pPr>
        <w:pStyle w:val="4"/>
        <w:spacing w:line="440" w:lineRule="exact"/>
        <w:ind w:left="718" w:leftChars="342" w:right="458" w:rightChars="218" w:firstLine="445" w:firstLineChars="212"/>
        <w:rPr>
          <w:rFonts w:hint="eastAsia" w:ascii="??" w:hAnsi="??"/>
          <w:color w:val="000000"/>
          <w:sz w:val="21"/>
          <w:szCs w:val="21"/>
        </w:rPr>
      </w:pPr>
      <w:r>
        <w:rPr>
          <w:rFonts w:ascii="??" w:hAnsi="??"/>
          <w:color w:val="000000"/>
          <w:sz w:val="21"/>
          <w:szCs w:val="21"/>
        </w:rPr>
        <w:t> </w:t>
      </w:r>
    </w:p>
    <w:p w14:paraId="13219057"/>
    <w:p w14:paraId="09AB0FEF"/>
    <w:p w14:paraId="028EEB64"/>
    <w:p w14:paraId="3FE90B35"/>
    <w:p w14:paraId="6A5FCCB7"/>
    <w:p w14:paraId="783D7EDD"/>
    <w:p w14:paraId="6A38E42F"/>
    <w:p w14:paraId="2396E1AD"/>
    <w:p w14:paraId="6E5C7453"/>
    <w:p w14:paraId="6BE7831E"/>
    <w:p w14:paraId="2B9E168D"/>
    <w:p w14:paraId="6AD3F46A"/>
    <w:p w14:paraId="60547480"/>
    <w:p w14:paraId="23064538"/>
    <w:p w14:paraId="429A2C57"/>
    <w:p w14:paraId="2FA3EBE2"/>
    <w:p w14:paraId="3E9D149E">
      <w:pPr>
        <w:sectPr>
          <w:pgSz w:w="11906" w:h="16838"/>
          <w:pgMar w:top="1134" w:right="1418" w:bottom="1134" w:left="1418" w:header="851" w:footer="992" w:gutter="0"/>
          <w:cols w:space="425"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3"/>
      </w:tblGrid>
      <w:tr w14:paraId="7163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953" w:type="dxa"/>
          </w:tcPr>
          <w:p w14:paraId="2B2CD13C">
            <w:pPr>
              <w:rPr>
                <w:rFonts w:ascii="宋体" w:hAnsi="宋体"/>
                <w:sz w:val="28"/>
                <w:szCs w:val="28"/>
              </w:rPr>
            </w:pPr>
            <w:r>
              <w:rPr>
                <w:rFonts w:hint="eastAsia" w:ascii="宋体" w:hAnsi="宋体"/>
                <w:sz w:val="28"/>
                <w:szCs w:val="28"/>
              </w:rPr>
              <w:t>1．本课题的研究内容、重点及难点</w:t>
            </w:r>
          </w:p>
        </w:tc>
      </w:tr>
      <w:tr w14:paraId="4FAED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8953" w:type="dxa"/>
          </w:tcPr>
          <w:p w14:paraId="69C63AE2">
            <w:pPr>
              <w:pStyle w:val="2"/>
              <w:bidi w:val="0"/>
              <w:rPr>
                <w:rFonts w:hint="eastAsia"/>
                <w:lang w:val="en-US" w:eastAsia="zh-CN"/>
              </w:rPr>
            </w:pPr>
            <w:r>
              <w:rPr>
                <w:rFonts w:hint="eastAsia"/>
                <w:lang w:val="en-US" w:eastAsia="zh-CN"/>
              </w:rPr>
              <w:t>研究内容</w:t>
            </w:r>
          </w:p>
          <w:p w14:paraId="59406213">
            <w:pPr>
              <w:pStyle w:val="8"/>
              <w:bidi w:val="0"/>
              <w:rPr>
                <w:rFonts w:hint="eastAsia"/>
                <w:lang w:val="en-US" w:eastAsia="zh-CN"/>
              </w:rPr>
            </w:pPr>
            <w:r>
              <w:rPr>
                <w:rFonts w:hint="eastAsia"/>
                <w:lang w:val="en-US" w:eastAsia="zh-CN"/>
              </w:rPr>
              <w:t>近年来，随着生活节奏的加快和工作压力的增大，人们对心理健康和情绪管理的需求日益增长。在此背景下，白噪音因其独特的疗愈功能逐渐受到重视，它通过模拟自然界的和谐声响，如雨声、风声、海浪等，有效屏蔽外界干扰，帮助人们快速进入放松状态，成为现代人应对睡眠障碍、提高专注力、恢复身心平衡的重要辅助手段。</w:t>
            </w:r>
          </w:p>
          <w:p w14:paraId="391CA51F">
            <w:pPr>
              <w:pStyle w:val="8"/>
              <w:bidi w:val="0"/>
              <w:rPr>
                <w:rFonts w:hint="eastAsia"/>
                <w:lang w:val="en-US" w:eastAsia="zh-CN"/>
              </w:rPr>
            </w:pPr>
            <w:r>
              <w:rPr>
                <w:rFonts w:hint="eastAsia"/>
                <w:lang w:val="en-US" w:eastAsia="zh-CN"/>
              </w:rPr>
              <w:t>本项目针对现代人群面临的睡眠障碍、焦虑及专注力不足等问题，创新性地融合了白噪音的舒缓疗愈特性与智能交互技术，打造出了一款集实用性与便携性于一体的智能疗愈设备——白噪音疗愈音箱。该设备通过STM32单片机控制核心，结合蓝牙通信、电容式触摸屏、WS2812可调夜灯及高质量音频输出技术，实现了多场景下的精准疗愈，有效解决了传统白噪音播放器功能单一、控制不便及场景适配性弱的问题，展现了高度的创新性与市场应用价值。</w:t>
            </w:r>
          </w:p>
          <w:p w14:paraId="2C2538B1">
            <w:pPr>
              <w:pStyle w:val="8"/>
              <w:bidi w:val="0"/>
              <w:rPr>
                <w:rFonts w:hint="eastAsia" w:ascii="黑体" w:hAnsi="黑体" w:eastAsia="黑体" w:cs="黑体"/>
                <w:lang w:val="en-US" w:eastAsia="zh-CN"/>
              </w:rPr>
            </w:pPr>
            <w:r>
              <w:rPr>
                <w:rFonts w:hint="eastAsia" w:ascii="黑体" w:hAnsi="黑体" w:eastAsia="黑体" w:cs="黑体"/>
                <w:lang w:val="en-US" w:eastAsia="zh-CN"/>
              </w:rPr>
              <w:t>主要内容：</w:t>
            </w:r>
          </w:p>
          <w:p w14:paraId="4996C9C4">
            <w:pPr>
              <w:numPr>
                <w:ilvl w:val="0"/>
                <w:numId w:val="3"/>
              </w:numPr>
              <w:tabs>
                <w:tab w:val="left" w:pos="420"/>
              </w:tabs>
              <w:ind w:left="845" w:leftChars="0" w:hanging="425"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设计STM32最小系统以及驱动LCD触摸屏幕、WS2812灯珠、数字功放模块的外围电路。 </w:t>
            </w:r>
          </w:p>
          <w:p w14:paraId="0A18F9CA">
            <w:pPr>
              <w:numPr>
                <w:ilvl w:val="0"/>
                <w:numId w:val="3"/>
              </w:numPr>
              <w:tabs>
                <w:tab w:val="left" w:pos="420"/>
              </w:tabs>
              <w:ind w:left="845" w:leftChars="0" w:hanging="425"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内置白噪音音频文件，并能够实现音频播放，支持TF卡扩展存储。 </w:t>
            </w:r>
          </w:p>
          <w:p w14:paraId="0B7BACC6">
            <w:pPr>
              <w:numPr>
                <w:ilvl w:val="0"/>
                <w:numId w:val="3"/>
              </w:numPr>
              <w:tabs>
                <w:tab w:val="left" w:pos="420"/>
              </w:tabs>
              <w:ind w:left="845" w:leftChars="0" w:hanging="425"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能够设置多模式定时关闭（5/10/15/30/60分钟可选）。 </w:t>
            </w:r>
          </w:p>
          <w:p w14:paraId="4C0B0ECA">
            <w:pPr>
              <w:numPr>
                <w:ilvl w:val="0"/>
                <w:numId w:val="3"/>
              </w:numPr>
              <w:tabs>
                <w:tab w:val="left" w:pos="420"/>
              </w:tabs>
              <w:ind w:left="845" w:leftChars="0" w:hanging="425"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夜灯模式亮度、颜色可调节。 </w:t>
            </w:r>
          </w:p>
          <w:p w14:paraId="3FB8A916">
            <w:pPr>
              <w:numPr>
                <w:ilvl w:val="0"/>
                <w:numId w:val="3"/>
              </w:numPr>
              <w:tabs>
                <w:tab w:val="left" w:pos="420"/>
              </w:tabs>
              <w:ind w:left="845" w:leftChars="0" w:hanging="425"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设计上位机APP，支持音量调节、模式切换、定时设置。 </w:t>
            </w:r>
          </w:p>
          <w:p w14:paraId="6952DA6D">
            <w:pPr>
              <w:numPr>
                <w:ilvl w:val="0"/>
                <w:numId w:val="3"/>
              </w:numPr>
              <w:tabs>
                <w:tab w:val="left" w:pos="420"/>
              </w:tabs>
              <w:ind w:left="845" w:leftChars="0" w:hanging="425"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设计场景化预设模式，通过LCD屏幕一键切换对应的白噪音与亮度组合。 </w:t>
            </w:r>
          </w:p>
          <w:p w14:paraId="19341C29">
            <w:pPr>
              <w:numPr>
                <w:ilvl w:val="0"/>
                <w:numId w:val="3"/>
              </w:numPr>
              <w:tabs>
                <w:tab w:val="left" w:pos="420"/>
              </w:tabs>
              <w:ind w:left="845" w:leftChars="0" w:hanging="425"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完成整个系统的控制系统框图和软件流程图。 </w:t>
            </w:r>
          </w:p>
          <w:p w14:paraId="716895E8">
            <w:pPr>
              <w:numPr>
                <w:ilvl w:val="0"/>
                <w:numId w:val="3"/>
              </w:numPr>
              <w:tabs>
                <w:tab w:val="left" w:pos="420"/>
              </w:tabs>
              <w:ind w:left="845" w:leftChars="0" w:hanging="425" w:firstLineChars="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制作出样机并调试。 </w:t>
            </w:r>
          </w:p>
          <w:p w14:paraId="70462D1D">
            <w:pPr>
              <w:numPr>
                <w:ilvl w:val="0"/>
                <w:numId w:val="0"/>
              </w:numPr>
              <w:tabs>
                <w:tab w:val="left" w:pos="420"/>
              </w:tabs>
              <w:ind w:left="420" w:leftChars="0"/>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关键指标：</w:t>
            </w:r>
          </w:p>
          <w:p w14:paraId="0A05EB8F">
            <w:pPr>
              <w:numPr>
                <w:ilvl w:val="0"/>
                <w:numId w:val="4"/>
              </w:numPr>
              <w:tabs>
                <w:tab w:val="left" w:pos="420"/>
              </w:tabs>
              <w:ind w:left="845" w:leftChars="0" w:hanging="425"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夜灯亮度</w:t>
            </w:r>
            <w:r>
              <w:rPr>
                <w:rFonts w:hint="default" w:ascii="Times New Roman" w:hAnsi="Times New Roman" w:eastAsia="宋体" w:cs="Times New Roman"/>
                <w:kern w:val="2"/>
                <w:sz w:val="24"/>
                <w:szCs w:val="24"/>
                <w:lang w:val="en-US" w:eastAsia="zh-CN" w:bidi="ar-SA"/>
              </w:rPr>
              <w:t>0-100%</w:t>
            </w:r>
            <w:r>
              <w:rPr>
                <w:rFonts w:hint="eastAsia" w:ascii="Times New Roman" w:hAnsi="Times New Roman" w:eastAsia="宋体" w:cs="Times New Roman"/>
                <w:kern w:val="2"/>
                <w:sz w:val="24"/>
                <w:szCs w:val="24"/>
                <w:lang w:val="en-US" w:eastAsia="zh-CN" w:bidi="ar-SA"/>
              </w:rPr>
              <w:t>可调，功耗＜</w:t>
            </w:r>
            <w:r>
              <w:rPr>
                <w:rFonts w:hint="default" w:ascii="Times New Roman" w:hAnsi="Times New Roman" w:eastAsia="宋体" w:cs="Times New Roman"/>
                <w:kern w:val="2"/>
                <w:sz w:val="24"/>
                <w:szCs w:val="24"/>
                <w:lang w:val="en-US" w:eastAsia="zh-CN" w:bidi="ar-SA"/>
              </w:rPr>
              <w:t>3w</w:t>
            </w:r>
            <w:r>
              <w:rPr>
                <w:rFonts w:hint="eastAsia" w:ascii="Times New Roman" w:hAnsi="Times New Roman" w:eastAsia="宋体" w:cs="Times New Roman"/>
                <w:kern w:val="2"/>
                <w:sz w:val="24"/>
                <w:szCs w:val="24"/>
                <w:lang w:val="en-US" w:eastAsia="zh-CN" w:bidi="ar-SA"/>
              </w:rPr>
              <w:t xml:space="preserve">。 </w:t>
            </w:r>
          </w:p>
          <w:p w14:paraId="498F4659">
            <w:pPr>
              <w:numPr>
                <w:ilvl w:val="0"/>
                <w:numId w:val="4"/>
              </w:numPr>
              <w:tabs>
                <w:tab w:val="left" w:pos="420"/>
              </w:tabs>
              <w:ind w:left="845" w:leftChars="0" w:hanging="425"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支持蓝牙连接，传输距离≥</w:t>
            </w:r>
            <w:r>
              <w:rPr>
                <w:rFonts w:hint="default" w:ascii="Times New Roman" w:hAnsi="Times New Roman" w:eastAsia="宋体" w:cs="Times New Roman"/>
                <w:kern w:val="2"/>
                <w:sz w:val="24"/>
                <w:szCs w:val="24"/>
                <w:lang w:val="en-US" w:eastAsia="zh-CN" w:bidi="ar-SA"/>
              </w:rPr>
              <w:t>10m</w:t>
            </w:r>
            <w:r>
              <w:rPr>
                <w:rFonts w:hint="eastAsia" w:ascii="Times New Roman" w:hAnsi="Times New Roman" w:eastAsia="宋体" w:cs="Times New Roman"/>
                <w:kern w:val="2"/>
                <w:sz w:val="24"/>
                <w:szCs w:val="24"/>
                <w:lang w:val="en-US" w:eastAsia="zh-CN" w:bidi="ar-SA"/>
              </w:rPr>
              <w:t xml:space="preserve">。 </w:t>
            </w:r>
          </w:p>
          <w:p w14:paraId="76C6729A">
            <w:pPr>
              <w:numPr>
                <w:ilvl w:val="0"/>
                <w:numId w:val="4"/>
              </w:numPr>
              <w:tabs>
                <w:tab w:val="left" w:pos="420"/>
              </w:tabs>
              <w:ind w:left="845" w:leftChars="0" w:hanging="425"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待机功耗＜</w:t>
            </w:r>
            <w:r>
              <w:rPr>
                <w:rFonts w:hint="default" w:ascii="Times New Roman" w:hAnsi="Times New Roman" w:eastAsia="宋体" w:cs="Times New Roman"/>
                <w:kern w:val="2"/>
                <w:sz w:val="24"/>
                <w:szCs w:val="24"/>
                <w:lang w:val="en-US" w:eastAsia="zh-CN" w:bidi="ar-SA"/>
              </w:rPr>
              <w:t>0.5w</w:t>
            </w:r>
            <w:r>
              <w:rPr>
                <w:rFonts w:hint="eastAsia" w:ascii="Times New Roman" w:hAnsi="Times New Roman" w:eastAsia="宋体" w:cs="Times New Roman"/>
                <w:kern w:val="2"/>
                <w:sz w:val="24"/>
                <w:szCs w:val="24"/>
                <w:lang w:val="en-US" w:eastAsia="zh-CN" w:bidi="ar-SA"/>
              </w:rPr>
              <w:t>，运行噪音＜</w:t>
            </w:r>
            <w:r>
              <w:rPr>
                <w:rFonts w:hint="default" w:ascii="Times New Roman" w:hAnsi="Times New Roman" w:eastAsia="宋体" w:cs="Times New Roman"/>
                <w:kern w:val="2"/>
                <w:sz w:val="24"/>
                <w:szCs w:val="24"/>
                <w:lang w:val="en-US" w:eastAsia="zh-CN" w:bidi="ar-SA"/>
              </w:rPr>
              <w:t>30dB</w:t>
            </w:r>
            <w:r>
              <w:rPr>
                <w:rFonts w:hint="eastAsia" w:ascii="Times New Roman" w:hAnsi="Times New Roman" w:eastAsia="宋体" w:cs="Times New Roman"/>
                <w:kern w:val="2"/>
                <w:sz w:val="24"/>
                <w:szCs w:val="24"/>
                <w:lang w:val="en-US" w:eastAsia="zh-CN" w:bidi="ar-SA"/>
              </w:rPr>
              <w:t xml:space="preserve">。 </w:t>
            </w:r>
          </w:p>
          <w:p w14:paraId="6F1EF041">
            <w:pPr>
              <w:numPr>
                <w:ilvl w:val="0"/>
                <w:numId w:val="4"/>
              </w:numPr>
              <w:tabs>
                <w:tab w:val="left" w:pos="420"/>
              </w:tabs>
              <w:ind w:left="845" w:leftChars="0" w:hanging="425"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内置</w:t>
            </w:r>
            <w:r>
              <w:rPr>
                <w:rFonts w:hint="default" w:ascii="Times New Roman" w:hAnsi="Times New Roman" w:eastAsia="宋体" w:cs="Times New Roman"/>
                <w:kern w:val="2"/>
                <w:sz w:val="24"/>
                <w:szCs w:val="24"/>
                <w:lang w:val="en-US" w:eastAsia="zh-CN" w:bidi="ar-SA"/>
              </w:rPr>
              <w:t>≥15</w:t>
            </w:r>
            <w:r>
              <w:rPr>
                <w:rFonts w:hint="eastAsia" w:ascii="Times New Roman" w:hAnsi="Times New Roman" w:eastAsia="宋体" w:cs="Times New Roman"/>
                <w:kern w:val="2"/>
                <w:sz w:val="24"/>
                <w:szCs w:val="24"/>
                <w:lang w:val="en-US" w:eastAsia="zh-CN" w:bidi="ar-SA"/>
              </w:rPr>
              <w:t>种音频文件，场景化预设模式</w:t>
            </w:r>
            <w:r>
              <w:rPr>
                <w:rFonts w:hint="default" w:ascii="Times New Roman" w:hAnsi="Times New Roman" w:eastAsia="宋体" w:cs="Times New Roman"/>
                <w:kern w:val="2"/>
                <w:sz w:val="24"/>
                <w:szCs w:val="24"/>
                <w:lang w:val="en-US" w:eastAsia="zh-CN" w:bidi="ar-SA"/>
              </w:rPr>
              <w:t>≥3</w:t>
            </w:r>
            <w:r>
              <w:rPr>
                <w:rFonts w:hint="eastAsia" w:ascii="Times New Roman" w:hAnsi="Times New Roman" w:eastAsia="宋体" w:cs="Times New Roman"/>
                <w:kern w:val="2"/>
                <w:sz w:val="24"/>
                <w:szCs w:val="24"/>
                <w:lang w:val="en-US" w:eastAsia="zh-CN" w:bidi="ar-SA"/>
              </w:rPr>
              <w:t>种。</w:t>
            </w:r>
          </w:p>
          <w:p w14:paraId="10CAC4D5">
            <w:pPr>
              <w:pStyle w:val="2"/>
              <w:bidi w:val="0"/>
              <w:rPr>
                <w:rFonts w:hint="eastAsia"/>
                <w:lang w:val="en-US" w:eastAsia="zh-CN"/>
              </w:rPr>
            </w:pPr>
            <w:r>
              <w:rPr>
                <w:rFonts w:hint="eastAsia"/>
                <w:lang w:val="en-US" w:eastAsia="zh-CN"/>
              </w:rPr>
              <w:t>研究重点</w:t>
            </w:r>
          </w:p>
          <w:p w14:paraId="4A7CC666">
            <w:pPr>
              <w:numPr>
                <w:ilvl w:val="0"/>
                <w:numId w:val="5"/>
              </w:numPr>
              <w:tabs>
                <w:tab w:val="left" w:pos="420"/>
              </w:tabs>
              <w:ind w:left="845" w:leftChars="0" w:hanging="425"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多场景白噪音与灯光</w:t>
            </w:r>
            <w:r>
              <w:rPr>
                <w:rFonts w:hint="eastAsia" w:cs="Times New Roman"/>
                <w:kern w:val="2"/>
                <w:sz w:val="24"/>
                <w:szCs w:val="24"/>
                <w:lang w:val="en-US" w:eastAsia="zh-CN" w:bidi="ar-SA"/>
              </w:rPr>
              <w:t>调节；</w:t>
            </w:r>
          </w:p>
          <w:p w14:paraId="690FF61E">
            <w:pPr>
              <w:numPr>
                <w:ilvl w:val="0"/>
                <w:numId w:val="5"/>
              </w:numPr>
              <w:tabs>
                <w:tab w:val="left" w:pos="420"/>
              </w:tabs>
              <w:ind w:left="845" w:leftChars="0" w:hanging="425" w:firstLineChars="0"/>
              <w:jc w:val="left"/>
              <w:rPr>
                <w:rFonts w:hint="eastAsia"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双重交互方式的实现；</w:t>
            </w:r>
          </w:p>
          <w:p w14:paraId="7E437A64">
            <w:pPr>
              <w:numPr>
                <w:ilvl w:val="0"/>
                <w:numId w:val="5"/>
              </w:numPr>
              <w:tabs>
                <w:tab w:val="left" w:pos="420"/>
              </w:tabs>
              <w:ind w:left="845" w:leftChars="0" w:hanging="425"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低功耗与稳定性系统设计</w:t>
            </w:r>
          </w:p>
          <w:p w14:paraId="0481F00C">
            <w:pPr>
              <w:numPr>
                <w:ilvl w:val="0"/>
                <w:numId w:val="5"/>
              </w:numPr>
              <w:tabs>
                <w:tab w:val="left" w:pos="420"/>
              </w:tabs>
              <w:ind w:left="845" w:leftChars="0" w:hanging="425"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场景</w:t>
            </w:r>
            <w:r>
              <w:rPr>
                <w:rFonts w:hint="eastAsia" w:cs="Times New Roman"/>
                <w:kern w:val="2"/>
                <w:sz w:val="24"/>
                <w:szCs w:val="24"/>
                <w:lang w:val="en-US" w:eastAsia="zh-CN" w:bidi="ar-SA"/>
              </w:rPr>
              <w:t>与音频</w:t>
            </w:r>
            <w:r>
              <w:rPr>
                <w:rFonts w:hint="eastAsia" w:ascii="Times New Roman" w:hAnsi="Times New Roman" w:eastAsia="宋体" w:cs="Times New Roman"/>
                <w:kern w:val="2"/>
                <w:sz w:val="24"/>
                <w:szCs w:val="24"/>
                <w:lang w:val="en-US" w:eastAsia="zh-CN" w:bidi="ar-SA"/>
              </w:rPr>
              <w:t>存储功能</w:t>
            </w:r>
          </w:p>
          <w:p w14:paraId="4A682B6B">
            <w:pPr>
              <w:pStyle w:val="2"/>
              <w:bidi w:val="0"/>
              <w:rPr>
                <w:rFonts w:hint="eastAsia" w:ascii="Times New Roman" w:hAnsi="Times New Roman" w:eastAsia="宋体" w:cs="Times New Roman"/>
                <w:kern w:val="2"/>
                <w:sz w:val="24"/>
                <w:szCs w:val="24"/>
                <w:lang w:val="en-US" w:eastAsia="zh-CN" w:bidi="ar-SA"/>
              </w:rPr>
            </w:pPr>
            <w:r>
              <w:rPr>
                <w:rFonts w:hint="eastAsia"/>
                <w:lang w:val="en-US" w:eastAsia="zh-CN"/>
              </w:rPr>
              <w:t>研究难点</w:t>
            </w:r>
          </w:p>
          <w:p w14:paraId="54428636">
            <w:pPr>
              <w:numPr>
                <w:ilvl w:val="0"/>
                <w:numId w:val="6"/>
              </w:numPr>
              <w:tabs>
                <w:tab w:val="left" w:pos="420"/>
              </w:tabs>
              <w:ind w:left="845" w:leftChars="0" w:hanging="425" w:firstLineChars="0"/>
              <w:jc w:val="left"/>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各种场景灵活配置</w:t>
            </w:r>
          </w:p>
          <w:p w14:paraId="3BCA8D84">
            <w:pPr>
              <w:numPr>
                <w:ilvl w:val="0"/>
                <w:numId w:val="6"/>
              </w:numPr>
              <w:tabs>
                <w:tab w:val="left" w:pos="420"/>
              </w:tabs>
              <w:ind w:left="845" w:leftChars="0" w:hanging="425"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低功耗和</w:t>
            </w:r>
            <w:r>
              <w:rPr>
                <w:rFonts w:hint="eastAsia" w:cs="Times New Roman"/>
                <w:kern w:val="2"/>
                <w:sz w:val="24"/>
                <w:szCs w:val="24"/>
                <w:lang w:val="en-US" w:eastAsia="zh-CN" w:bidi="ar-SA"/>
              </w:rPr>
              <w:t>降噪实现</w:t>
            </w:r>
          </w:p>
          <w:p w14:paraId="1C303A89">
            <w:pPr>
              <w:numPr>
                <w:ilvl w:val="0"/>
                <w:numId w:val="6"/>
              </w:numPr>
              <w:tabs>
                <w:tab w:val="left" w:pos="420"/>
              </w:tabs>
              <w:ind w:left="845" w:leftChars="0" w:hanging="425" w:firstLineChars="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蓝牙通信稳定和抗干扰能力</w:t>
            </w:r>
          </w:p>
          <w:p w14:paraId="080C01D4">
            <w:pPr>
              <w:rPr>
                <w:rFonts w:ascii="宋体" w:hAnsi="宋体"/>
                <w:szCs w:val="21"/>
              </w:rPr>
            </w:pPr>
          </w:p>
          <w:p w14:paraId="7DAF561C">
            <w:pPr>
              <w:rPr>
                <w:rFonts w:ascii="宋体" w:hAnsi="宋体"/>
                <w:szCs w:val="21"/>
              </w:rPr>
            </w:pPr>
          </w:p>
          <w:p w14:paraId="6D044F60">
            <w:pPr>
              <w:rPr>
                <w:rFonts w:ascii="宋体" w:hAnsi="宋体"/>
                <w:szCs w:val="21"/>
              </w:rPr>
            </w:pPr>
          </w:p>
          <w:p w14:paraId="643C80C4">
            <w:pPr>
              <w:rPr>
                <w:rFonts w:ascii="宋体" w:hAnsi="宋体"/>
                <w:szCs w:val="21"/>
              </w:rPr>
            </w:pPr>
          </w:p>
          <w:p w14:paraId="7C345E06">
            <w:pPr>
              <w:rPr>
                <w:rFonts w:ascii="宋体" w:hAnsi="宋体"/>
                <w:szCs w:val="21"/>
              </w:rPr>
            </w:pPr>
          </w:p>
          <w:p w14:paraId="74999870">
            <w:pPr>
              <w:rPr>
                <w:rFonts w:ascii="宋体" w:hAnsi="宋体"/>
                <w:szCs w:val="21"/>
              </w:rPr>
            </w:pPr>
          </w:p>
          <w:p w14:paraId="59BFA618">
            <w:pPr>
              <w:rPr>
                <w:rFonts w:ascii="宋体" w:hAnsi="宋体"/>
                <w:szCs w:val="21"/>
              </w:rPr>
            </w:pPr>
          </w:p>
          <w:p w14:paraId="2F5F1B04">
            <w:pPr>
              <w:rPr>
                <w:rFonts w:ascii="宋体" w:hAnsi="宋体"/>
                <w:szCs w:val="21"/>
              </w:rPr>
            </w:pPr>
          </w:p>
          <w:p w14:paraId="7EAE6A72">
            <w:pPr>
              <w:rPr>
                <w:rFonts w:ascii="宋体" w:hAnsi="宋体"/>
                <w:szCs w:val="21"/>
              </w:rPr>
            </w:pPr>
          </w:p>
          <w:p w14:paraId="033CD610">
            <w:pPr>
              <w:rPr>
                <w:rFonts w:ascii="宋体" w:hAnsi="宋体"/>
                <w:szCs w:val="21"/>
              </w:rPr>
            </w:pPr>
          </w:p>
          <w:p w14:paraId="7810E49D">
            <w:pPr>
              <w:rPr>
                <w:rFonts w:ascii="宋体" w:hAnsi="宋体"/>
                <w:szCs w:val="21"/>
              </w:rPr>
            </w:pPr>
          </w:p>
          <w:p w14:paraId="2B174BE7">
            <w:pPr>
              <w:rPr>
                <w:rFonts w:ascii="宋体" w:hAnsi="宋体"/>
                <w:szCs w:val="21"/>
              </w:rPr>
            </w:pPr>
          </w:p>
          <w:p w14:paraId="72E911F2">
            <w:pPr>
              <w:rPr>
                <w:rFonts w:ascii="宋体" w:hAnsi="宋体"/>
                <w:szCs w:val="21"/>
              </w:rPr>
            </w:pPr>
          </w:p>
          <w:p w14:paraId="7FA7CB1C">
            <w:pPr>
              <w:rPr>
                <w:rFonts w:ascii="宋体" w:hAnsi="宋体"/>
                <w:szCs w:val="21"/>
              </w:rPr>
            </w:pPr>
          </w:p>
          <w:p w14:paraId="3DFD7237">
            <w:pPr>
              <w:rPr>
                <w:rFonts w:ascii="宋体" w:hAnsi="宋体"/>
                <w:szCs w:val="21"/>
              </w:rPr>
            </w:pPr>
          </w:p>
          <w:p w14:paraId="7671B987">
            <w:pPr>
              <w:rPr>
                <w:rFonts w:ascii="宋体" w:hAnsi="宋体"/>
                <w:szCs w:val="21"/>
              </w:rPr>
            </w:pPr>
          </w:p>
          <w:p w14:paraId="04A37155">
            <w:pPr>
              <w:rPr>
                <w:rFonts w:ascii="宋体" w:hAnsi="宋体"/>
                <w:szCs w:val="21"/>
              </w:rPr>
            </w:pPr>
          </w:p>
          <w:p w14:paraId="3CE83B56">
            <w:pPr>
              <w:rPr>
                <w:rFonts w:ascii="宋体" w:hAnsi="宋体"/>
                <w:szCs w:val="21"/>
              </w:rPr>
            </w:pPr>
          </w:p>
          <w:p w14:paraId="29F61165">
            <w:pPr>
              <w:rPr>
                <w:rFonts w:ascii="宋体" w:hAnsi="宋体"/>
                <w:szCs w:val="21"/>
              </w:rPr>
            </w:pPr>
          </w:p>
          <w:p w14:paraId="7290E18D">
            <w:pPr>
              <w:rPr>
                <w:rFonts w:ascii="宋体" w:hAnsi="宋体"/>
                <w:szCs w:val="21"/>
              </w:rPr>
            </w:pPr>
          </w:p>
          <w:p w14:paraId="3EB13AA6">
            <w:pPr>
              <w:rPr>
                <w:rFonts w:ascii="宋体" w:hAnsi="宋体"/>
                <w:szCs w:val="21"/>
              </w:rPr>
            </w:pPr>
          </w:p>
          <w:p w14:paraId="53B9624D">
            <w:pPr>
              <w:rPr>
                <w:rFonts w:ascii="宋体" w:hAnsi="宋体"/>
                <w:szCs w:val="21"/>
              </w:rPr>
            </w:pPr>
          </w:p>
          <w:p w14:paraId="702BEB76">
            <w:pPr>
              <w:rPr>
                <w:rFonts w:ascii="宋体" w:hAnsi="宋体"/>
                <w:szCs w:val="21"/>
              </w:rPr>
            </w:pPr>
          </w:p>
          <w:p w14:paraId="1E85447B">
            <w:pPr>
              <w:rPr>
                <w:rFonts w:ascii="宋体" w:hAnsi="宋体"/>
                <w:szCs w:val="21"/>
              </w:rPr>
            </w:pPr>
          </w:p>
        </w:tc>
      </w:tr>
      <w:tr w14:paraId="6426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953" w:type="dxa"/>
          </w:tcPr>
          <w:p w14:paraId="00A8BB4E">
            <w:pPr>
              <w:rPr>
                <w:rFonts w:ascii="宋体" w:hAnsi="宋体"/>
                <w:szCs w:val="21"/>
              </w:rPr>
            </w:pPr>
            <w:r>
              <w:rPr>
                <w:rFonts w:hint="eastAsia" w:ascii="宋体" w:hAnsi="宋体"/>
                <w:sz w:val="28"/>
              </w:rPr>
              <w:t>2．准备情况（已查阅的参考文献或进行的调研）</w:t>
            </w:r>
          </w:p>
        </w:tc>
      </w:tr>
      <w:tr w14:paraId="4FC2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jc w:val="center"/>
        </w:trPr>
        <w:tc>
          <w:tcPr>
            <w:tcW w:w="8953" w:type="dxa"/>
          </w:tcPr>
          <w:p w14:paraId="0D355C32">
            <w:pPr>
              <w:pStyle w:val="2"/>
              <w:bidi w:val="0"/>
              <w:rPr>
                <w:rFonts w:hint="eastAsia"/>
                <w:lang w:val="en-US" w:eastAsia="zh-CN"/>
              </w:rPr>
            </w:pPr>
            <w:r>
              <w:rPr>
                <w:rFonts w:hint="eastAsia"/>
                <w:lang w:val="en-US" w:eastAsia="zh-CN"/>
              </w:rPr>
              <w:t>参考文献</w:t>
            </w:r>
          </w:p>
          <w:p w14:paraId="7C95552D">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王梓兮,张群,孙科学.多功能音乐沙漏的设计与实现[J].大学物理实验,2023,36(05):39-43.DOI:10.14139/j.cnki.cn22-1228.2023.05.009.</w:t>
            </w:r>
          </w:p>
          <w:p w14:paraId="5D28FF7B">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黄超,张可庠,何莹.基于STM32的智能便携式音响设计[C]//湖北省机电工程学会.2025机电创新与产教融合新思考论文集.武汉工程科技学院;,2025:30-34.DOI:10.26914/c.cnkihy.2025.054918.</w:t>
            </w:r>
          </w:p>
          <w:p w14:paraId="272A4381">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张佳洋.声音可视化技术在交互式智能音箱中的设计与应用[D].广西大学,2025.DOI:10.27034/d.cnki.ggxiu.2025.001011.</w:t>
            </w:r>
          </w:p>
          <w:p w14:paraId="040A4E9D">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刘明硕,何丹丹,李帅.基于STM32的老年群体居家智能药盒系统设计与实现[J].电子设计工程,2023,31(21):161-165.DOI:10.14022/j.issn1674-6236.2023.21.033.</w:t>
            </w:r>
          </w:p>
          <w:p w14:paraId="13504AB2">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李泽远.多功能蓝牙音箱的电路设计[J].电声技术,2021,45(07):54-58.DOI:10.16311/j.audioe.2021.07.012.</w:t>
            </w:r>
          </w:p>
          <w:p w14:paraId="4BBF3DF0">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陈莎莎.基于混合注意力机制的AI智能音乐播放器研究[J].自动化与仪器仪表,2024,(12):187-190+195.DOI:10.14016/j.cnki.1001-9227.2024.12.187.</w:t>
            </w:r>
          </w:p>
          <w:p w14:paraId="17524A06">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田超.基于ARM嵌入式系统上的SD卡驱动程序及文件系统的研究和开发[D].北京邮电大学,2014.</w:t>
            </w:r>
          </w:p>
          <w:p w14:paraId="7DDD6466">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盛磊.数字处理系统中基于DMA的数据存储的FPGA设计[J].信息技术与信息化,2025,(09):136-139.</w:t>
            </w:r>
          </w:p>
          <w:p w14:paraId="6F8F4ED1">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王志豪.基于STM32的微型元器件存储盒设计[J].电子制作,2025,33(13):82-85.DOI:10.16589/j.cnki.cn11-3571/tn.2025.13.014.</w:t>
            </w:r>
          </w:p>
          <w:p w14:paraId="2852C73C">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Liu S .Design and Implementation of Intelligent Temperature-Regulating Fan System Based on STC89C52[J].Journal of Engineering Research and Reports,2025,27(12):251-259.DOI:10.9734/JERR/2025/V27I121740.</w:t>
            </w:r>
          </w:p>
          <w:p w14:paraId="117725FC">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Liu Y ,Bi K ,Hodges S , et al.Harmonious Healing: Advances in Music Therapy and other Alternative Therapy for Depression and Beyond[J].Brain Behavior and Immunity Integrative,2024,8100094-100094.DOI:10.1016/J.BBII.2024.100094.</w:t>
            </w:r>
          </w:p>
          <w:p w14:paraId="50F67F19">
            <w:pPr>
              <w:pStyle w:val="11"/>
              <w:keepNext/>
              <w:widowControl w:val="0"/>
              <w:tabs>
                <w:tab w:val="left" w:pos="420"/>
              </w:tabs>
              <w:bidi w:val="0"/>
              <w:spacing w:beforeAutospacing="0" w:afterAutospacing="0"/>
              <w:ind w:left="851" w:leftChars="0" w:hanging="431"/>
              <w:jc w:val="both"/>
              <w:rPr>
                <w:rFonts w:hint="eastAsia"/>
                <w:lang w:val="en-US" w:eastAsia="zh-CN"/>
              </w:rPr>
            </w:pPr>
            <w:r>
              <w:rPr>
                <w:rFonts w:hint="eastAsia"/>
                <w:lang w:val="en-US" w:eastAsia="zh-CN"/>
              </w:rPr>
              <w:t>Apollo Guide To Bluetooth Speakers And Bluetooth Earbuds[J].M2 Presswire,2025,</w:t>
            </w:r>
          </w:p>
          <w:p w14:paraId="58E18AC5">
            <w:pPr>
              <w:pStyle w:val="11"/>
              <w:keepNext/>
              <w:keepLines/>
              <w:widowControl w:val="0"/>
              <w:numPr>
                <w:ilvl w:val="0"/>
                <w:numId w:val="0"/>
              </w:numPr>
              <w:tabs>
                <w:tab w:val="left" w:pos="420"/>
              </w:tabs>
              <w:bidi w:val="0"/>
              <w:spacing w:before="25" w:beforeLines="25" w:beforeAutospacing="0" w:after="25" w:afterLines="25" w:afterAutospacing="0" w:line="240" w:lineRule="auto"/>
              <w:jc w:val="both"/>
              <w:outlineLvl w:val="0"/>
              <w:rPr>
                <w:rFonts w:hint="eastAsia"/>
                <w:lang w:val="en-US" w:eastAsia="zh-CN"/>
              </w:rPr>
            </w:pPr>
          </w:p>
          <w:p w14:paraId="620D2417">
            <w:pPr>
              <w:pStyle w:val="11"/>
              <w:keepNext/>
              <w:keepLines/>
              <w:widowControl w:val="0"/>
              <w:numPr>
                <w:ilvl w:val="0"/>
                <w:numId w:val="0"/>
              </w:numPr>
              <w:tabs>
                <w:tab w:val="left" w:pos="420"/>
              </w:tabs>
              <w:bidi w:val="0"/>
              <w:spacing w:before="25" w:beforeLines="25" w:beforeAutospacing="0" w:after="25" w:afterLines="25" w:afterAutospacing="0" w:line="240" w:lineRule="auto"/>
              <w:jc w:val="both"/>
              <w:outlineLvl w:val="0"/>
              <w:rPr>
                <w:rFonts w:hint="eastAsia"/>
                <w:lang w:val="en-US" w:eastAsia="zh-CN"/>
              </w:rPr>
            </w:pPr>
          </w:p>
          <w:p w14:paraId="41A79B94">
            <w:pPr>
              <w:pStyle w:val="2"/>
              <w:bidi w:val="0"/>
              <w:rPr>
                <w:rFonts w:hint="eastAsia"/>
                <w:lang w:val="en-US" w:eastAsia="zh-CN"/>
              </w:rPr>
            </w:pPr>
            <w:r>
              <w:rPr>
                <w:rFonts w:hint="eastAsia"/>
                <w:lang w:val="en-US" w:eastAsia="zh-CN"/>
              </w:rPr>
              <w:t>调研情况：</w:t>
            </w:r>
          </w:p>
          <w:p w14:paraId="6A64326F">
            <w:pPr>
              <w:pStyle w:val="8"/>
              <w:bidi w:val="0"/>
              <w:rPr>
                <w:rFonts w:hint="default"/>
                <w:lang w:val="en-US" w:eastAsia="zh-CN"/>
              </w:rPr>
            </w:pPr>
            <w:r>
              <w:rPr>
                <w:rFonts w:hint="default"/>
                <w:lang w:val="en-US" w:eastAsia="zh-CN"/>
              </w:rPr>
              <w:t>近年来，生活节奏加快与工作压力增大推动人们对心理健康和情绪管理的需求日益增长，白噪音凭借模拟自然界和谐声响、屏蔽外界干扰、助力放松的独特疗愈功能，成为应对睡眠障碍、提升专注力的重要辅助手段，相关研究与产品开发持续推进。</w:t>
            </w:r>
          </w:p>
          <w:p w14:paraId="54A3399C">
            <w:pPr>
              <w:pStyle w:val="8"/>
              <w:bidi w:val="0"/>
              <w:rPr>
                <w:rFonts w:hint="default"/>
                <w:lang w:val="en-US" w:eastAsia="zh-CN"/>
              </w:rPr>
            </w:pPr>
            <w:r>
              <w:rPr>
                <w:rFonts w:hint="default"/>
                <w:lang w:val="en-US" w:eastAsia="zh-CN"/>
              </w:rPr>
              <w:t>调研发现，传统白噪音播放器存在功能单一、控制不便、场景适配性弱的痛点，而现有智能音频设备</w:t>
            </w:r>
            <w:r>
              <w:rPr>
                <w:rFonts w:hint="default"/>
                <w:vertAlign w:val="superscript"/>
                <w:lang w:val="en-US" w:eastAsia="zh-CN"/>
              </w:rPr>
              <w:t>[2][3][6]</w:t>
            </w:r>
            <w:r>
              <w:rPr>
                <w:rFonts w:hint="eastAsia"/>
                <w:vertAlign w:val="baseline"/>
                <w:lang w:val="en-US" w:eastAsia="zh-CN"/>
              </w:rPr>
              <w:t>，</w:t>
            </w:r>
            <w:r>
              <w:rPr>
                <w:rFonts w:hint="default"/>
                <w:lang w:val="en-US" w:eastAsia="zh-CN"/>
              </w:rPr>
              <w:t>多聚焦于音频播放与基础智能控制，缺乏针对疗愈场景的专项优化，未充分实现 “白噪音疗愈 + 多感官协同 + 场景化适配” 的深度融合；市场与需求层面，随着 AI 智能音乐播放器</w:t>
            </w:r>
            <w:r>
              <w:rPr>
                <w:rFonts w:hint="default"/>
                <w:vertAlign w:val="superscript"/>
                <w:lang w:val="en-US" w:eastAsia="zh-CN"/>
              </w:rPr>
              <w:t xml:space="preserve"> [6]</w:t>
            </w:r>
            <w:r>
              <w:rPr>
                <w:rFonts w:hint="default"/>
                <w:lang w:val="en-US" w:eastAsia="zh-CN"/>
              </w:rPr>
              <w:t>、多功能蓝牙音箱</w:t>
            </w:r>
            <w:r>
              <w:rPr>
                <w:rFonts w:hint="default"/>
                <w:vertAlign w:val="superscript"/>
                <w:lang w:val="en-US" w:eastAsia="zh-CN"/>
              </w:rPr>
              <w:t>[2][5]</w:t>
            </w:r>
            <w:r>
              <w:rPr>
                <w:rFonts w:hint="default"/>
                <w:lang w:val="en-US" w:eastAsia="zh-CN"/>
              </w:rPr>
              <w:t>等产品的普及，用户对智能交互、便携化、低功耗的要求不断提升，同时音乐疗法在心理健康领域的应用验证</w:t>
            </w:r>
            <w:r>
              <w:rPr>
                <w:rFonts w:hint="default"/>
                <w:vertAlign w:val="superscript"/>
                <w:lang w:val="en-US" w:eastAsia="zh-CN"/>
              </w:rPr>
              <w:t>[11]</w:t>
            </w:r>
            <w:r>
              <w:rPr>
                <w:rFonts w:hint="eastAsia"/>
                <w:vertAlign w:val="baseline"/>
                <w:lang w:val="en-US" w:eastAsia="zh-CN"/>
              </w:rPr>
              <w:t>，</w:t>
            </w:r>
            <w:r>
              <w:rPr>
                <w:rFonts w:hint="default"/>
                <w:lang w:val="en-US" w:eastAsia="zh-CN"/>
              </w:rPr>
              <w:t>也为白噪音疗愈的科学性提供了依据。</w:t>
            </w:r>
            <w:r>
              <w:rPr>
                <w:rFonts w:hint="eastAsia"/>
                <w:lang w:val="en-US" w:eastAsia="zh-CN"/>
              </w:rPr>
              <w:t>在</w:t>
            </w:r>
            <w:r>
              <w:rPr>
                <w:rFonts w:hint="default"/>
                <w:lang w:val="en-US" w:eastAsia="zh-CN"/>
              </w:rPr>
              <w:t>技术层面，STM32 系列单片机已成为智能便携设备的核心控制方案</w:t>
            </w:r>
            <w:r>
              <w:rPr>
                <w:rFonts w:hint="default"/>
                <w:vertAlign w:val="superscript"/>
                <w:lang w:val="en-US" w:eastAsia="zh-CN"/>
              </w:rPr>
              <w:t>[2][4]</w:t>
            </w:r>
            <w:r>
              <w:rPr>
                <w:rFonts w:hint="default"/>
                <w:lang w:val="en-US" w:eastAsia="zh-CN"/>
              </w:rPr>
              <w:t xml:space="preserve"> ，蓝牙通信技术、</w:t>
            </w:r>
            <w:r>
              <w:rPr>
                <w:rFonts w:hint="eastAsia"/>
                <w:lang w:val="en-US" w:eastAsia="zh-CN"/>
              </w:rPr>
              <w:t>利用</w:t>
            </w:r>
            <w:r>
              <w:rPr>
                <w:rFonts w:hint="default"/>
                <w:lang w:val="en-US" w:eastAsia="zh-CN"/>
              </w:rPr>
              <w:t xml:space="preserve"> PAM8403 音频放大芯片等</w:t>
            </w:r>
            <w:r>
              <w:rPr>
                <w:rFonts w:hint="eastAsia"/>
                <w:lang w:val="en-US" w:eastAsia="zh-CN"/>
              </w:rPr>
              <w:t>提高</w:t>
            </w:r>
            <w:r>
              <w:rPr>
                <w:rFonts w:hint="default"/>
                <w:lang w:val="en-US" w:eastAsia="zh-CN"/>
              </w:rPr>
              <w:t>音频输出技术</w:t>
            </w:r>
            <w:r>
              <w:rPr>
                <w:rFonts w:hint="default"/>
                <w:vertAlign w:val="superscript"/>
                <w:lang w:val="en-US" w:eastAsia="zh-CN"/>
              </w:rPr>
              <w:t xml:space="preserve"> [2][5] </w:t>
            </w:r>
            <w:r>
              <w:rPr>
                <w:rFonts w:hint="default"/>
                <w:lang w:val="en-US" w:eastAsia="zh-CN"/>
              </w:rPr>
              <w:t>、</w:t>
            </w:r>
            <w:r>
              <w:rPr>
                <w:rFonts w:hint="eastAsia"/>
                <w:lang w:val="en-US" w:eastAsia="zh-CN"/>
              </w:rPr>
              <w:t>实现</w:t>
            </w:r>
            <w:r>
              <w:rPr>
                <w:rFonts w:hint="default"/>
                <w:lang w:val="en-US" w:eastAsia="zh-CN"/>
              </w:rPr>
              <w:t>触控交互与</w:t>
            </w:r>
            <w:r>
              <w:rPr>
                <w:rFonts w:hint="eastAsia"/>
                <w:lang w:val="en-US" w:eastAsia="zh-CN"/>
              </w:rPr>
              <w:t>利用</w:t>
            </w:r>
            <w:r>
              <w:rPr>
                <w:rFonts w:hint="default"/>
                <w:lang w:val="en-US" w:eastAsia="zh-CN"/>
              </w:rPr>
              <w:t>可视化灯光设计思路灯光联动技术</w:t>
            </w:r>
            <w:r>
              <w:rPr>
                <w:rFonts w:hint="default"/>
                <w:vertAlign w:val="superscript"/>
                <w:lang w:val="en-US" w:eastAsia="zh-CN"/>
              </w:rPr>
              <w:t xml:space="preserve">[3] </w:t>
            </w:r>
            <w:r>
              <w:rPr>
                <w:rFonts w:hint="default"/>
                <w:lang w:val="en-US" w:eastAsia="zh-CN"/>
              </w:rPr>
              <w:t>已趋于成熟，为设备集成提供了坚实技术支撑；</w:t>
            </w:r>
          </w:p>
          <w:p w14:paraId="612D8EEF">
            <w:pPr>
              <w:pStyle w:val="8"/>
              <w:bidi w:val="0"/>
              <w:rPr>
                <w:rFonts w:hint="default"/>
                <w:lang w:val="en-US" w:eastAsia="zh-CN"/>
              </w:rPr>
            </w:pPr>
            <w:r>
              <w:rPr>
                <w:rFonts w:hint="default"/>
                <w:lang w:val="en-US" w:eastAsia="zh-CN"/>
              </w:rPr>
              <w:t>基于此，本项目以 STM32 单片机为控制核心，融合蓝牙通信、电容式触摸屏、WS2812 可调夜灯及高质量音频输出技术，打造白噪音疗愈音箱，精准契合市场缺口与用户需求，具备明确的创新价值与应用前景。</w:t>
            </w:r>
          </w:p>
          <w:p w14:paraId="14073694">
            <w:pPr>
              <w:keepNext w:val="0"/>
              <w:keepLines w:val="0"/>
              <w:widowControl/>
              <w:suppressLineNumbers w:val="0"/>
              <w:jc w:val="left"/>
            </w:pPr>
          </w:p>
          <w:p w14:paraId="4AF965F6">
            <w:pPr>
              <w:pStyle w:val="4"/>
              <w:tabs>
                <w:tab w:val="left" w:pos="5832"/>
              </w:tabs>
              <w:spacing w:line="400" w:lineRule="exact"/>
              <w:ind w:left="0" w:leftChars="0" w:firstLine="0" w:firstLineChars="0"/>
              <w:rPr>
                <w:rFonts w:hint="default" w:ascii="宋体" w:hAnsi="宋体"/>
                <w:color w:val="000000"/>
                <w:sz w:val="24"/>
                <w:lang w:val="en-US" w:eastAsia="zh-CN"/>
              </w:rPr>
            </w:pPr>
          </w:p>
          <w:p w14:paraId="36C63611">
            <w:pPr>
              <w:pStyle w:val="4"/>
              <w:tabs>
                <w:tab w:val="left" w:pos="5832"/>
              </w:tabs>
              <w:spacing w:line="400" w:lineRule="exact"/>
              <w:ind w:left="0" w:firstLine="480" w:firstLineChars="200"/>
              <w:rPr>
                <w:rFonts w:ascii="宋体" w:hAnsi="宋体"/>
                <w:color w:val="000000"/>
                <w:sz w:val="24"/>
              </w:rPr>
            </w:pPr>
          </w:p>
          <w:p w14:paraId="06C034CA">
            <w:pPr>
              <w:pStyle w:val="4"/>
              <w:tabs>
                <w:tab w:val="left" w:pos="5832"/>
              </w:tabs>
              <w:spacing w:line="400" w:lineRule="exact"/>
              <w:ind w:left="0" w:firstLine="480" w:firstLineChars="200"/>
              <w:rPr>
                <w:rFonts w:ascii="宋体" w:hAnsi="宋体"/>
                <w:color w:val="000000"/>
                <w:sz w:val="24"/>
              </w:rPr>
            </w:pPr>
          </w:p>
          <w:p w14:paraId="155EB99B">
            <w:pPr>
              <w:pStyle w:val="4"/>
              <w:tabs>
                <w:tab w:val="left" w:pos="5832"/>
              </w:tabs>
              <w:spacing w:line="400" w:lineRule="exact"/>
              <w:ind w:left="0" w:firstLine="480" w:firstLineChars="200"/>
              <w:rPr>
                <w:rFonts w:ascii="宋体" w:hAnsi="宋体"/>
                <w:color w:val="000000"/>
                <w:sz w:val="24"/>
              </w:rPr>
            </w:pPr>
          </w:p>
          <w:p w14:paraId="54C4CF40">
            <w:pPr>
              <w:pStyle w:val="4"/>
              <w:tabs>
                <w:tab w:val="left" w:pos="5832"/>
              </w:tabs>
              <w:spacing w:line="400" w:lineRule="exact"/>
              <w:ind w:left="0" w:firstLine="480" w:firstLineChars="200"/>
              <w:rPr>
                <w:rFonts w:ascii="宋体" w:hAnsi="宋体"/>
                <w:color w:val="000000"/>
                <w:sz w:val="24"/>
              </w:rPr>
            </w:pPr>
          </w:p>
          <w:p w14:paraId="75D8211E">
            <w:pPr>
              <w:pStyle w:val="4"/>
              <w:tabs>
                <w:tab w:val="left" w:pos="5832"/>
              </w:tabs>
              <w:spacing w:line="400" w:lineRule="exact"/>
              <w:ind w:left="0" w:leftChars="0" w:firstLine="0" w:firstLineChars="0"/>
              <w:rPr>
                <w:rFonts w:ascii="宋体" w:hAnsi="宋体"/>
                <w:color w:val="000000"/>
                <w:sz w:val="24"/>
              </w:rPr>
            </w:pPr>
          </w:p>
          <w:p w14:paraId="4EB69E9E">
            <w:pPr>
              <w:pStyle w:val="4"/>
              <w:tabs>
                <w:tab w:val="left" w:pos="5832"/>
              </w:tabs>
              <w:spacing w:line="400" w:lineRule="exact"/>
              <w:ind w:left="0" w:firstLine="480" w:firstLineChars="200"/>
              <w:rPr>
                <w:rFonts w:ascii="宋体" w:hAnsi="宋体"/>
                <w:color w:val="000000"/>
                <w:sz w:val="24"/>
              </w:rPr>
            </w:pPr>
          </w:p>
          <w:p w14:paraId="06CA6A5C">
            <w:pPr>
              <w:pStyle w:val="4"/>
              <w:tabs>
                <w:tab w:val="left" w:pos="5832"/>
              </w:tabs>
              <w:spacing w:line="400" w:lineRule="exact"/>
              <w:ind w:left="0" w:firstLine="480" w:firstLineChars="200"/>
              <w:rPr>
                <w:rFonts w:ascii="宋体" w:hAnsi="宋体"/>
                <w:color w:val="000000"/>
                <w:sz w:val="24"/>
              </w:rPr>
            </w:pPr>
          </w:p>
          <w:p w14:paraId="5F284E80">
            <w:pPr>
              <w:rPr>
                <w:rFonts w:ascii="宋体" w:hAnsi="宋体"/>
                <w:szCs w:val="21"/>
              </w:rPr>
            </w:pPr>
          </w:p>
          <w:p w14:paraId="32CBCE9E">
            <w:pPr>
              <w:rPr>
                <w:rFonts w:ascii="宋体" w:hAnsi="宋体"/>
                <w:szCs w:val="21"/>
              </w:rPr>
            </w:pPr>
          </w:p>
          <w:p w14:paraId="6AD5F7A2">
            <w:pPr>
              <w:rPr>
                <w:rFonts w:ascii="宋体" w:hAnsi="宋体"/>
                <w:szCs w:val="21"/>
              </w:rPr>
            </w:pPr>
          </w:p>
          <w:p w14:paraId="6DD2BE08">
            <w:pPr>
              <w:rPr>
                <w:rFonts w:ascii="宋体" w:hAnsi="宋体"/>
                <w:szCs w:val="21"/>
              </w:rPr>
            </w:pPr>
          </w:p>
          <w:p w14:paraId="51001EE7">
            <w:pPr>
              <w:rPr>
                <w:rFonts w:ascii="宋体" w:hAnsi="宋体"/>
                <w:szCs w:val="21"/>
              </w:rPr>
            </w:pPr>
          </w:p>
          <w:p w14:paraId="09B575A0">
            <w:pPr>
              <w:rPr>
                <w:rFonts w:ascii="宋体" w:hAnsi="宋体"/>
                <w:szCs w:val="21"/>
              </w:rPr>
            </w:pPr>
          </w:p>
          <w:p w14:paraId="5CD192B7">
            <w:pPr>
              <w:rPr>
                <w:rFonts w:ascii="宋体" w:hAnsi="宋体"/>
                <w:szCs w:val="21"/>
              </w:rPr>
            </w:pPr>
          </w:p>
          <w:p w14:paraId="4E6CAD9A">
            <w:pPr>
              <w:rPr>
                <w:rFonts w:ascii="宋体" w:hAnsi="宋体"/>
                <w:szCs w:val="21"/>
              </w:rPr>
            </w:pPr>
          </w:p>
          <w:p w14:paraId="3334F749">
            <w:pPr>
              <w:rPr>
                <w:rFonts w:ascii="宋体" w:hAnsi="宋体"/>
                <w:szCs w:val="21"/>
              </w:rPr>
            </w:pPr>
          </w:p>
          <w:p w14:paraId="016370C2">
            <w:pPr>
              <w:rPr>
                <w:rFonts w:ascii="宋体" w:hAnsi="宋体"/>
                <w:szCs w:val="21"/>
              </w:rPr>
            </w:pPr>
          </w:p>
          <w:p w14:paraId="6F980968">
            <w:pPr>
              <w:rPr>
                <w:rFonts w:ascii="宋体" w:hAnsi="宋体"/>
                <w:szCs w:val="21"/>
              </w:rPr>
            </w:pPr>
          </w:p>
        </w:tc>
      </w:tr>
      <w:tr w14:paraId="08D32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953" w:type="dxa"/>
            <w:vAlign w:val="center"/>
          </w:tcPr>
          <w:p w14:paraId="6C8015D9">
            <w:pPr>
              <w:rPr>
                <w:rFonts w:ascii="宋体" w:hAnsi="宋体"/>
                <w:b/>
                <w:bCs/>
                <w:sz w:val="28"/>
                <w:szCs w:val="28"/>
              </w:rPr>
            </w:pPr>
            <w:r>
              <w:rPr>
                <w:rFonts w:hint="eastAsia" w:ascii="宋体" w:hAnsi="宋体"/>
                <w:bCs/>
                <w:sz w:val="28"/>
                <w:szCs w:val="28"/>
              </w:rPr>
              <w:t>3、实施方案、进度实施计划及预期提交的毕业设计资料</w:t>
            </w:r>
          </w:p>
        </w:tc>
      </w:tr>
      <w:tr w14:paraId="65750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 w:hRule="atLeast"/>
          <w:jc w:val="center"/>
        </w:trPr>
        <w:tc>
          <w:tcPr>
            <w:tcW w:w="8953" w:type="dxa"/>
          </w:tcPr>
          <w:p w14:paraId="31818821">
            <w:pPr>
              <w:pStyle w:val="2"/>
              <w:bidi w:val="0"/>
              <w:rPr>
                <w:rFonts w:hint="default"/>
                <w:lang w:val="en-US" w:eastAsia="zh-CN"/>
              </w:rPr>
            </w:pPr>
            <w:r>
              <w:rPr>
                <w:rFonts w:hint="eastAsia"/>
                <w:lang w:val="en-US" w:eastAsia="zh-CN"/>
              </w:rPr>
              <w:t>实施方案</w:t>
            </w:r>
          </w:p>
          <w:p w14:paraId="37F03F31">
            <w:pPr>
              <w:pStyle w:val="8"/>
              <w:bidi w:val="0"/>
              <w:rPr>
                <w:rFonts w:hint="eastAsia" w:ascii="黑体" w:hAnsi="黑体" w:eastAsia="黑体" w:cs="黑体"/>
              </w:rPr>
            </w:pPr>
            <w:r>
              <w:drawing>
                <wp:anchor distT="0" distB="0" distL="114300" distR="114300" simplePos="0" relativeHeight="251663360" behindDoc="0" locked="0" layoutInCell="1" allowOverlap="1">
                  <wp:simplePos x="0" y="0"/>
                  <wp:positionH relativeFrom="column">
                    <wp:posOffset>305435</wp:posOffset>
                  </wp:positionH>
                  <wp:positionV relativeFrom="paragraph">
                    <wp:posOffset>1744980</wp:posOffset>
                  </wp:positionV>
                  <wp:extent cx="4996180" cy="5187315"/>
                  <wp:effectExtent l="0" t="0" r="254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0" y="0"/>
                            <a:ext cx="4996180" cy="5187315"/>
                          </a:xfrm>
                          <a:prstGeom prst="rect">
                            <a:avLst/>
                          </a:prstGeom>
                          <a:noFill/>
                          <a:ln>
                            <a:noFill/>
                          </a:ln>
                        </pic:spPr>
                      </pic:pic>
                    </a:graphicData>
                  </a:graphic>
                </wp:anchor>
              </w:drawing>
            </w:r>
            <w:r>
              <w:rPr>
                <w:rFonts w:hint="eastAsia"/>
                <w:lang w:val="en-US" w:eastAsia="zh-CN"/>
              </w:rPr>
              <w:t>本方案以STM32单片机作为控制核心，人机交互方面系统主要分为两种方式，第一种通过蓝牙协议与上位机APP建立通信，实现场景、音效、时间和等效控制。二是采用SPI接口驱动电容式LCD触摸屏用于界面显示与用户输入；功能主要分为灯光、音频，使用时序控制方式控制WS2812灯珠组，用于呈现颜色可变、亮度可调的夜灯效果；音频输出部分由于STM32通过，I2S专为传输高质量音频数据设计向数字功放模块持续发送音频数据，功放再驱动喇叭实现声音播放。</w:t>
            </w:r>
          </w:p>
          <w:p w14:paraId="7F951FC9">
            <w:pPr>
              <w:pStyle w:val="3"/>
              <w:bidi w:val="0"/>
              <w:jc w:val="center"/>
              <w:rPr>
                <w:rFonts w:hint="default" w:ascii="黑体" w:hAnsi="黑体" w:eastAsia="黑体" w:cs="黑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1</w:t>
            </w:r>
            <w:r>
              <w:rPr>
                <w:sz w:val="21"/>
                <w:szCs w:val="21"/>
              </w:rPr>
              <w:fldChar w:fldCharType="end"/>
            </w:r>
            <w:r>
              <w:rPr>
                <w:rFonts w:hint="eastAsia"/>
                <w:sz w:val="21"/>
                <w:szCs w:val="21"/>
                <w:lang w:val="en-US" w:eastAsia="zh-CN"/>
              </w:rPr>
              <w:t xml:space="preserve"> 总体框架实现示意图</w:t>
            </w:r>
          </w:p>
          <w:p w14:paraId="62883A7A">
            <w:pPr>
              <w:pStyle w:val="8"/>
              <w:bidi w:val="0"/>
              <w:rPr>
                <w:rFonts w:hint="eastAsia" w:ascii="黑体" w:hAnsi="黑体" w:eastAsia="黑体" w:cs="黑体"/>
                <w:lang w:val="en-US" w:eastAsia="zh-CN"/>
              </w:rPr>
            </w:pPr>
          </w:p>
          <w:p w14:paraId="786AE773">
            <w:pPr>
              <w:pStyle w:val="8"/>
              <w:bidi w:val="0"/>
              <w:rPr>
                <w:rFonts w:hint="eastAsia" w:ascii="黑体" w:hAnsi="黑体" w:eastAsia="黑体" w:cs="黑体"/>
                <w:lang w:val="en-US" w:eastAsia="zh-CN"/>
              </w:rPr>
            </w:pPr>
            <w:r>
              <w:rPr>
                <w:rFonts w:hint="eastAsia" w:ascii="黑体" w:hAnsi="黑体" w:eastAsia="黑体" w:cs="黑体"/>
                <w:lang w:val="en-US" w:eastAsia="zh-CN"/>
              </w:rPr>
              <w:t>具体方案实施：</w:t>
            </w:r>
          </w:p>
          <w:p w14:paraId="182E8607">
            <w:pPr>
              <w:pStyle w:val="8"/>
              <w:bidi w:val="0"/>
            </w:pPr>
            <w:r>
              <w:rPr>
                <w:rFonts w:hint="eastAsia"/>
                <w:lang w:val="en-US" w:eastAsia="zh-CN"/>
              </w:rPr>
              <w:t>（1）</w:t>
            </w:r>
            <w:r>
              <w:rPr>
                <w:rFonts w:hint="eastAsia" w:ascii="黑体" w:hAnsi="黑体" w:eastAsia="黑体" w:cs="黑体"/>
                <w:lang w:val="en-US" w:eastAsia="zh-CN"/>
              </w:rPr>
              <w:t>控制核心：</w:t>
            </w:r>
            <w:r>
              <w:rPr>
                <w:rFonts w:hint="eastAsia"/>
                <w:lang w:val="en-US" w:eastAsia="zh-CN"/>
              </w:rPr>
              <w:t>STM32F103单片机属于基于ARM Cortex-M3内核的32位微控制器，STM32F103 单片机属于基于 ARM Cortex-M3 内核的 32 位微控制器，主频最高可 达 72 MHz，具备较高的运算能力和良好的外设资源，非常适合承担智能疗愈系统中的多任务控制需求。它内部集成丰富的定时器、SPI、I2C、USART 以及 DMA 控制器，可用于驱动 LCD 触摸屏、管理 WS2812 灯效时序、处理蓝牙通信并提高数据传输效率；同时提供 I2S 兼容接口，可与数字功放模块协 同实现音频数据输出。F103 功耗低、成本适中、生态成熟，外围库和示例丰富，能够满足本项目在显示、灯光、通信和音频控制等方面的综合需求。</w:t>
            </w:r>
          </w:p>
          <w:p w14:paraId="048F6710">
            <w:pPr>
              <w:pStyle w:val="3"/>
              <w:bidi w:val="0"/>
              <w:jc w:val="center"/>
            </w:pPr>
            <w:r>
              <w:drawing>
                <wp:anchor distT="0" distB="0" distL="114300" distR="114300" simplePos="0" relativeHeight="251664384" behindDoc="0" locked="0" layoutInCell="1" allowOverlap="1">
                  <wp:simplePos x="0" y="0"/>
                  <wp:positionH relativeFrom="column">
                    <wp:posOffset>184150</wp:posOffset>
                  </wp:positionH>
                  <wp:positionV relativeFrom="paragraph">
                    <wp:posOffset>91440</wp:posOffset>
                  </wp:positionV>
                  <wp:extent cx="5092700" cy="3330575"/>
                  <wp:effectExtent l="0" t="0" r="0" b="0"/>
                  <wp:wrapTopAndBottom/>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0" y="0"/>
                            <a:ext cx="5092700" cy="3330575"/>
                          </a:xfrm>
                          <a:prstGeom prst="rect">
                            <a:avLst/>
                          </a:prstGeom>
                          <a:noFill/>
                          <a:ln>
                            <a:noFill/>
                          </a:ln>
                        </pic:spPr>
                      </pic:pic>
                    </a:graphicData>
                  </a:graphic>
                </wp:anchor>
              </w:drawing>
            </w: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2</w:t>
            </w:r>
            <w:r>
              <w:rPr>
                <w:sz w:val="21"/>
                <w:szCs w:val="21"/>
              </w:rPr>
              <w:fldChar w:fldCharType="end"/>
            </w:r>
            <w:r>
              <w:rPr>
                <w:rFonts w:hint="eastAsia"/>
                <w:sz w:val="21"/>
                <w:szCs w:val="21"/>
                <w:lang w:val="en-US" w:eastAsia="zh-CN"/>
              </w:rPr>
              <w:t xml:space="preserve"> STM32与各模块连接方式</w:t>
            </w:r>
          </w:p>
          <w:p w14:paraId="125AD9BE">
            <w:pPr>
              <w:pStyle w:val="8"/>
              <w:bidi w:val="0"/>
              <w:rPr>
                <w:rFonts w:hint="eastAsia"/>
                <w:lang w:val="en-US" w:eastAsia="zh-CN"/>
              </w:rPr>
            </w:pPr>
            <w:r>
              <w:rPr>
                <w:rFonts w:hint="eastAsia" w:ascii="黑体" w:hAnsi="黑体" w:eastAsia="黑体" w:cs="黑体"/>
                <w:lang w:val="en-US" w:eastAsia="zh-CN"/>
              </w:rPr>
              <w:t>（2）</w:t>
            </w:r>
            <w:r>
              <w:rPr>
                <w:rFonts w:hint="eastAsia" w:ascii="黑体" w:hAnsi="黑体" w:eastAsia="黑体" w:cs="黑体"/>
                <w:lang w:val="en-US" w:eastAsia="zh-CN"/>
              </w:rPr>
              <w:t>LCD电容触摸屏：</w:t>
            </w:r>
            <w:r>
              <w:rPr>
                <w:rFonts w:hint="eastAsia"/>
                <w:lang w:val="en-US" w:eastAsia="zh-CN"/>
              </w:rPr>
              <w:t>LCD 触摸屏作为主要的人机交互界面，能够显示系统状态、音量调节、灯效模式以及蓝牙连接信息等内容。该屏幕通常使用 SPI 接口与 STM32F103 相连，具有通信线少、刷新速度快、驱动简洁的特点，适合嵌入式小型终端使用。在本项目中，LCD 触摸屏不仅用于展示界面 UI，还承担播放控制、灯效切换等输入功能。</w:t>
            </w:r>
          </w:p>
          <w:p w14:paraId="7B7EC474">
            <w:pPr>
              <w:pStyle w:val="8"/>
              <w:numPr>
                <w:ilvl w:val="0"/>
                <w:numId w:val="0"/>
              </w:numPr>
              <w:bidi w:val="0"/>
              <w:ind w:left="0" w:leftChars="0" w:right="0" w:rightChars="0" w:firstLine="506" w:firstLineChars="211"/>
              <w:rPr>
                <w:rFonts w:hint="eastAsia"/>
                <w:lang w:val="en-US" w:eastAsia="zh-CN"/>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3</w:t>
            </w:r>
            <w:r>
              <w:rPr>
                <w:rFonts w:hint="eastAsia" w:ascii="Times New Roman" w:hAnsi="Times New Roman" w:eastAsia="宋体" w:cs="Times New Roman"/>
                <w:kern w:val="2"/>
                <w:sz w:val="24"/>
                <w:szCs w:val="24"/>
                <w:lang w:val="en-US" w:eastAsia="zh-CN" w:bidi="ar-SA"/>
              </w:rPr>
              <w:t>）</w:t>
            </w:r>
            <w:r>
              <w:rPr>
                <w:rFonts w:hint="eastAsia" w:ascii="黑体" w:hAnsi="黑体" w:eastAsia="黑体" w:cs="黑体"/>
                <w:lang w:val="en-US" w:eastAsia="zh-CN"/>
              </w:rPr>
              <w:t>上位机APP模块：</w:t>
            </w:r>
            <w:r>
              <w:rPr>
                <w:rFonts w:hint="eastAsia"/>
                <w:lang w:val="en-US" w:eastAsia="zh-CN"/>
              </w:rPr>
              <w:t>上位机 APP 模块基于 Android Studio/iOS Xcode 开发，通过蓝牙 5.0 SPP 协议与 STM32F103 主控建立稳定的双向通信链路，完成设备快速配对、运行状态：当前音效、灯光参数、剩余定时时长等实时同步，实现远程控制核心功能：支持对设备进行多档位定时设置、白噪音音效切换与音量调节、WS2812B 灯珠颜色及亮度调节，同时可一键切换助眠、专注等预设场景模式，弥补了本地 LCD 触控操作的空间限制。</w:t>
            </w:r>
          </w:p>
          <w:p w14:paraId="1E67C0C9">
            <w:pPr>
              <w:pStyle w:val="8"/>
              <w:numPr>
                <w:ilvl w:val="0"/>
                <w:numId w:val="0"/>
              </w:numPr>
              <w:bidi w:val="0"/>
              <w:ind w:left="0" w:leftChars="0" w:right="0" w:rightChars="0" w:firstLine="506" w:firstLineChars="211"/>
              <w:rPr>
                <w:rFonts w:hint="eastAsia"/>
                <w:lang w:val="en-US" w:eastAsia="zh-CN"/>
              </w:rPr>
            </w:pP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4</w:t>
            </w:r>
            <w:r>
              <w:rPr>
                <w:rFonts w:hint="eastAsia" w:ascii="Times New Roman" w:hAnsi="Times New Roman" w:eastAsia="宋体" w:cs="Times New Roman"/>
                <w:kern w:val="2"/>
                <w:sz w:val="24"/>
                <w:szCs w:val="24"/>
                <w:lang w:val="en-US" w:eastAsia="zh-CN" w:bidi="ar-SA"/>
              </w:rPr>
              <w:t>）</w:t>
            </w:r>
            <w:r>
              <w:rPr>
                <w:rFonts w:hint="eastAsia" w:ascii="黑体" w:hAnsi="黑体" w:eastAsia="黑体" w:cs="黑体"/>
                <w:lang w:val="en-US" w:eastAsia="zh-CN"/>
              </w:rPr>
              <w:t>WS2812B可编程灯珠：</w:t>
            </w:r>
            <w:r>
              <w:rPr>
                <w:rFonts w:hint="eastAsia"/>
                <w:lang w:val="en-US" w:eastAsia="zh-CN"/>
              </w:rPr>
              <w:t xml:space="preserve">WS2812B 灯珠是一种集成了 RGB 发光芯片和控制电路的智能全彩LED，每颗灯珠内部都带有独立的驱动 IC，能够通过单线时序实现逐点独立控制。单片机仅需使用一根数据线即可进行颜色与亮度的设置，数据在灯珠间自带级联传输，适合组成灯带或灯阵结构。WS2812B支持 24bit 颜色编码，可呈现 1670 万种颜色，响应速度快，非常适合作为智能疗愈系统的动态灯效模块。在本项目中，STM32 通过精确的时序控制输出数据流，驱动灯珠随音乐或界面状态产生变色、呼吸、流动等效果。 </w:t>
            </w:r>
          </w:p>
          <w:p w14:paraId="227A3BB0">
            <w:pPr>
              <w:pStyle w:val="8"/>
              <w:numPr>
                <w:ilvl w:val="0"/>
                <w:numId w:val="0"/>
              </w:numPr>
              <w:bidi w:val="0"/>
              <w:ind w:left="0" w:leftChars="0" w:right="0" w:rightChars="0" w:firstLine="506" w:firstLineChars="211"/>
              <w:rPr>
                <w:rFonts w:hint="eastAsia"/>
                <w:lang w:val="en-US" w:eastAsia="zh-CN"/>
              </w:rPr>
            </w:pPr>
            <w:r>
              <w:rPr>
                <w:rFonts w:hint="eastAsia" w:ascii="黑体" w:hAnsi="黑体" w:eastAsia="黑体" w:cs="黑体"/>
                <w:kern w:val="2"/>
                <w:sz w:val="24"/>
                <w:szCs w:val="24"/>
                <w:lang w:val="en-US" w:eastAsia="zh-CN" w:bidi="ar-SA"/>
              </w:rPr>
              <w:t>（5）</w:t>
            </w:r>
            <w:r>
              <w:rPr>
                <w:rFonts w:hint="eastAsia" w:ascii="黑体" w:hAnsi="黑体" w:eastAsia="黑体" w:cs="黑体"/>
                <w:lang w:val="en-US" w:eastAsia="zh-CN"/>
              </w:rPr>
              <w:t>数字功放模块：</w:t>
            </w:r>
            <w:r>
              <w:rPr>
                <w:rFonts w:hint="eastAsia"/>
                <w:lang w:val="en-US" w:eastAsia="zh-CN"/>
              </w:rPr>
              <w:t>音频功放模块通过 I2S 接口与 STM32F103 协同工作，负责将单片机输出的数字音频数据转换并放大后驱动喇叭发声。系统中音频文件预先存储在外部 Flash 或 SD 卡中，STM32 通过读取、解码和缓存的方式对音频数据进行简单处理，再以固定采样率通过 I2S 持续发送给功放模块。 功放接收数字音频流后完成内部转换与功率放大，使最终的声音能够稳定输出。</w:t>
            </w:r>
          </w:p>
          <w:p w14:paraId="4AC57AED">
            <w:pPr>
              <w:pStyle w:val="2"/>
              <w:bidi w:val="0"/>
              <w:rPr>
                <w:rFonts w:hint="eastAsia"/>
                <w:lang w:val="en-US" w:eastAsia="zh-CN"/>
              </w:rPr>
            </w:pPr>
            <w:r>
              <w:rPr>
                <w:rFonts w:hint="eastAsia"/>
                <w:lang w:val="en-US" w:eastAsia="zh-CN"/>
              </w:rPr>
              <w:t>进度实施计划</w:t>
            </w:r>
          </w:p>
          <w:p w14:paraId="53D318B0">
            <w:pPr>
              <w:pStyle w:val="8"/>
              <w:bidi w:val="0"/>
              <w:ind w:left="210" w:leftChars="100" w:firstLine="0" w:firstLineChars="0"/>
              <w:rPr>
                <w:rFonts w:hint="eastAsia"/>
                <w:lang w:val="en-US" w:eastAsia="zh-CN"/>
              </w:rPr>
            </w:pPr>
            <w:r>
              <w:rPr>
                <w:rFonts w:hint="eastAsia"/>
                <w:lang w:val="en-US" w:eastAsia="zh-CN"/>
              </w:rPr>
              <w:t>2025.12.15~2025.12.25  收集资料阅读，需求分析与方案设计；</w:t>
            </w:r>
            <w:r>
              <w:rPr>
                <w:rFonts w:hint="eastAsia"/>
                <w:lang w:val="en-US" w:eastAsia="zh-CN"/>
              </w:rPr>
              <w:br w:type="textWrapping"/>
            </w:r>
            <w:r>
              <w:rPr>
                <w:rFonts w:hint="eastAsia"/>
                <w:lang w:val="en-US" w:eastAsia="zh-CN"/>
              </w:rPr>
              <w:t>2025.12.26~2025.01.05  撰写开题报告与答辩ppt，完成开题；</w:t>
            </w:r>
            <w:r>
              <w:rPr>
                <w:rFonts w:hint="eastAsia"/>
                <w:lang w:val="en-US" w:eastAsia="zh-CN"/>
              </w:rPr>
              <w:br w:type="textWrapping"/>
            </w:r>
            <w:r>
              <w:rPr>
                <w:rFonts w:hint="eastAsia"/>
                <w:lang w:val="en-US" w:eastAsia="zh-CN"/>
              </w:rPr>
              <w:t>2025.01.06~2025.01.25  翻译英文材料，确定方案， 完成硬件电路选型与采购；</w:t>
            </w:r>
            <w:r>
              <w:rPr>
                <w:rFonts w:hint="eastAsia"/>
                <w:lang w:val="en-US" w:eastAsia="zh-CN"/>
              </w:rPr>
              <w:br w:type="textWrapping"/>
            </w:r>
            <w:r>
              <w:rPr>
                <w:rFonts w:hint="eastAsia"/>
                <w:lang w:val="en-US" w:eastAsia="zh-CN"/>
              </w:rPr>
              <w:t>2025.01.26~2025.02.25  硬件电路设计、PCB 制作、焊接、功能调试；</w:t>
            </w:r>
            <w:r>
              <w:rPr>
                <w:rFonts w:hint="eastAsia"/>
                <w:lang w:val="en-US" w:eastAsia="zh-CN"/>
              </w:rPr>
              <w:br w:type="textWrapping"/>
            </w:r>
            <w:r>
              <w:rPr>
                <w:rFonts w:hint="eastAsia"/>
                <w:lang w:val="en-US" w:eastAsia="zh-CN"/>
              </w:rPr>
              <w:t>2025.02.26~2025.03.25  嵌入式程序与 APP 开发；</w:t>
            </w:r>
            <w:r>
              <w:rPr>
                <w:rFonts w:hint="eastAsia"/>
                <w:lang w:val="en-US" w:eastAsia="zh-CN"/>
              </w:rPr>
              <w:br w:type="textWrapping"/>
            </w:r>
            <w:r>
              <w:rPr>
                <w:rFonts w:hint="eastAsia"/>
                <w:lang w:val="en-US" w:eastAsia="zh-CN"/>
              </w:rPr>
              <w:t>2025.03.26~2025.04.15  软硬结合功能验证；</w:t>
            </w:r>
            <w:r>
              <w:rPr>
                <w:rFonts w:hint="eastAsia"/>
                <w:lang w:val="en-US" w:eastAsia="zh-CN"/>
              </w:rPr>
              <w:br w:type="textWrapping"/>
            </w:r>
            <w:r>
              <w:rPr>
                <w:rFonts w:hint="eastAsia"/>
                <w:lang w:val="en-US" w:eastAsia="zh-CN"/>
              </w:rPr>
              <w:t>2025.04.16~2025.05.05  验证指标，性能优化，完成设计成果；</w:t>
            </w:r>
            <w:r>
              <w:rPr>
                <w:rFonts w:hint="eastAsia"/>
                <w:lang w:val="en-US" w:eastAsia="zh-CN"/>
              </w:rPr>
              <w:br w:type="textWrapping"/>
            </w:r>
            <w:r>
              <w:rPr>
                <w:rFonts w:hint="eastAsia"/>
                <w:lang w:val="en-US" w:eastAsia="zh-CN"/>
              </w:rPr>
              <w:t>2025.05.06~2025.05.15  文档汇总，撰写毕业论文；</w:t>
            </w:r>
            <w:r>
              <w:rPr>
                <w:rFonts w:hint="eastAsia"/>
                <w:lang w:val="en-US" w:eastAsia="zh-CN"/>
              </w:rPr>
              <w:br w:type="textWrapping"/>
            </w:r>
            <w:r>
              <w:rPr>
                <w:rFonts w:hint="eastAsia"/>
                <w:lang w:val="en-US" w:eastAsia="zh-CN"/>
              </w:rPr>
              <w:t>2025.05.16~2025.05.25  论文修改，整理文档资料，完成答辩。</w:t>
            </w:r>
          </w:p>
          <w:p w14:paraId="6466F705">
            <w:pPr>
              <w:pStyle w:val="2"/>
              <w:bidi w:val="0"/>
              <w:rPr>
                <w:rFonts w:hint="eastAsia"/>
                <w:lang w:val="en-US" w:eastAsia="zh-CN"/>
              </w:rPr>
            </w:pPr>
            <w:r>
              <w:rPr>
                <w:rFonts w:hint="eastAsia"/>
                <w:lang w:val="en-US" w:eastAsia="zh-CN"/>
              </w:rPr>
              <w:t>预期提交的毕业设计资料</w:t>
            </w:r>
          </w:p>
          <w:p w14:paraId="066457C8">
            <w:pPr>
              <w:pStyle w:val="8"/>
              <w:bidi w:val="0"/>
            </w:pPr>
            <w:r>
              <w:rPr>
                <w:rFonts w:hint="eastAsia"/>
                <w:lang w:val="en-US" w:eastAsia="zh-CN"/>
              </w:rPr>
              <w:t xml:space="preserve">1、毕业设计开题报告一份； </w:t>
            </w:r>
          </w:p>
          <w:p w14:paraId="6B713D91">
            <w:pPr>
              <w:pStyle w:val="8"/>
              <w:bidi w:val="0"/>
            </w:pPr>
            <w:r>
              <w:rPr>
                <w:rFonts w:hint="eastAsia"/>
                <w:lang w:val="en-US" w:eastAsia="zh-CN"/>
              </w:rPr>
              <w:t xml:space="preserve">2、英文翻译材料一份（包括不少于 6000 字符的英文原文和译文）； </w:t>
            </w:r>
          </w:p>
          <w:p w14:paraId="01014BC1">
            <w:pPr>
              <w:pStyle w:val="8"/>
              <w:bidi w:val="0"/>
            </w:pPr>
            <w:r>
              <w:rPr>
                <w:rFonts w:hint="eastAsia"/>
                <w:lang w:val="en-US" w:eastAsia="zh-CN"/>
              </w:rPr>
              <w:t xml:space="preserve">3、毕业论文一份（二万汉字以上，附中英文摘要，其中英文摘要 300～500 单 </w:t>
            </w:r>
          </w:p>
          <w:p w14:paraId="33790066">
            <w:pPr>
              <w:pStyle w:val="8"/>
              <w:bidi w:val="0"/>
            </w:pPr>
            <w:r>
              <w:rPr>
                <w:rFonts w:hint="eastAsia"/>
                <w:lang w:val="en-US" w:eastAsia="zh-CN"/>
              </w:rPr>
              <w:t xml:space="preserve">词）； </w:t>
            </w:r>
          </w:p>
          <w:p w14:paraId="77535CD0">
            <w:pPr>
              <w:pStyle w:val="8"/>
              <w:numPr>
                <w:ilvl w:val="0"/>
                <w:numId w:val="7"/>
              </w:numPr>
              <w:bidi w:val="0"/>
              <w:rPr>
                <w:rFonts w:hint="eastAsia"/>
                <w:lang w:val="en-US" w:eastAsia="zh-CN"/>
              </w:rPr>
            </w:pPr>
            <w:r>
              <w:rPr>
                <w:rFonts w:hint="eastAsia"/>
                <w:lang w:val="en-US" w:eastAsia="zh-CN"/>
              </w:rPr>
              <w:t>本系统软件、源程序清单、硬件电路图纸等技术资料一套；</w:t>
            </w:r>
          </w:p>
          <w:p w14:paraId="503D9474">
            <w:pPr>
              <w:pStyle w:val="8"/>
              <w:numPr>
                <w:ilvl w:val="0"/>
                <w:numId w:val="7"/>
              </w:numPr>
              <w:bidi w:val="0"/>
              <w:rPr>
                <w:rFonts w:ascii="宋体" w:hAnsi="宋体"/>
                <w:szCs w:val="21"/>
              </w:rPr>
            </w:pPr>
            <w:r>
              <w:rPr>
                <w:rFonts w:hint="eastAsia"/>
                <w:lang w:val="en-US" w:eastAsia="zh-CN"/>
              </w:rPr>
              <w:t>毕业作品一份。</w:t>
            </w:r>
          </w:p>
          <w:p w14:paraId="5DC2DB86">
            <w:pPr>
              <w:pStyle w:val="8"/>
              <w:numPr>
                <w:numId w:val="0"/>
              </w:numPr>
              <w:bidi w:val="0"/>
              <w:ind w:leftChars="211" w:right="0" w:rightChars="0"/>
              <w:rPr>
                <w:rFonts w:ascii="宋体" w:hAnsi="宋体"/>
                <w:szCs w:val="21"/>
              </w:rPr>
            </w:pPr>
            <w:bookmarkStart w:id="0" w:name="_GoBack"/>
            <w:bookmarkEnd w:id="0"/>
          </w:p>
        </w:tc>
      </w:tr>
      <w:tr w14:paraId="05CD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8953" w:type="dxa"/>
            <w:vAlign w:val="center"/>
          </w:tcPr>
          <w:p w14:paraId="55284ADF">
            <w:pPr>
              <w:rPr>
                <w:sz w:val="28"/>
                <w:szCs w:val="28"/>
              </w:rPr>
            </w:pPr>
            <w:r>
              <w:rPr>
                <w:rFonts w:hint="eastAsia"/>
                <w:bCs/>
                <w:sz w:val="28"/>
                <w:szCs w:val="28"/>
              </w:rPr>
              <w:t>指导教师意见</w:t>
            </w:r>
            <w:r>
              <w:rPr>
                <w:rFonts w:hint="eastAsia"/>
                <w:bCs/>
                <w:color w:val="FF0000"/>
                <w:sz w:val="28"/>
                <w:szCs w:val="28"/>
              </w:rPr>
              <w:t>（签字页单独一页/打印前删掉红色字体）</w:t>
            </w:r>
          </w:p>
        </w:tc>
      </w:tr>
      <w:tr w14:paraId="7040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3" w:hRule="atLeast"/>
          <w:jc w:val="center"/>
        </w:trPr>
        <w:tc>
          <w:tcPr>
            <w:tcW w:w="8953" w:type="dxa"/>
          </w:tcPr>
          <w:p w14:paraId="2B6C3E74">
            <w:pPr>
              <w:rPr>
                <w:sz w:val="24"/>
              </w:rPr>
            </w:pPr>
          </w:p>
          <w:p w14:paraId="72A4B58A">
            <w:pPr>
              <w:rPr>
                <w:sz w:val="24"/>
              </w:rPr>
            </w:pPr>
          </w:p>
          <w:p w14:paraId="33D56153">
            <w:pPr>
              <w:rPr>
                <w:sz w:val="24"/>
              </w:rPr>
            </w:pPr>
          </w:p>
          <w:p w14:paraId="1C03801A">
            <w:pPr>
              <w:rPr>
                <w:sz w:val="24"/>
              </w:rPr>
            </w:pPr>
          </w:p>
          <w:p w14:paraId="4D561BD8">
            <w:pPr>
              <w:rPr>
                <w:sz w:val="24"/>
              </w:rPr>
            </w:pPr>
          </w:p>
          <w:p w14:paraId="7B77025C">
            <w:pPr>
              <w:rPr>
                <w:sz w:val="24"/>
              </w:rPr>
            </w:pPr>
          </w:p>
          <w:p w14:paraId="1FA27BE9">
            <w:pPr>
              <w:rPr>
                <w:sz w:val="24"/>
              </w:rPr>
            </w:pPr>
          </w:p>
          <w:p w14:paraId="3778501E">
            <w:pPr>
              <w:rPr>
                <w:sz w:val="24"/>
              </w:rPr>
            </w:pPr>
          </w:p>
          <w:p w14:paraId="1DA66AC3">
            <w:pPr>
              <w:rPr>
                <w:rFonts w:ascii="宋体" w:hAnsi="宋体"/>
                <w:sz w:val="28"/>
              </w:rPr>
            </w:pPr>
            <w:r>
              <w:rPr>
                <w:rFonts w:hint="eastAsia"/>
              </w:rPr>
              <w:t xml:space="preserve">                                            </w:t>
            </w:r>
            <w:r>
              <w:rPr>
                <w:rFonts w:hint="eastAsia" w:ascii="宋体" w:hAnsi="宋体"/>
                <w:sz w:val="28"/>
              </w:rPr>
              <w:t>指导教师：</w:t>
            </w:r>
            <w:r>
              <w:rPr>
                <w:rFonts w:hint="eastAsia" w:ascii="宋体" w:hAnsi="宋体"/>
                <w:color w:val="FF0000"/>
                <w:sz w:val="28"/>
              </w:rPr>
              <w:t>需要第二指导老师签字</w:t>
            </w:r>
          </w:p>
          <w:p w14:paraId="145A88D8">
            <w:pPr>
              <w:ind w:right="280"/>
              <w:jc w:val="right"/>
              <w:rPr>
                <w:rFonts w:ascii="宋体" w:hAnsi="宋体"/>
                <w:szCs w:val="21"/>
              </w:rPr>
            </w:pPr>
            <w:r>
              <w:rPr>
                <w:rFonts w:hint="eastAsia" w:ascii="宋体" w:hAnsi="宋体"/>
                <w:sz w:val="28"/>
                <w:szCs w:val="28"/>
              </w:rPr>
              <w:t xml:space="preserve">年   月   日 </w:t>
            </w:r>
          </w:p>
        </w:tc>
      </w:tr>
      <w:tr w14:paraId="2A6A9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8953" w:type="dxa"/>
          </w:tcPr>
          <w:p w14:paraId="751464C3">
            <w:pPr>
              <w:rPr>
                <w:rFonts w:ascii="宋体" w:hAnsi="宋体"/>
                <w:sz w:val="28"/>
              </w:rPr>
            </w:pPr>
            <w:r>
              <w:rPr>
                <w:rFonts w:hint="eastAsia" w:ascii="宋体" w:hAnsi="宋体"/>
                <w:sz w:val="28"/>
              </w:rPr>
              <w:t>开题小组意见</w:t>
            </w:r>
          </w:p>
        </w:tc>
      </w:tr>
      <w:tr w14:paraId="65A83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8953" w:type="dxa"/>
          </w:tcPr>
          <w:p w14:paraId="5597A665">
            <w:pPr>
              <w:ind w:firstLine="480" w:firstLineChars="200"/>
              <w:rPr>
                <w:rFonts w:ascii="宋体" w:hAnsi="宋体"/>
                <w:sz w:val="24"/>
              </w:rPr>
            </w:pPr>
          </w:p>
          <w:p w14:paraId="35D760A3">
            <w:pPr>
              <w:rPr>
                <w:rFonts w:ascii="宋体" w:hAnsi="宋体"/>
                <w:sz w:val="24"/>
              </w:rPr>
            </w:pPr>
          </w:p>
          <w:p w14:paraId="22A30EEE">
            <w:pPr>
              <w:rPr>
                <w:rFonts w:ascii="宋体" w:hAnsi="宋体"/>
                <w:sz w:val="24"/>
              </w:rPr>
            </w:pPr>
          </w:p>
          <w:p w14:paraId="64807F66">
            <w:pPr>
              <w:rPr>
                <w:rFonts w:ascii="宋体" w:hAnsi="宋体"/>
                <w:sz w:val="24"/>
              </w:rPr>
            </w:pPr>
          </w:p>
          <w:p w14:paraId="30A45C13">
            <w:pPr>
              <w:rPr>
                <w:rFonts w:ascii="宋体" w:hAnsi="宋体"/>
                <w:sz w:val="24"/>
              </w:rPr>
            </w:pPr>
          </w:p>
          <w:p w14:paraId="2C6D0D96">
            <w:pPr>
              <w:rPr>
                <w:rFonts w:ascii="宋体" w:hAnsi="宋体"/>
                <w:sz w:val="24"/>
              </w:rPr>
            </w:pPr>
          </w:p>
          <w:p w14:paraId="6EAEEE4F">
            <w:pPr>
              <w:rPr>
                <w:rFonts w:ascii="宋体" w:hAnsi="宋体"/>
                <w:sz w:val="24"/>
              </w:rPr>
            </w:pPr>
          </w:p>
          <w:p w14:paraId="47F93D17">
            <w:pPr>
              <w:ind w:firstLine="280" w:firstLineChars="100"/>
              <w:jc w:val="center"/>
              <w:rPr>
                <w:rFonts w:ascii="宋体" w:hAnsi="宋体"/>
                <w:sz w:val="28"/>
              </w:rPr>
            </w:pPr>
            <w:r>
              <w:rPr>
                <w:rFonts w:hint="eastAsia" w:ascii="宋体" w:hAnsi="宋体"/>
                <w:sz w:val="28"/>
              </w:rPr>
              <w:t xml:space="preserve">           开题小组组长签字：              </w:t>
            </w:r>
          </w:p>
          <w:p w14:paraId="3FA986E1">
            <w:pPr>
              <w:wordWrap w:val="0"/>
              <w:jc w:val="right"/>
              <w:rPr>
                <w:rFonts w:ascii="宋体" w:hAnsi="宋体"/>
                <w:sz w:val="28"/>
                <w:szCs w:val="28"/>
              </w:rPr>
            </w:pPr>
            <w:r>
              <w:rPr>
                <w:rFonts w:hint="eastAsia" w:ascii="宋体" w:hAnsi="宋体"/>
                <w:sz w:val="28"/>
                <w:szCs w:val="28"/>
              </w:rPr>
              <w:t xml:space="preserve">年   月   日  </w:t>
            </w:r>
          </w:p>
        </w:tc>
      </w:tr>
      <w:tr w14:paraId="729B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8953" w:type="dxa"/>
          </w:tcPr>
          <w:p w14:paraId="009F1955">
            <w:pPr>
              <w:rPr>
                <w:rFonts w:ascii="宋体" w:hAnsi="宋体"/>
                <w:sz w:val="28"/>
              </w:rPr>
            </w:pPr>
            <w:r>
              <w:rPr>
                <w:rFonts w:hint="eastAsia" w:ascii="宋体" w:hAnsi="宋体"/>
                <w:sz w:val="28"/>
              </w:rPr>
              <w:t>院系审核意见</w:t>
            </w:r>
          </w:p>
        </w:tc>
      </w:tr>
      <w:tr w14:paraId="167B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6" w:hRule="atLeast"/>
          <w:jc w:val="center"/>
        </w:trPr>
        <w:tc>
          <w:tcPr>
            <w:tcW w:w="8953" w:type="dxa"/>
          </w:tcPr>
          <w:p w14:paraId="535AA59A">
            <w:pPr>
              <w:ind w:firstLine="480" w:firstLineChars="200"/>
              <w:rPr>
                <w:rFonts w:ascii="宋体" w:hAnsi="宋体"/>
                <w:sz w:val="24"/>
              </w:rPr>
            </w:pPr>
          </w:p>
          <w:p w14:paraId="578FE5D4">
            <w:pPr>
              <w:jc w:val="right"/>
              <w:rPr>
                <w:rFonts w:ascii="宋体" w:hAnsi="宋体"/>
                <w:sz w:val="28"/>
              </w:rPr>
            </w:pPr>
          </w:p>
          <w:p w14:paraId="4670CA89">
            <w:pPr>
              <w:rPr>
                <w:rFonts w:ascii="宋体" w:hAnsi="宋体"/>
                <w:sz w:val="28"/>
              </w:rPr>
            </w:pPr>
          </w:p>
          <w:p w14:paraId="7016BF69">
            <w:pPr>
              <w:jc w:val="right"/>
              <w:rPr>
                <w:rFonts w:ascii="宋体" w:hAnsi="宋体"/>
                <w:sz w:val="28"/>
              </w:rPr>
            </w:pPr>
          </w:p>
          <w:p w14:paraId="33BA1096">
            <w:pPr>
              <w:jc w:val="right"/>
              <w:rPr>
                <w:rFonts w:ascii="宋体" w:hAnsi="宋体"/>
                <w:sz w:val="28"/>
              </w:rPr>
            </w:pPr>
          </w:p>
          <w:p w14:paraId="041B24A3">
            <w:pPr>
              <w:ind w:right="560" w:firstLine="4200" w:firstLineChars="1500"/>
              <w:rPr>
                <w:rFonts w:ascii="宋体" w:hAnsi="宋体"/>
                <w:sz w:val="28"/>
              </w:rPr>
            </w:pPr>
            <w:r>
              <w:rPr>
                <w:rFonts w:hint="eastAsia" w:ascii="宋体" w:hAnsi="宋体"/>
                <w:sz w:val="28"/>
              </w:rPr>
              <w:t>院系主管领导签字：</w:t>
            </w:r>
          </w:p>
          <w:p w14:paraId="20592209">
            <w:pPr>
              <w:ind w:right="280"/>
              <w:jc w:val="right"/>
              <w:rPr>
                <w:rFonts w:ascii="宋体" w:hAnsi="宋体"/>
                <w:szCs w:val="21"/>
              </w:rPr>
            </w:pPr>
            <w:r>
              <w:rPr>
                <w:rFonts w:hint="eastAsia" w:ascii="宋体" w:hAnsi="宋体"/>
                <w:sz w:val="28"/>
                <w:szCs w:val="28"/>
              </w:rPr>
              <w:t xml:space="preserve">年   月   日 </w:t>
            </w:r>
          </w:p>
        </w:tc>
      </w:tr>
    </w:tbl>
    <w:p w14:paraId="2DBE8892"/>
    <w:sectPr>
      <w:headerReference r:id="rId8" w:type="first"/>
      <w:headerReference r:id="rId6" w:type="default"/>
      <w:headerReference r:id="rId7" w:type="even"/>
      <w:pgSz w:w="11906" w:h="16838"/>
      <w:pgMar w:top="1134" w:right="1418" w:bottom="1134" w:left="1418"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F8685">
    <w:pPr>
      <w:jc w:val="center"/>
      <w:rPr>
        <w:rFonts w:ascii="宋体" w:hAnsi="宋体"/>
        <w:bCs/>
        <w:sz w:val="36"/>
        <w:szCs w:val="36"/>
      </w:rPr>
    </w:pPr>
  </w:p>
  <w:p w14:paraId="171897A7">
    <w:r>
      <w:pict>
        <v:shape id="_x0000_s4098" o:spid="_x0000_s4098" o:spt="136" type="#_x0000_t136" style="position:absolute;left:0pt;height:100pt;width:500pt;mso-position-horizontal:center;mso-position-horizontal-relative:page;mso-position-vertical:center;mso-position-vertical-relative:page;rotation:-2621440f;z-index:251659264;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05702">
    <w:pPr>
      <w:jc w:val="center"/>
      <w:rPr>
        <w:rFonts w:ascii="宋体" w:hAnsi="宋体"/>
        <w:bCs/>
        <w:sz w:val="36"/>
        <w:szCs w:val="36"/>
      </w:rPr>
    </w:pPr>
    <w:r>
      <w:rPr>
        <w:rFonts w:hint="eastAsia" w:ascii="宋体" w:hAnsi="宋体"/>
        <w:bCs/>
        <w:sz w:val="36"/>
        <w:szCs w:val="36"/>
      </w:rPr>
      <w:t>毕业设计（论文）开题报告</w:t>
    </w:r>
  </w:p>
  <w:p w14:paraId="3456DAF8">
    <w:r>
      <w:pict>
        <v:shape id="_x0000_s4101" o:spid="_x0000_s4101" o:spt="136" type="#_x0000_t136" style="position:absolute;left:0pt;height:100pt;width:500pt;mso-position-horizontal:center;mso-position-horizontal-relative:page;mso-position-vertical:center;mso-position-vertical-relative:page;rotation:-2621440f;z-index:251660288;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EEB4B">
    <w:r>
      <w:pict>
        <v:shape id="_x0000_s4102" o:spid="_x0000_s4102" o:spt="136" type="#_x0000_t136" style="position:absolute;left:0pt;height:100pt;width:500pt;mso-position-horizontal:center;mso-position-horizontal-relative:page;mso-position-vertical:center;mso-position-vertical-relative:page;rotation:-2621440f;z-index:251662336;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D8D66">
    <w:r>
      <w:pict>
        <v:shape id="_x0000_s4100" o:spid="_x0000_s4100" o:spt="136" type="#_x0000_t136" style="position:absolute;left:0pt;height:100pt;width:500pt;mso-position-horizontal:center;mso-position-horizontal-relative:page;mso-position-vertical:center;mso-position-vertical-relative:page;rotation:-2621440f;z-index:251661312;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EA6EAC"/>
    <w:multiLevelType w:val="singleLevel"/>
    <w:tmpl w:val="EFEA6EAC"/>
    <w:lvl w:ilvl="0" w:tentative="0">
      <w:start w:val="4"/>
      <w:numFmt w:val="decimal"/>
      <w:suff w:val="nothing"/>
      <w:lvlText w:val="%1、"/>
      <w:lvlJc w:val="left"/>
    </w:lvl>
  </w:abstractNum>
  <w:abstractNum w:abstractNumId="1">
    <w:nsid w:val="FAC08C80"/>
    <w:multiLevelType w:val="singleLevel"/>
    <w:tmpl w:val="FAC08C80"/>
    <w:lvl w:ilvl="0" w:tentative="0">
      <w:start w:val="1"/>
      <w:numFmt w:val="decimal"/>
      <w:pStyle w:val="10"/>
      <w:lvlText w:val="[%1] "/>
      <w:lvlJc w:val="right"/>
      <w:pPr>
        <w:tabs>
          <w:tab w:val="left" w:pos="454"/>
        </w:tabs>
        <w:ind w:left="210" w:leftChars="0" w:hanging="170" w:firstLineChars="0"/>
      </w:pPr>
      <w:rPr>
        <w:rFonts w:hint="default"/>
      </w:rPr>
    </w:lvl>
  </w:abstractNum>
  <w:abstractNum w:abstractNumId="2">
    <w:nsid w:val="16792281"/>
    <w:multiLevelType w:val="singleLevel"/>
    <w:tmpl w:val="16792281"/>
    <w:lvl w:ilvl="0" w:tentative="0">
      <w:start w:val="1"/>
      <w:numFmt w:val="decimal"/>
      <w:pStyle w:val="11"/>
      <w:lvlText w:val="[%1] "/>
      <w:lvlJc w:val="left"/>
      <w:pPr>
        <w:tabs>
          <w:tab w:val="left" w:pos="840"/>
        </w:tabs>
        <w:ind w:left="845" w:hanging="425"/>
      </w:pPr>
      <w:rPr>
        <w:rFonts w:hint="default"/>
      </w:rPr>
    </w:lvl>
  </w:abstractNum>
  <w:abstractNum w:abstractNumId="3">
    <w:nsid w:val="178F707A"/>
    <w:multiLevelType w:val="singleLevel"/>
    <w:tmpl w:val="178F707A"/>
    <w:lvl w:ilvl="0" w:tentative="0">
      <w:start w:val="1"/>
      <w:numFmt w:val="decimal"/>
      <w:lvlText w:val="(%1)"/>
      <w:lvlJc w:val="left"/>
      <w:pPr>
        <w:tabs>
          <w:tab w:val="left" w:pos="840"/>
        </w:tabs>
        <w:ind w:left="845" w:hanging="425"/>
      </w:pPr>
      <w:rPr>
        <w:rFonts w:hint="default"/>
        <w:color w:val="auto"/>
      </w:rPr>
    </w:lvl>
  </w:abstractNum>
  <w:abstractNum w:abstractNumId="4">
    <w:nsid w:val="1F89D322"/>
    <w:multiLevelType w:val="singleLevel"/>
    <w:tmpl w:val="1F89D322"/>
    <w:lvl w:ilvl="0" w:tentative="0">
      <w:start w:val="1"/>
      <w:numFmt w:val="decimal"/>
      <w:lvlText w:val="(%1)"/>
      <w:lvlJc w:val="left"/>
      <w:pPr>
        <w:tabs>
          <w:tab w:val="left" w:pos="840"/>
        </w:tabs>
        <w:ind w:left="845" w:hanging="425"/>
      </w:pPr>
      <w:rPr>
        <w:rFonts w:hint="default"/>
        <w:color w:val="auto"/>
      </w:rPr>
    </w:lvl>
  </w:abstractNum>
  <w:abstractNum w:abstractNumId="5">
    <w:nsid w:val="308AFC5E"/>
    <w:multiLevelType w:val="singleLevel"/>
    <w:tmpl w:val="308AFC5E"/>
    <w:lvl w:ilvl="0" w:tentative="0">
      <w:start w:val="1"/>
      <w:numFmt w:val="decimal"/>
      <w:lvlText w:val="(%1)"/>
      <w:lvlJc w:val="left"/>
      <w:pPr>
        <w:tabs>
          <w:tab w:val="left" w:pos="840"/>
        </w:tabs>
        <w:ind w:left="845" w:hanging="425"/>
      </w:pPr>
      <w:rPr>
        <w:rFonts w:hint="default"/>
        <w:color w:val="auto"/>
      </w:rPr>
    </w:lvl>
  </w:abstractNum>
  <w:abstractNum w:abstractNumId="6">
    <w:nsid w:val="4DD4DC09"/>
    <w:multiLevelType w:val="singleLevel"/>
    <w:tmpl w:val="4DD4DC09"/>
    <w:lvl w:ilvl="0" w:tentative="0">
      <w:start w:val="1"/>
      <w:numFmt w:val="decimal"/>
      <w:lvlText w:val="(%1)"/>
      <w:lvlJc w:val="left"/>
      <w:pPr>
        <w:tabs>
          <w:tab w:val="left" w:pos="840"/>
        </w:tabs>
        <w:ind w:left="845" w:hanging="425"/>
      </w:pPr>
      <w:rPr>
        <w:rFonts w:hint="default"/>
        <w:color w:val="auto"/>
      </w:rPr>
    </w:lvl>
  </w:abstractNum>
  <w:num w:numId="1">
    <w:abstractNumId w:val="1"/>
  </w:num>
  <w:num w:numId="2">
    <w:abstractNumId w:val="2"/>
  </w:num>
  <w:num w:numId="3">
    <w:abstractNumId w:val="4"/>
  </w:num>
  <w:num w:numId="4">
    <w:abstractNumId w:val="5"/>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FhZGY0ZTViYWQyN2I0ZGJhNDk0OThkMjNkNmQ2MDYifQ=="/>
  </w:docVars>
  <w:rsids>
    <w:rsidRoot w:val="00960CE3"/>
    <w:rsid w:val="003F438A"/>
    <w:rsid w:val="00960CE3"/>
    <w:rsid w:val="00965FDC"/>
    <w:rsid w:val="00B738DE"/>
    <w:rsid w:val="00BF44D3"/>
    <w:rsid w:val="00DB65F6"/>
    <w:rsid w:val="018B7A31"/>
    <w:rsid w:val="053C11E9"/>
    <w:rsid w:val="05942874"/>
    <w:rsid w:val="09837EDC"/>
    <w:rsid w:val="1CCD3946"/>
    <w:rsid w:val="3B371D96"/>
    <w:rsid w:val="3B702E61"/>
    <w:rsid w:val="42484C5C"/>
    <w:rsid w:val="44472BCC"/>
    <w:rsid w:val="48C460B4"/>
    <w:rsid w:val="5B3A03AC"/>
    <w:rsid w:val="5F196271"/>
    <w:rsid w:val="704E3A0C"/>
    <w:rsid w:val="7A320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val="0"/>
      <w:keepLines/>
      <w:widowControl/>
      <w:spacing w:before="60" w:beforeLines="0" w:beforeAutospacing="0" w:after="40" w:afterLines="0" w:afterAutospacing="0" w:line="240" w:lineRule="auto"/>
      <w:jc w:val="left"/>
      <w:outlineLvl w:val="0"/>
    </w:pPr>
    <w:rPr>
      <w:rFonts w:eastAsia="黑体"/>
      <w:kern w:val="44"/>
      <w:sz w:val="28"/>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Body Text Indent"/>
    <w:basedOn w:val="1"/>
    <w:link w:val="7"/>
    <w:qFormat/>
    <w:uiPriority w:val="0"/>
    <w:pPr>
      <w:spacing w:line="440" w:lineRule="exact"/>
      <w:ind w:left="0" w:hanging="538" w:hangingChars="192"/>
    </w:pPr>
    <w:rPr>
      <w:sz w:val="28"/>
    </w:rPr>
  </w:style>
  <w:style w:type="character" w:customStyle="1" w:styleId="7">
    <w:name w:val="正文文本缩进 Char"/>
    <w:link w:val="4"/>
    <w:uiPriority w:val="0"/>
    <w:rPr>
      <w:rFonts w:eastAsia="宋体"/>
      <w:sz w:val="28"/>
    </w:rPr>
  </w:style>
  <w:style w:type="paragraph" w:customStyle="1" w:styleId="8">
    <w:name w:val="正文1"/>
    <w:basedOn w:val="1"/>
    <w:link w:val="9"/>
    <w:qFormat/>
    <w:uiPriority w:val="0"/>
    <w:pPr>
      <w:spacing w:line="440" w:lineRule="exact"/>
      <w:ind w:left="0" w:leftChars="0" w:right="0" w:rightChars="0" w:firstLine="443" w:firstLineChars="211"/>
    </w:pPr>
    <w:rPr>
      <w:rFonts w:hint="eastAsia"/>
      <w:sz w:val="24"/>
    </w:rPr>
  </w:style>
  <w:style w:type="character" w:customStyle="1" w:styleId="9">
    <w:name w:val="正文1 Char"/>
    <w:link w:val="8"/>
    <w:qFormat/>
    <w:uiPriority w:val="0"/>
    <w:rPr>
      <w:rFonts w:hint="eastAsia" w:eastAsia="宋体"/>
      <w:sz w:val="24"/>
    </w:rPr>
  </w:style>
  <w:style w:type="paragraph" w:customStyle="1" w:styleId="10">
    <w:name w:val="文献"/>
    <w:basedOn w:val="1"/>
    <w:uiPriority w:val="0"/>
    <w:pPr>
      <w:numPr>
        <w:ilvl w:val="0"/>
        <w:numId w:val="1"/>
      </w:numPr>
      <w:spacing w:line="440" w:lineRule="exact"/>
      <w:ind w:left="210" w:leftChars="0" w:hanging="170" w:firstLineChars="0"/>
      <w:jc w:val="left"/>
    </w:pPr>
  </w:style>
  <w:style w:type="paragraph" w:customStyle="1" w:styleId="11">
    <w:name w:val="毕业论文1"/>
    <w:basedOn w:val="2"/>
    <w:uiPriority w:val="99"/>
    <w:pPr>
      <w:numPr>
        <w:ilvl w:val="0"/>
        <w:numId w:val="2"/>
      </w:numPr>
      <w:spacing w:before="25" w:beforeLines="25" w:after="25" w:afterLines="25"/>
      <w:jc w:val="left"/>
    </w:pPr>
    <w:rPr>
      <w:rFonts w:ascii="黑体" w:hAnsi="黑体" w:eastAsia="宋体" w:cs="黑体"/>
      <w:sz w:val="21"/>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8"/>
    <customShpInfo spid="_x0000_s4101"/>
    <customShpInfo spid="_x0000_s4102"/>
    <customShpInfo spid="_x0000_s4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3537</Words>
  <Characters>5013</Characters>
  <Lines>5</Lines>
  <Paragraphs>1</Paragraphs>
  <TotalTime>74</TotalTime>
  <ScaleCrop>false</ScaleCrop>
  <LinksUpToDate>false</LinksUpToDate>
  <CharactersWithSpaces>5223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2024-06-20T08:45:00Z</dcterms:created>
  <dc:creator>Administrator</dc:creator>
  <cp:lastModifiedBy>追光</cp:lastModifiedBy>
  <dcterms:modified xsi:type="dcterms:W3CDTF">2025-12-23T16:34:08Z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9D80913FEFFD404CBED54DE4EAB14BEA_12</vt:lpwstr>
  </property>
  <property fmtid="{D5CDD505-2E9C-101B-9397-08002B2CF9AE}" pid="4" name="KSOTemplateDocerSaveRecord">
    <vt:lpwstr>eyJoZGlkIjoiYjZlN2ZiY2VjYmY2OTZmNzdhYjBmMGNkYTQxYjI5Y2EiLCJ1c2VySWQiOiI4NDU5OTU3MjAifQ==</vt:lpwstr>
  </property>
</Properties>
</file>