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mbria" w:cs="Cambria" w:eastAsia="Cambria" w:hAnsi="Cambria"/>
          <w:b/>
          <w:bCs/>
          <w:color w:val="23211C"/>
          <w:spacing w:val="30"/>
          <w:sz w:val="52"/>
          <w:szCs w:val="52"/>
        </w:rPr>
        <w:t xml:space="preserve">BRUNTSFIELD CAPITAL</w:t>
      </w:r>
    </w:p>
    <w:p>
      <w:pPr>
        <w:spacing w:after="560" w:before="60"/>
        <w:jc w:val="center"/>
      </w:pPr>
      <w:r>
        <w:rPr>
          <w:rFonts w:ascii="Calibri" w:cs="Calibri" w:eastAsia="Calibri" w:hAnsi="Calibri"/>
          <w:b/>
          <w:bCs/>
          <w:color w:val="8F7647"/>
          <w:spacing w:val="80"/>
          <w:sz w:val="22"/>
          <w:szCs w:val="22"/>
        </w:rPr>
        <w:t xml:space="preserve">ADVISORY</w:t>
      </w:r>
    </w:p>
    <w:p>
      <w:pPr>
        <w:spacing w:after="0"/>
        <w:jc w:val="center"/>
      </w:pPr>
      <w:r>
        <w:rPr>
          <w:rFonts w:ascii="Cambria" w:cs="Cambria" w:eastAsia="Cambria" w:hAnsi="Cambria"/>
          <w:b/>
          <w:bCs/>
          <w:color w:val="1C3A52"/>
          <w:sz w:val="74"/>
          <w:szCs w:val="74"/>
        </w:rPr>
        <w:t xml:space="preserve">The Sales Egoist</w:t>
      </w:r>
    </w:p>
    <w:p>
      <w:pPr>
        <w:spacing w:after="0" w:before="220"/>
        <w:jc w:val="center"/>
      </w:pPr>
      <w:r>
        <w:rPr>
          <w:rFonts w:ascii="Calibri" w:cs="Calibri" w:eastAsia="Calibri" w:hAnsi="Calibri"/>
          <w:color w:val="33312B"/>
          <w:sz w:val="24"/>
          <w:szCs w:val="24"/>
        </w:rPr>
        <w:t xml:space="preserve">The Bruntsfield Doctrine for Capital-Markets Technology Sales</w:t>
      </w:r>
    </w:p>
    <w:p>
      <w:pPr>
        <w:spacing w:after="0" w:before="60"/>
        <w:jc w:val="center"/>
      </w:pPr>
      <w:r>
        <w:rPr>
          <w:rFonts w:ascii="Cambria" w:cs="Cambria" w:eastAsia="Cambria" w:hAnsi="Cambria"/>
          <w:color w:val="6E6A60"/>
          <w:sz w:val="22"/>
          <w:szCs w:val="22"/>
        </w:rPr>
        <w:t xml:space="preserve">A belief, and an ego of our own.</w:t>
      </w:r>
    </w:p>
    <w:p>
      <w:pPr>
        <w:spacing w:after="0" w:before="1700"/>
        <w:jc w:val="center"/>
      </w:pPr>
      <w:r>
        <w:rPr>
          <w:rFonts w:ascii="Calibri" w:cs="Calibri" w:eastAsia="Calibri" w:hAnsi="Calibri"/>
          <w:color w:val="6E6A60"/>
          <w:spacing w:val="20"/>
          <w:sz w:val="18"/>
          <w:szCs w:val="18"/>
        </w:rPr>
        <w:t xml:space="preserve">Master Curriculum  ·  for the Bruntsfield Advisory Programme</w:t>
      </w:r>
    </w:p>
    <w:p>
      <w:pPr>
        <w:pStyle w:val="Heading1"/>
        <w:pageBreakBefore/>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ageBreakBefore/>
        <w:spacing w:after="0" w:before="0"/>
      </w:pPr>
      <w:r>
        <w:rPr>
          <w:rFonts w:ascii="Calibri" w:cs="Calibri" w:eastAsia="Calibri" w:hAnsi="Calibri"/>
          <w:b/>
          <w:bCs/>
          <w:color w:val="8F7647"/>
          <w:spacing w:val="30"/>
          <w:sz w:val="18"/>
          <w:szCs w:val="18"/>
        </w:rPr>
        <w:t xml:space="preserve">THE DOCTRINE AND THE TERRAIN</w:t>
      </w:r>
    </w:p>
    <w:p>
      <w:pPr>
        <w:pStyle w:val="Heading1"/>
        <w:spacing w:after="150" w:before="40"/>
      </w:pPr>
      <w:r>
        <w:t xml:space="preserve">Part One — Foundations</w:t>
      </w:r>
    </w:p>
    <w:p>
      <w:pPr>
        <w:spacing w:after="170" w:line="300"/>
      </w:pPr>
      <w:r>
        <w:rPr>
          <w:rFonts w:ascii="Cambria" w:cs="Cambria" w:eastAsia="Cambria" w:hAnsi="Cambria"/>
          <w:color w:val="1C3A52"/>
          <w:sz w:val="25"/>
          <w:szCs w:val="25"/>
        </w:rPr>
        <w:t xml:space="preserve">In capital markets, billions move in milliseconds. A seller whose process depends on inbound RFPs or passively managed relationships is a placeholder — and placeholders are replaced.</w:t>
      </w:r>
    </w:p>
    <w:p>
      <w:pPr>
        <w:spacing w:after="150" w:line="296"/>
        <w:jc w:val="both"/>
      </w:pPr>
      <w:r>
        <w:rPr>
          <w:rFonts w:ascii="Calibri" w:cs="Calibri" w:eastAsia="Calibri" w:hAnsi="Calibri"/>
          <w:color w:val="33312B"/>
          <w:sz w:val="22"/>
          <w:szCs w:val="22"/>
        </w:rPr>
        <w:t xml:space="preserve">This is the Bruntsfield sales doctrine. It is not a borrowed framework or a collection of techniques; it is a belief about what selling is. Years spent inside banks, brokers and fintechs taught us that the bottleneck to winning is rarely the product and almost always the seller’s posture toward the outcome. The edge belongs to those who take total, personal ownership of the number — and refuse to wait for it.</w:t>
      </w:r>
    </w:p>
    <w:p>
      <w:pPr>
        <w:spacing w:after="150" w:line="296"/>
        <w:jc w:val="both"/>
      </w:pPr>
      <w:r>
        <w:rPr>
          <w:rFonts w:ascii="Calibri" w:cs="Calibri" w:eastAsia="Calibri" w:hAnsi="Calibri"/>
          <w:color w:val="33312B"/>
          <w:sz w:val="22"/>
          <w:szCs w:val="22"/>
        </w:rPr>
        <w:t xml:space="preserve">We call that seller an egoist — not in the small sense of vanity, but in the demanding sense of self-authorship. An egoist does not wait to be chosen; they author the result. This doctrine exists to awaken that posture in the experienced professional whose career has quietly drifted into management-by-queue: competent, well-liked, and waiting. The premise is not that such a seller lacks ability, but that real ability has gone dormant under years of comfort.</w:t>
      </w:r>
    </w:p>
    <w:p>
      <w:pPr>
        <w:spacing w:after="150" w:line="296"/>
        <w:jc w:val="both"/>
      </w:pPr>
      <w:r>
        <w:rPr>
          <w:rFonts w:ascii="Calibri" w:cs="Calibri" w:eastAsia="Calibri" w:hAnsi="Calibri"/>
          <w:color w:val="33312B"/>
          <w:sz w:val="22"/>
          <w:szCs w:val="22"/>
        </w:rPr>
        <w:t xml:space="preserve">Part One equips you with the terrain, the forces and the armoury. Part Two sets out the eight convictions — the heart of the doctrine — each as a belief we hold, applied to the specific pressures of institutional finance, with the weapons to wield, an extended case, and a way to measure progress. Part Three integrates the whole into a single campaign and a model of mastery.</w:t>
      </w:r>
    </w:p>
    <w:p>
      <w:pPr>
        <w:pStyle w:val="Heading2"/>
      </w:pPr>
      <w:r>
        <w:t xml:space="preserve">The Terrain: Who You Are Selling To</w:t>
      </w:r>
    </w:p>
    <w:p>
      <w:pPr>
        <w:spacing w:after="150" w:line="296"/>
        <w:jc w:val="both"/>
      </w:pPr>
      <w:r>
        <w:rPr>
          <w:rFonts w:ascii="Calibri" w:cs="Calibri" w:eastAsia="Calibri" w:hAnsi="Calibri"/>
          <w:color w:val="33312B"/>
          <w:sz w:val="22"/>
          <w:szCs w:val="22"/>
        </w:rPr>
        <w:t xml:space="preserve">An enterprise capital-markets purchase is decided by a committee of competing appetites, not a single buyer. Each member wants something different, fears something different, and is moved by a different weapon. Bringing the wrong weapon to the wrong stakeholder is an instant disqualification. The map below is the minimum situational awareness required before you enter an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20"/>
        <w:gridCol w:w="2360"/>
        <w:gridCol w:w="2280"/>
      </w:tblGrid>
      <w:tr>
        <w:trPr>
          <w:tblHeader/>
        </w:trPr>
        <w:tc>
          <w:tcPr>
            <w:tcW w:type="dxa" w:w="2200"/>
            <w:shd w:fill="1C3A52" w:val="clear"/>
            <w:tcMar>
              <w:top w:type="dxa" w:w="80"/>
              <w:left w:type="dxa" w:w="130"/>
              <w:bottom w:type="dxa" w:w="80"/>
              <w:right w:type="dxa" w:w="130"/>
            </w:tcMar>
          </w:tcPr>
          <w:p>
            <w:r>
              <w:rPr>
                <w:rFonts w:ascii="Calibri" w:cs="Calibri" w:eastAsia="Calibri" w:hAnsi="Calibri"/>
                <w:b/>
                <w:bCs/>
                <w:color w:val="FFFFFF"/>
                <w:sz w:val="18"/>
                <w:szCs w:val="18"/>
              </w:rPr>
              <w:t xml:space="preserve">Stakeholder</w:t>
            </w:r>
          </w:p>
        </w:tc>
        <w:tc>
          <w:tcPr>
            <w:tcW w:type="dxa" w:w="2520"/>
            <w:shd w:fill="1C3A52" w:val="clear"/>
            <w:tcMar>
              <w:top w:type="dxa" w:w="80"/>
              <w:left w:type="dxa" w:w="130"/>
              <w:bottom w:type="dxa" w:w="80"/>
              <w:right w:type="dxa" w:w="130"/>
            </w:tcMar>
          </w:tcPr>
          <w:p>
            <w:r>
              <w:rPr>
                <w:rFonts w:ascii="Calibri" w:cs="Calibri" w:eastAsia="Calibri" w:hAnsi="Calibri"/>
                <w:b/>
                <w:bCs/>
                <w:color w:val="FFFFFF"/>
                <w:sz w:val="18"/>
                <w:szCs w:val="18"/>
              </w:rPr>
              <w:t xml:space="preserve">What they want</w:t>
            </w:r>
          </w:p>
        </w:tc>
        <w:tc>
          <w:tcPr>
            <w:tcW w:type="dxa" w:w="2360"/>
            <w:shd w:fill="1C3A52" w:val="clear"/>
            <w:tcMar>
              <w:top w:type="dxa" w:w="80"/>
              <w:left w:type="dxa" w:w="130"/>
              <w:bottom w:type="dxa" w:w="80"/>
              <w:right w:type="dxa" w:w="130"/>
            </w:tcMar>
          </w:tcPr>
          <w:p>
            <w:r>
              <w:rPr>
                <w:rFonts w:ascii="Calibri" w:cs="Calibri" w:eastAsia="Calibri" w:hAnsi="Calibri"/>
                <w:b/>
                <w:bCs/>
                <w:color w:val="FFFFFF"/>
                <w:sz w:val="18"/>
                <w:szCs w:val="18"/>
              </w:rPr>
              <w:t xml:space="preserve">What they fear</w:t>
            </w:r>
          </w:p>
        </w:tc>
        <w:tc>
          <w:tcPr>
            <w:tcW w:type="dxa" w:w="2280"/>
            <w:shd w:fill="1C3A52" w:val="clear"/>
            <w:tcMar>
              <w:top w:type="dxa" w:w="80"/>
              <w:left w:type="dxa" w:w="130"/>
              <w:bottom w:type="dxa" w:w="80"/>
              <w:right w:type="dxa" w:w="130"/>
            </w:tcMar>
          </w:tcPr>
          <w:p>
            <w:r>
              <w:rPr>
                <w:rFonts w:ascii="Calibri" w:cs="Calibri" w:eastAsia="Calibri" w:hAnsi="Calibri"/>
                <w:b/>
                <w:bCs/>
                <w:color w:val="FFFFFF"/>
                <w:sz w:val="18"/>
                <w:szCs w:val="18"/>
              </w:rPr>
              <w:t xml:space="preserve">The weapon that wins</w:t>
            </w:r>
          </w:p>
        </w:tc>
      </w:tr>
      <w:tr>
        <w:tc>
          <w:tcPr>
            <w:tcW w:type="dxa" w:w="22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Head of Trading / Desk Head</w:t>
            </w:r>
          </w:p>
        </w:tc>
        <w:tc>
          <w:tcPr>
            <w:tcW w:type="dxa" w:w="252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Speed, low latency, capacity for volume spikes, uptime during volatile and extended-hours sessions.</w:t>
            </w:r>
          </w:p>
        </w:tc>
        <w:tc>
          <w:tcPr>
            <w:tcW w:type="dxa" w:w="23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Slippage, missed fills, an outage on their watch, being slower than a rival desk.</w:t>
            </w:r>
          </w:p>
        </w:tc>
        <w:tc>
          <w:tcPr>
            <w:tcW w:type="dxa" w:w="228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Challenger insight with a quantified cost of the status quo (basis points, $/day).</w:t>
            </w:r>
          </w:p>
        </w:tc>
      </w:tr>
      <w:tr>
        <w:tc>
          <w:tcPr>
            <w:tcW w:type="dxa" w:w="22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Portfolio Manager (buy-side)</w:t>
            </w:r>
          </w:p>
        </w:tc>
        <w:tc>
          <w:tcPr>
            <w:tcW w:type="dxa" w:w="252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Alpha, clean data, faster decisions, fewer operational distractions from investing.</w:t>
            </w:r>
          </w:p>
        </w:tc>
        <w:tc>
          <w:tcPr>
            <w:tcW w:type="dxa" w:w="23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Data they cannot trust, reconciliation breaks, technology that dictates strategy.</w:t>
            </w:r>
          </w:p>
        </w:tc>
        <w:tc>
          <w:tcPr>
            <w:tcW w:type="dxa" w:w="228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Value selling tied to investment outcomes; Solution selling to their exact workflow.</w:t>
            </w:r>
          </w:p>
        </w:tc>
      </w:tr>
      <w:tr>
        <w:tc>
          <w:tcPr>
            <w:tcW w:type="dxa" w:w="22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Quant / Quant Developer</w:t>
            </w:r>
          </w:p>
        </w:tc>
        <w:tc>
          <w:tcPr>
            <w:tcW w:type="dxa" w:w="252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Elegant data access, flexible APIs, the ability to build and test fast.</w:t>
            </w:r>
          </w:p>
        </w:tc>
        <w:tc>
          <w:tcPr>
            <w:tcW w:type="dxa" w:w="23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Black-box systems, brittle integrations, vendors who slow them down.</w:t>
            </w:r>
          </w:p>
        </w:tc>
        <w:tc>
          <w:tcPr>
            <w:tcW w:type="dxa" w:w="228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A working, tailored demo (vibe-coded prototype) and credible technical depth.</w:t>
            </w:r>
          </w:p>
        </w:tc>
      </w:tr>
      <w:tr>
        <w:tc>
          <w:tcPr>
            <w:tcW w:type="dxa" w:w="22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Head of Architecture / CTO</w:t>
            </w:r>
          </w:p>
        </w:tc>
        <w:tc>
          <w:tcPr>
            <w:tcW w:type="dxa" w:w="252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Clean integration, resilience, a roadmap that reduces rather than adds complexity.</w:t>
            </w:r>
          </w:p>
        </w:tc>
        <w:tc>
          <w:tcPr>
            <w:tcW w:type="dxa" w:w="23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Hidden dependencies, lock-in, a fragile core that breaks under change.</w:t>
            </w:r>
          </w:p>
        </w:tc>
        <w:tc>
          <w:tcPr>
            <w:tcW w:type="dxa" w:w="228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Command of the architecture story; the strangler-gateway, incremental-modernisation narrative.</w:t>
            </w:r>
          </w:p>
        </w:tc>
      </w:tr>
      <w:tr>
        <w:tc>
          <w:tcPr>
            <w:tcW w:type="dxa" w:w="22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CISO / Security</w:t>
            </w:r>
          </w:p>
        </w:tc>
        <w:tc>
          <w:tcPr>
            <w:tcW w:type="dxa" w:w="252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Demonstrable security posture, data lineage, auditable controls.</w:t>
            </w:r>
          </w:p>
        </w:tc>
        <w:tc>
          <w:tcPr>
            <w:tcW w:type="dxa" w:w="23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An exploitable surface, an unprovable supply chain, a breach.</w:t>
            </w:r>
          </w:p>
        </w:tc>
        <w:tc>
          <w:tcPr>
            <w:tcW w:type="dxa" w:w="228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Evidence over assertion: SOC 2, lineage, controls that ship with the use case.</w:t>
            </w:r>
          </w:p>
        </w:tc>
      </w:tr>
      <w:tr>
        <w:tc>
          <w:tcPr>
            <w:tcW w:type="dxa" w:w="22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CRO / Head of Risk</w:t>
            </w:r>
          </w:p>
        </w:tc>
        <w:tc>
          <w:tcPr>
            <w:tcW w:type="dxa" w:w="252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Real-time risk and collateral visibility, capital efficiency, regulatory defensibility.</w:t>
            </w:r>
          </w:p>
        </w:tc>
        <w:tc>
          <w:tcPr>
            <w:tcW w:type="dxa" w:w="23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Capital trapped by slow systems, a regulator finding, a blind spot in a crisis.</w:t>
            </w:r>
          </w:p>
        </w:tc>
        <w:tc>
          <w:tcPr>
            <w:tcW w:type="dxa" w:w="228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Relationship-led trust plus a hard economic and regulatory justification.</w:t>
            </w:r>
          </w:p>
        </w:tc>
      </w:tr>
      <w:tr>
        <w:tc>
          <w:tcPr>
            <w:tcW w:type="dxa" w:w="22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Head of Operations / Settlement</w:t>
            </w:r>
          </w:p>
        </w:tc>
        <w:tc>
          <w:tcPr>
            <w:tcW w:type="dxa" w:w="252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Straight-through processing, fewer exceptions, surviving compressed cut-offs.</w:t>
            </w:r>
          </w:p>
        </w:tc>
        <w:tc>
          <w:tcPr>
            <w:tcW w:type="dxa" w:w="23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Settlement fails, CSDR penalties, manual work that does not scale to T+1/T+0.</w:t>
            </w:r>
          </w:p>
        </w:tc>
        <w:tc>
          <w:tcPr>
            <w:tcW w:type="dxa" w:w="228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SNAP simplicity for an overloaded buyer; a quantified exception-reduction case.</w:t>
            </w:r>
          </w:p>
        </w:tc>
      </w:tr>
      <w:tr>
        <w:tc>
          <w:tcPr>
            <w:tcW w:type="dxa" w:w="22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Head of Compliance / Surveillance</w:t>
            </w:r>
          </w:p>
        </w:tc>
        <w:tc>
          <w:tcPr>
            <w:tcW w:type="dxa" w:w="252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Coverage, explainability, audit trails that satisfy a regulator.</w:t>
            </w:r>
          </w:p>
        </w:tc>
        <w:tc>
          <w:tcPr>
            <w:tcW w:type="dxa" w:w="23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An undetected breach, an unexplainable model, an enforcement action.</w:t>
            </w:r>
          </w:p>
        </w:tc>
        <w:tc>
          <w:tcPr>
            <w:tcW w:type="dxa" w:w="228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Trust and rigour; governance and explainability as first-class features.</w:t>
            </w:r>
          </w:p>
        </w:tc>
      </w:tr>
      <w:tr>
        <w:tc>
          <w:tcPr>
            <w:tcW w:type="dxa" w:w="22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COO</w:t>
            </w:r>
          </w:p>
        </w:tc>
        <w:tc>
          <w:tcPr>
            <w:tcW w:type="dxa" w:w="252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Operational leverage, cost-to-serve down, scale without proportional headcount.</w:t>
            </w:r>
          </w:p>
        </w:tc>
        <w:tc>
          <w:tcPr>
            <w:tcW w:type="dxa" w:w="23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Complexity costs rising faster than revenue, key-person and platform risk.</w:t>
            </w:r>
          </w:p>
        </w:tc>
        <w:tc>
          <w:tcPr>
            <w:tcW w:type="dxa" w:w="228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The economic narrative: complexity eliminated, leverage created.</w:t>
            </w:r>
          </w:p>
        </w:tc>
      </w:tr>
      <w:tr>
        <w:tc>
          <w:tcPr>
            <w:tcW w:type="dxa" w:w="22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Procurement / Vendor Management</w:t>
            </w:r>
          </w:p>
        </w:tc>
        <w:tc>
          <w:tcPr>
            <w:tcW w:type="dxa" w:w="252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Price, terms, risk transfer, a defensible process.</w:t>
            </w:r>
          </w:p>
        </w:tc>
        <w:tc>
          <w:tcPr>
            <w:tcW w:type="dxa" w:w="23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Overpaying, lock-in, an unmanaged vendor risk.</w:t>
            </w:r>
          </w:p>
        </w:tc>
        <w:tc>
          <w:tcPr>
            <w:tcW w:type="dxa" w:w="228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A mutual action plan, multi-threaded value already established above them.</w:t>
            </w:r>
          </w:p>
        </w:tc>
      </w:tr>
    </w:tbl>
    <w:p>
      <w:pPr>
        <w:pStyle w:val="Heading2"/>
      </w:pPr>
      <w:r>
        <w:t xml:space="preserve">The Battlefield: The Forces Creating Urgency</w:t>
      </w:r>
    </w:p>
    <w:p>
      <w:pPr>
        <w:spacing w:after="150" w:line="296"/>
        <w:jc w:val="both"/>
      </w:pPr>
      <w:r>
        <w:rPr>
          <w:rFonts w:ascii="Calibri" w:cs="Calibri" w:eastAsia="Calibri" w:hAnsi="Calibri"/>
          <w:color w:val="33312B"/>
          <w:sz w:val="22"/>
          <w:szCs w:val="22"/>
        </w:rPr>
        <w:t xml:space="preserve">Budgets thaw when a dated, board-level catalyst forces them to. The capital-markets environment of the mid-2020s is unusually rich in such catalysts, and each one is a trigger an egoist can ride. These are the forces shaping every conversation in the market right now.</w:t>
      </w:r>
    </w:p>
    <w:p>
      <w:pPr>
        <w:spacing w:after="40" w:before="120"/>
      </w:pPr>
      <w:r>
        <w:rPr>
          <w:rFonts w:ascii="Cambria" w:cs="Cambria" w:eastAsia="Cambria" w:hAnsi="Cambria"/>
          <w:b/>
          <w:bCs/>
          <w:color w:val="1C3A52"/>
          <w:sz w:val="22"/>
          <w:szCs w:val="22"/>
        </w:rPr>
        <w:t xml:space="preserve">The settlement squeeze (T+1, heading to T+0)</w:t>
      </w:r>
    </w:p>
    <w:p>
      <w:pPr>
        <w:spacing w:after="60" w:line="296"/>
        <w:jc w:val="both"/>
      </w:pPr>
      <w:r>
        <w:rPr>
          <w:rFonts w:ascii="Calibri" w:cs="Calibri" w:eastAsia="Calibri" w:hAnsi="Calibri"/>
          <w:color w:val="33312B"/>
          <w:sz w:val="22"/>
          <w:szCs w:val="22"/>
        </w:rPr>
        <w:t xml:space="preserve">The US moved to T+1 in May 2024. The UK, EU and Switzerland follow on 11 October 2027, with mandatory T+0 allocations and confirmations as early as December 2026. T+1 removes roughly half the post-trade processing window — and by the SWIFT Institute's estimate, up to 80% of the time for cross-border settlement once time zones and FX are accounted for. Manual, spreadsheet-bound workflows simply break. This is the single largest, most legible trigger event in the market: a hard, dated deadline that forces budget.</w:t>
      </w:r>
    </w:p>
    <w:p>
      <w:pPr>
        <w:spacing w:after="40" w:before="120"/>
      </w:pPr>
      <w:r>
        <w:rPr>
          <w:rFonts w:ascii="Cambria" w:cs="Cambria" w:eastAsia="Cambria" w:hAnsi="Cambria"/>
          <w:b/>
          <w:bCs/>
          <w:color w:val="1C3A52"/>
          <w:sz w:val="22"/>
          <w:szCs w:val="22"/>
        </w:rPr>
        <w:t xml:space="preserve">The move to always-on markets (23/5 and tokenised 24/7)</w:t>
      </w:r>
    </w:p>
    <w:p>
      <w:pPr>
        <w:spacing w:after="60" w:line="296"/>
        <w:jc w:val="both"/>
      </w:pPr>
      <w:r>
        <w:rPr>
          <w:rFonts w:ascii="Calibri" w:cs="Calibri" w:eastAsia="Calibri" w:hAnsi="Calibri"/>
          <w:color w:val="33312B"/>
          <w:sz w:val="22"/>
          <w:szCs w:val="22"/>
        </w:rPr>
        <w:t xml:space="preserve">Major US exchanges are pushing toward 23 hours a day, five days a week, and venues are launching blockchain-based platforms for 24/7 trading of tokenised securities. Always-on markets demand event-driven, resilient architecture and erase the overnight batch window that legacy systems were built around.</w:t>
      </w:r>
    </w:p>
    <w:p>
      <w:pPr>
        <w:spacing w:after="40" w:before="120"/>
      </w:pPr>
      <w:r>
        <w:rPr>
          <w:rFonts w:ascii="Cambria" w:cs="Cambria" w:eastAsia="Cambria" w:hAnsi="Cambria"/>
          <w:b/>
          <w:bCs/>
          <w:color w:val="1C3A52"/>
          <w:sz w:val="22"/>
          <w:szCs w:val="22"/>
        </w:rPr>
        <w:t xml:space="preserve">Market-data burstiness</w:t>
      </w:r>
    </w:p>
    <w:p>
      <w:pPr>
        <w:spacing w:after="60" w:line="296"/>
        <w:jc w:val="both"/>
      </w:pPr>
      <w:r>
        <w:rPr>
          <w:rFonts w:ascii="Calibri" w:cs="Calibri" w:eastAsia="Calibri" w:hAnsi="Calibri"/>
          <w:color w:val="33312B"/>
          <w:sz w:val="22"/>
          <w:szCs w:val="22"/>
        </w:rPr>
        <w:t xml:space="preserve">Data volumes keep rising, but the sharper problem is variability — sudden, violent intraday spikes that strain systems designed for a calmer era. The gap widens between firms that invested in resilient capacity and those facing reactive, mid-crisis upgrades.</w:t>
      </w:r>
    </w:p>
    <w:p>
      <w:pPr>
        <w:spacing w:after="40" w:before="120"/>
      </w:pPr>
      <w:r>
        <w:rPr>
          <w:rFonts w:ascii="Cambria" w:cs="Cambria" w:eastAsia="Cambria" w:hAnsi="Cambria"/>
          <w:b/>
          <w:bCs/>
          <w:color w:val="1C3A52"/>
          <w:sz w:val="22"/>
          <w:szCs w:val="22"/>
        </w:rPr>
        <w:t xml:space="preserve">AI moving from pilot to production</w:t>
      </w:r>
    </w:p>
    <w:p>
      <w:pPr>
        <w:spacing w:after="60" w:line="296"/>
        <w:jc w:val="both"/>
      </w:pPr>
      <w:r>
        <w:rPr>
          <w:rFonts w:ascii="Calibri" w:cs="Calibri" w:eastAsia="Calibri" w:hAnsi="Calibri"/>
          <w:color w:val="33312B"/>
          <w:sz w:val="22"/>
          <w:szCs w:val="22"/>
        </w:rPr>
        <w:t xml:space="preserve">AI is industrialising across trading, research, risk and the software lifecycle itself. The binding constraint is no longer model sophistication but data: fragmented, poorly governed data estates are now the primary throttle, with a large share of agentic initiatives at risk of underperforming without clean, lineage-aware foundations.</w:t>
      </w:r>
    </w:p>
    <w:p>
      <w:pPr>
        <w:spacing w:after="40" w:before="120"/>
      </w:pPr>
      <w:r>
        <w:rPr>
          <w:rFonts w:ascii="Cambria" w:cs="Cambria" w:eastAsia="Cambria" w:hAnsi="Cambria"/>
          <w:b/>
          <w:bCs/>
          <w:color w:val="1C3A52"/>
          <w:sz w:val="22"/>
          <w:szCs w:val="22"/>
        </w:rPr>
        <w:t xml:space="preserve">Vendor and platform consolidation</w:t>
      </w:r>
    </w:p>
    <w:p>
      <w:pPr>
        <w:spacing w:after="60" w:line="296"/>
        <w:jc w:val="both"/>
      </w:pPr>
      <w:r>
        <w:rPr>
          <w:rFonts w:ascii="Calibri" w:cs="Calibri" w:eastAsia="Calibri" w:hAnsi="Calibri"/>
          <w:color w:val="33312B"/>
          <w:sz w:val="22"/>
          <w:szCs w:val="22"/>
        </w:rPr>
        <w:t xml:space="preserve">On the buy-side, consolidating vendors and modernising data architecture are the top technology priorities — the first step toward unified, trustworthy data. Every consolidation decision is a displacement opportunity for one vendor and an extinction event for another.</w:t>
      </w:r>
    </w:p>
    <w:p>
      <w:pPr>
        <w:spacing w:after="40" w:before="120"/>
      </w:pPr>
      <w:r>
        <w:rPr>
          <w:rFonts w:ascii="Cambria" w:cs="Cambria" w:eastAsia="Cambria" w:hAnsi="Cambria"/>
          <w:b/>
          <w:bCs/>
          <w:color w:val="1C3A52"/>
          <w:sz w:val="22"/>
          <w:szCs w:val="22"/>
        </w:rPr>
        <w:t xml:space="preserve">Governance that ships with the use case</w:t>
      </w:r>
    </w:p>
    <w:p>
      <w:pPr>
        <w:spacing w:after="60" w:line="296"/>
        <w:jc w:val="both"/>
      </w:pPr>
      <w:r>
        <w:rPr>
          <w:rFonts w:ascii="Calibri" w:cs="Calibri" w:eastAsia="Calibri" w:hAnsi="Calibri"/>
          <w:color w:val="33312B"/>
          <w:sz w:val="22"/>
          <w:szCs w:val="22"/>
        </w:rPr>
        <w:t xml:space="preserve">Controls can no longer sit beside delivery; role-based permissions, segregation of duties, audit trails, deterministic fallbacks and continuous monitoring must ship with the product. The EU AI Act's obligations begin to bite from August 2026. Defensibility is now a feature, not paperwork.</w:t>
      </w:r>
    </w:p>
    <w:p>
      <w:pPr>
        <w:spacing w:after="40" w:before="120"/>
      </w:pPr>
      <w:r>
        <w:rPr>
          <w:rFonts w:ascii="Cambria" w:cs="Cambria" w:eastAsia="Cambria" w:hAnsi="Cambria"/>
          <w:b/>
          <w:bCs/>
          <w:color w:val="1C3A52"/>
          <w:sz w:val="22"/>
          <w:szCs w:val="22"/>
        </w:rPr>
        <w:t xml:space="preserve">Cost compression and the modernisation mandate</w:t>
      </w:r>
    </w:p>
    <w:p>
      <w:pPr>
        <w:spacing w:after="60" w:line="296"/>
        <w:jc w:val="both"/>
      </w:pPr>
      <w:r>
        <w:rPr>
          <w:rFonts w:ascii="Calibri" w:cs="Calibri" w:eastAsia="Calibri" w:hAnsi="Calibri"/>
          <w:color w:val="33312B"/>
          <w:sz w:val="22"/>
          <w:szCs w:val="22"/>
        </w:rPr>
        <w:t xml:space="preserve">Complexity costs rise faster than revenue on aging cores. Firms must modernise deliberately or be outpaced by platforms whose economics improve with scale. IT budgets are rising, but scrutiny and selectivity are rising faster.</w:t>
      </w:r>
    </w:p>
    <w:p>
      <w:pPr>
        <w:pStyle w:val="Heading2"/>
      </w:pPr>
      <w:r>
        <w:t xml:space="preserve">The Armoury: A Field Guide to the Weapons</w:t>
      </w:r>
    </w:p>
    <w:p>
      <w:pPr>
        <w:spacing w:after="150" w:line="296"/>
        <w:jc w:val="both"/>
      </w:pPr>
      <w:r>
        <w:rPr>
          <w:rFonts w:ascii="Calibri" w:cs="Calibri" w:eastAsia="Calibri" w:hAnsi="Calibri"/>
          <w:color w:val="33312B"/>
          <w:sz w:val="22"/>
          <w:szCs w:val="22"/>
        </w:rPr>
        <w:t xml:space="preserve">A method is only a tool; it becomes a weapon when you choose it deliberately and define the formula for how it wins. The armoury below is wide on purpose — not so that you use everything, but so that you choose with knowledge. It is organised by purpose: how to diagnose, how to reframe, how to prove value, how to control the deal, how to navigate the committee, and how to create timing. Lesson 02 will ask you to select your signature weapon from it.</w:t>
      </w:r>
    </w:p>
    <w:p>
      <w:pPr>
        <w:pStyle w:val="Heading2"/>
      </w:pPr>
      <w:r>
        <w:t xml:space="preserve">Discovery &amp; Diagnosis</w:t>
      </w:r>
    </w:p>
    <w:p>
      <w:pPr>
        <w:spacing w:after="30" w:before="80"/>
      </w:pPr>
      <w:r>
        <w:rPr>
          <w:rFonts w:ascii="Cambria" w:cs="Cambria" w:eastAsia="Cambria" w:hAnsi="Cambria"/>
          <w:b/>
          <w:bCs/>
          <w:color w:val="1C3A52"/>
          <w:sz w:val="22"/>
          <w:szCs w:val="22"/>
        </w:rPr>
        <w:t xml:space="preserve">SPIN Selling</w:t>
      </w:r>
    </w:p>
    <w:p>
      <w:pPr>
        <w:spacing w:after="50" w:line="296"/>
        <w:jc w:val="both"/>
      </w:pPr>
      <w:r>
        <w:rPr>
          <w:rFonts w:ascii="Calibri" w:cs="Calibri" w:eastAsia="Calibri" w:hAnsi="Calibri"/>
          <w:color w:val="33312B"/>
          <w:sz w:val="22"/>
          <w:szCs w:val="22"/>
        </w:rPr>
        <w:t xml:space="preserve">Neil Rackham's research across 35,000+ calls: in complex sales the buyer talks themselves into change through a sequence of Situation, Problem, Implication and Need-payoff questions. The Implication question is the weapon — it makes the cost of the problem felt.</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Use Implication questions to make a 4-millisecond latency spike or a future T+0 confirmation failure viscerally expensive before you propose anything.</w:t>
      </w:r>
    </w:p>
    <w:p>
      <w:pPr>
        <w:spacing w:after="30" w:before="80"/>
      </w:pPr>
      <w:r>
        <w:rPr>
          <w:rFonts w:ascii="Cambria" w:cs="Cambria" w:eastAsia="Cambria" w:hAnsi="Cambria"/>
          <w:b/>
          <w:bCs/>
          <w:color w:val="1C3A52"/>
          <w:sz w:val="22"/>
          <w:szCs w:val="22"/>
        </w:rPr>
        <w:t xml:space="preserve">Solution Selling</w:t>
      </w:r>
    </w:p>
    <w:p>
      <w:pPr>
        <w:spacing w:after="50" w:line="296"/>
        <w:jc w:val="both"/>
      </w:pPr>
      <w:r>
        <w:rPr>
          <w:rFonts w:ascii="Calibri" w:cs="Calibri" w:eastAsia="Calibri" w:hAnsi="Calibri"/>
          <w:color w:val="33312B"/>
          <w:sz w:val="22"/>
          <w:szCs w:val="22"/>
        </w:rPr>
        <w:t xml:space="preserve">Mike Bosworth's problem-first approach: diagnose before you prescribe, and never pitch the same package twice. The foundation most modern methods were built on.</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Configure to the firm's specific post-trade gap or data-lineage problem rather than demonstrating a standard product tour.</w:t>
      </w:r>
    </w:p>
    <w:p>
      <w:pPr>
        <w:spacing w:after="30" w:before="80"/>
      </w:pPr>
      <w:r>
        <w:rPr>
          <w:rFonts w:ascii="Cambria" w:cs="Cambria" w:eastAsia="Cambria" w:hAnsi="Cambria"/>
          <w:b/>
          <w:bCs/>
          <w:color w:val="1C3A52"/>
          <w:sz w:val="22"/>
          <w:szCs w:val="22"/>
        </w:rPr>
        <w:t xml:space="preserve">Conceptual / Consultative Selling</w:t>
      </w:r>
    </w:p>
    <w:p>
      <w:pPr>
        <w:spacing w:after="50" w:line="296"/>
        <w:jc w:val="both"/>
      </w:pPr>
      <w:r>
        <w:rPr>
          <w:rFonts w:ascii="Calibri" w:cs="Calibri" w:eastAsia="Calibri" w:hAnsi="Calibri"/>
          <w:color w:val="33312B"/>
          <w:sz w:val="22"/>
          <w:szCs w:val="22"/>
        </w:rPr>
        <w:t xml:space="preserve">Sell to the buyer's concept of their problem and their picture of the solution, not your product's feature set.</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Map your proposal onto the CRO's mental model of capital efficiency, or the COO's model of operational leverage.</w:t>
      </w:r>
    </w:p>
    <w:p>
      <w:pPr>
        <w:spacing w:after="30" w:before="80"/>
      </w:pPr>
      <w:r>
        <w:rPr>
          <w:rFonts w:ascii="Cambria" w:cs="Cambria" w:eastAsia="Cambria" w:hAnsi="Cambria"/>
          <w:b/>
          <w:bCs/>
          <w:color w:val="1C3A52"/>
          <w:sz w:val="22"/>
          <w:szCs w:val="22"/>
        </w:rPr>
        <w:t xml:space="preserve">Gap Selling</w:t>
      </w:r>
    </w:p>
    <w:p>
      <w:pPr>
        <w:spacing w:after="50" w:line="296"/>
        <w:jc w:val="both"/>
      </w:pPr>
      <w:r>
        <w:rPr>
          <w:rFonts w:ascii="Calibri" w:cs="Calibri" w:eastAsia="Calibri" w:hAnsi="Calibri"/>
          <w:color w:val="33312B"/>
          <w:sz w:val="22"/>
          <w:szCs w:val="22"/>
        </w:rPr>
        <w:t xml:space="preserve">Keenan's model: quantify the distance between current state and future state. Urgency is a function of the size of the gap, made explicit.</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Size the operational gap the settlement squeeze opens — half the processing time, double the exception risk — and price the future state against it.</w:t>
      </w:r>
    </w:p>
    <w:p>
      <w:pPr>
        <w:pStyle w:val="Heading2"/>
      </w:pPr>
      <w:r>
        <w:t xml:space="preserve">Insight &amp; Reframing</w:t>
      </w:r>
    </w:p>
    <w:p>
      <w:pPr>
        <w:spacing w:after="30" w:before="80"/>
      </w:pPr>
      <w:r>
        <w:rPr>
          <w:rFonts w:ascii="Cambria" w:cs="Cambria" w:eastAsia="Cambria" w:hAnsi="Cambria"/>
          <w:b/>
          <w:bCs/>
          <w:color w:val="1C3A52"/>
          <w:sz w:val="22"/>
          <w:szCs w:val="22"/>
        </w:rPr>
        <w:t xml:space="preserve">The Challenger Sale</w:t>
      </w:r>
    </w:p>
    <w:p>
      <w:pPr>
        <w:spacing w:after="50" w:line="296"/>
        <w:jc w:val="both"/>
      </w:pPr>
      <w:r>
        <w:rPr>
          <w:rFonts w:ascii="Calibri" w:cs="Calibri" w:eastAsia="Calibri" w:hAnsi="Calibri"/>
          <w:color w:val="33312B"/>
          <w:sz w:val="22"/>
          <w:szCs w:val="22"/>
        </w:rPr>
        <w:t xml:space="preserve">Dixon and Adamson: teach, tailor and take control. Lead with a commercial insight that reframes how the buyer sees their own world. Their research found roughly 40% of top performers in complex sales are Challengers — the largest share of any profile.</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Teach the Head of Trading a cost they have not measured; reframe a 'UI modernisation' as a core-infrastructure problem.</w:t>
      </w:r>
    </w:p>
    <w:p>
      <w:pPr>
        <w:spacing w:after="30" w:before="80"/>
      </w:pPr>
      <w:r>
        <w:rPr>
          <w:rFonts w:ascii="Cambria" w:cs="Cambria" w:eastAsia="Cambria" w:hAnsi="Cambria"/>
          <w:b/>
          <w:bCs/>
          <w:color w:val="1C3A52"/>
          <w:sz w:val="22"/>
          <w:szCs w:val="22"/>
        </w:rPr>
        <w:t xml:space="preserve">Provocation-Based Selling</w:t>
      </w:r>
    </w:p>
    <w:p>
      <w:pPr>
        <w:spacing w:after="50" w:line="296"/>
        <w:jc w:val="both"/>
      </w:pPr>
      <w:r>
        <w:rPr>
          <w:rFonts w:ascii="Calibri" w:cs="Calibri" w:eastAsia="Calibri" w:hAnsi="Calibri"/>
          <w:color w:val="33312B"/>
          <w:sz w:val="22"/>
          <w:szCs w:val="22"/>
        </w:rPr>
        <w:t xml:space="preserve">A sharper cousin of Challenger: arrive with a contrarian thesis that disrupts the buyer's current plan, backed by evidence.</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'Your modernisation roadmap is backwards — you are refreshing the front-end on a core that cannot meet the 2027 deadline.'</w:t>
      </w:r>
    </w:p>
    <w:p>
      <w:pPr>
        <w:spacing w:after="30" w:before="80"/>
      </w:pPr>
      <w:r>
        <w:rPr>
          <w:rFonts w:ascii="Cambria" w:cs="Cambria" w:eastAsia="Cambria" w:hAnsi="Cambria"/>
          <w:b/>
          <w:bCs/>
          <w:color w:val="1C3A52"/>
          <w:sz w:val="22"/>
          <w:szCs w:val="22"/>
        </w:rPr>
        <w:t xml:space="preserve">Command of the Message</w:t>
      </w:r>
    </w:p>
    <w:p>
      <w:pPr>
        <w:spacing w:after="50" w:line="296"/>
        <w:jc w:val="both"/>
      </w:pPr>
      <w:r>
        <w:rPr>
          <w:rFonts w:ascii="Calibri" w:cs="Calibri" w:eastAsia="Calibri" w:hAnsi="Calibri"/>
          <w:color w:val="33312B"/>
          <w:sz w:val="22"/>
          <w:szCs w:val="22"/>
        </w:rPr>
        <w:t xml:space="preserve">Force Management's discipline: situational fluency, a differentiated value narrative, and genuine urgency. Sell the value, never the feature list.</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A crisp 'why us, why now' anchored to a dated regulatory deadline turns a nice-to-have into a board-level priority.</w:t>
      </w:r>
    </w:p>
    <w:p>
      <w:pPr>
        <w:pStyle w:val="Heading2"/>
      </w:pPr>
      <w:r>
        <w:t xml:space="preserve">Value &amp; Economics</w:t>
      </w:r>
    </w:p>
    <w:p>
      <w:pPr>
        <w:spacing w:after="30" w:before="80"/>
      </w:pPr>
      <w:r>
        <w:rPr>
          <w:rFonts w:ascii="Cambria" w:cs="Cambria" w:eastAsia="Cambria" w:hAnsi="Cambria"/>
          <w:b/>
          <w:bCs/>
          <w:color w:val="1C3A52"/>
          <w:sz w:val="22"/>
          <w:szCs w:val="22"/>
        </w:rPr>
        <w:t xml:space="preserve">Value / ROI Selling</w:t>
      </w:r>
    </w:p>
    <w:p>
      <w:pPr>
        <w:spacing w:after="50" w:line="296"/>
        <w:jc w:val="both"/>
      </w:pPr>
      <w:r>
        <w:rPr>
          <w:rFonts w:ascii="Calibri" w:cs="Calibri" w:eastAsia="Calibri" w:hAnsi="Calibri"/>
          <w:color w:val="33312B"/>
          <w:sz w:val="22"/>
          <w:szCs w:val="22"/>
        </w:rPr>
        <w:t xml:space="preserve">Build the quantified business case in the buyer's own units and let the economics carry the decision.</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Translate to basis points of slippage, dollars-per-day of funding drag, CSDR penalty exposure, and FTEs consumed by exception management — which ran to two-thirds of some firms' transition costs.</w:t>
      </w:r>
    </w:p>
    <w:p>
      <w:pPr>
        <w:spacing w:after="30" w:before="80"/>
      </w:pPr>
      <w:r>
        <w:rPr>
          <w:rFonts w:ascii="Cambria" w:cs="Cambria" w:eastAsia="Cambria" w:hAnsi="Cambria"/>
          <w:b/>
          <w:bCs/>
          <w:color w:val="1C3A52"/>
          <w:sz w:val="22"/>
          <w:szCs w:val="22"/>
        </w:rPr>
        <w:t xml:space="preserve">Mutual Action Plan</w:t>
      </w:r>
    </w:p>
    <w:p>
      <w:pPr>
        <w:spacing w:after="50" w:line="296"/>
        <w:jc w:val="both"/>
      </w:pPr>
      <w:r>
        <w:rPr>
          <w:rFonts w:ascii="Calibri" w:cs="Calibri" w:eastAsia="Calibri" w:hAnsi="Calibri"/>
          <w:color w:val="33312B"/>
          <w:sz w:val="22"/>
          <w:szCs w:val="22"/>
        </w:rPr>
        <w:t xml:space="preserve">A jointly owned, reverse-engineered close plan with dates, owners and dependencies. It converts a vague pipeline into a shared commitment.</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Reverse-engineer the plan from the buyer's own hard deadline — the December 2026 T+0 confirmation milestone — so the timeline is theirs, not yours.</w:t>
      </w:r>
    </w:p>
    <w:p>
      <w:pPr>
        <w:pStyle w:val="Heading2"/>
      </w:pPr>
      <w:r>
        <w:t xml:space="preserve">Qualification &amp; Deal Control</w:t>
      </w:r>
    </w:p>
    <w:p>
      <w:pPr>
        <w:spacing w:after="30" w:before="80"/>
      </w:pPr>
      <w:r>
        <w:rPr>
          <w:rFonts w:ascii="Cambria" w:cs="Cambria" w:eastAsia="Cambria" w:hAnsi="Cambria"/>
          <w:b/>
          <w:bCs/>
          <w:color w:val="1C3A52"/>
          <w:sz w:val="22"/>
          <w:szCs w:val="22"/>
        </w:rPr>
        <w:t xml:space="preserve">MEDDIC / MEDDPICC</w:t>
      </w:r>
    </w:p>
    <w:p>
      <w:pPr>
        <w:spacing w:after="50" w:line="296"/>
        <w:jc w:val="both"/>
      </w:pPr>
      <w:r>
        <w:rPr>
          <w:rFonts w:ascii="Calibri" w:cs="Calibri" w:eastAsia="Calibri" w:hAnsi="Calibri"/>
          <w:color w:val="33312B"/>
          <w:sz w:val="22"/>
          <w:szCs w:val="22"/>
        </w:rPr>
        <w:t xml:space="preserve">The enterprise inspection discipline: Metrics, Economic buyer, Decision criteria, Decision process, (Paper process), Identify pain, Champion, (Competition). Built for complex, multi-stakeholder deals; organisations with a consistent formal methodology see materially higher win rates (Korn Ferry).</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Essential for any 5-plus-stakeholder bank or asset-manager deal; the spine of deal hygiene in long capital-markets cycles.</w:t>
      </w:r>
    </w:p>
    <w:p>
      <w:pPr>
        <w:spacing w:after="30" w:before="80"/>
      </w:pPr>
      <w:r>
        <w:rPr>
          <w:rFonts w:ascii="Cambria" w:cs="Cambria" w:eastAsia="Cambria" w:hAnsi="Cambria"/>
          <w:b/>
          <w:bCs/>
          <w:color w:val="1C3A52"/>
          <w:sz w:val="22"/>
          <w:szCs w:val="22"/>
        </w:rPr>
        <w:t xml:space="preserve">The Sandler System</w:t>
      </w:r>
    </w:p>
    <w:p>
      <w:pPr>
        <w:spacing w:after="50" w:line="296"/>
        <w:jc w:val="both"/>
      </w:pPr>
      <w:r>
        <w:rPr>
          <w:rFonts w:ascii="Calibri" w:cs="Calibri" w:eastAsia="Calibri" w:hAnsi="Calibri"/>
          <w:color w:val="33312B"/>
          <w:sz w:val="22"/>
          <w:szCs w:val="22"/>
        </w:rPr>
        <w:t xml:space="preserve">Mutual qualification through up-front contracts; the willingness to disqualify; the buyer does most of the talking. Reframes the dynamic so the buyer pursues the solution.</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Set an up-front contract with a CTO to avoid a nine-month proof-of-concept that dies in 'evaluation'.</w:t>
      </w:r>
    </w:p>
    <w:p>
      <w:pPr>
        <w:spacing w:after="30" w:before="80"/>
      </w:pPr>
      <w:r>
        <w:rPr>
          <w:rFonts w:ascii="Cambria" w:cs="Cambria" w:eastAsia="Cambria" w:hAnsi="Cambria"/>
          <w:b/>
          <w:bCs/>
          <w:color w:val="1C3A52"/>
          <w:sz w:val="22"/>
          <w:szCs w:val="22"/>
        </w:rPr>
        <w:t xml:space="preserve">NEAT / SNAP</w:t>
      </w:r>
    </w:p>
    <w:p>
      <w:pPr>
        <w:spacing w:after="50" w:line="296"/>
        <w:jc w:val="both"/>
      </w:pPr>
      <w:r>
        <w:rPr>
          <w:rFonts w:ascii="Calibri" w:cs="Calibri" w:eastAsia="Calibri" w:hAnsi="Calibri"/>
          <w:color w:val="33312B"/>
          <w:sz w:val="22"/>
          <w:szCs w:val="22"/>
        </w:rPr>
        <w:t xml:space="preserve">Modern lightweight frameworks. NEAT — Need, Economic impact, Access to authority, Timeline — for fast qualification. SNAP — keep it Simple, be iNvaluable, Align, raise Priorities — for overloaded buyers.</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SNAP for the Head of Operations drowning in a T+1 programme; NEAT to triage the scramble of 23/5-readiness inbound.</w:t>
      </w:r>
    </w:p>
    <w:p>
      <w:pPr>
        <w:pStyle w:val="Heading2"/>
      </w:pPr>
      <w:r>
        <w:t xml:space="preserve">Committee &amp; Account</w:t>
      </w:r>
    </w:p>
    <w:p>
      <w:pPr>
        <w:spacing w:after="30" w:before="80"/>
      </w:pPr>
      <w:r>
        <w:rPr>
          <w:rFonts w:ascii="Cambria" w:cs="Cambria" w:eastAsia="Cambria" w:hAnsi="Cambria"/>
          <w:b/>
          <w:bCs/>
          <w:color w:val="1C3A52"/>
          <w:sz w:val="22"/>
          <w:szCs w:val="22"/>
        </w:rPr>
        <w:t xml:space="preserve">Miller Heiman Strategic Selling (the Blue Sheet)</w:t>
      </w:r>
    </w:p>
    <w:p>
      <w:pPr>
        <w:spacing w:after="50" w:line="296"/>
        <w:jc w:val="both"/>
      </w:pPr>
      <w:r>
        <w:rPr>
          <w:rFonts w:ascii="Calibri" w:cs="Calibri" w:eastAsia="Calibri" w:hAnsi="Calibri"/>
          <w:color w:val="33312B"/>
          <w:sz w:val="22"/>
          <w:szCs w:val="22"/>
        </w:rPr>
        <w:t xml:space="preserve">Map every buying influence — economic, user, technical and coach — with their win-results and your standing with each. The canonical tool for orchestrating a large committee.</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The default operating system for an eight-figure platform deal across PM, quant, architecture, risk and procurement.</w:t>
      </w:r>
    </w:p>
    <w:p>
      <w:pPr>
        <w:spacing w:after="30" w:before="80"/>
      </w:pPr>
      <w:r>
        <w:rPr>
          <w:rFonts w:ascii="Cambria" w:cs="Cambria" w:eastAsia="Cambria" w:hAnsi="Cambria"/>
          <w:b/>
          <w:bCs/>
          <w:color w:val="1C3A52"/>
          <w:sz w:val="22"/>
          <w:szCs w:val="22"/>
        </w:rPr>
        <w:t xml:space="preserve">Target Account / Account-Based Selling</w:t>
      </w:r>
    </w:p>
    <w:p>
      <w:pPr>
        <w:spacing w:after="50" w:line="296"/>
        <w:jc w:val="both"/>
      </w:pPr>
      <w:r>
        <w:rPr>
          <w:rFonts w:ascii="Calibri" w:cs="Calibri" w:eastAsia="Calibri" w:hAnsi="Calibri"/>
          <w:color w:val="33312B"/>
          <w:sz w:val="22"/>
          <w:szCs w:val="22"/>
        </w:rPr>
        <w:t xml:space="preserve">Treat a named account as the unit of work, not a lead. Orchestrate a coordinated, multi-threaded campaign across the whole buying group.</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A Tier-1 bank is an account to be campaigned over quarters, not a lead to be worked in a week.</w:t>
      </w:r>
    </w:p>
    <w:p>
      <w:pPr>
        <w:pStyle w:val="Heading2"/>
      </w:pPr>
      <w:r>
        <w:t xml:space="preserve">Timing &amp; Presence</w:t>
      </w:r>
    </w:p>
    <w:p>
      <w:pPr>
        <w:spacing w:after="30" w:before="80"/>
      </w:pPr>
      <w:r>
        <w:rPr>
          <w:rFonts w:ascii="Cambria" w:cs="Cambria" w:eastAsia="Cambria" w:hAnsi="Cambria"/>
          <w:b/>
          <w:bCs/>
          <w:color w:val="1C3A52"/>
          <w:sz w:val="22"/>
          <w:szCs w:val="22"/>
        </w:rPr>
        <w:t xml:space="preserve">Social &amp; Digital Selling</w:t>
      </w:r>
    </w:p>
    <w:p>
      <w:pPr>
        <w:spacing w:after="50" w:line="296"/>
        <w:jc w:val="both"/>
      </w:pPr>
      <w:r>
        <w:rPr>
          <w:rFonts w:ascii="Calibri" w:cs="Calibri" w:eastAsia="Calibri" w:hAnsi="Calibri"/>
          <w:color w:val="33312B"/>
          <w:sz w:val="22"/>
          <w:szCs w:val="22"/>
        </w:rPr>
        <w:t xml:space="preserve">Build presence and credibility in the places buyers research, long before a deal exists, so that you are already known and trusted when one appears.</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Be a recognised voice on T+1 readiness and post-trade automation — on the platforms and at the conferences where operations and risk leaders gather.</w:t>
      </w:r>
    </w:p>
    <w:p>
      <w:pPr>
        <w:spacing w:after="30" w:before="80"/>
      </w:pPr>
      <w:r>
        <w:rPr>
          <w:rFonts w:ascii="Cambria" w:cs="Cambria" w:eastAsia="Cambria" w:hAnsi="Cambria"/>
          <w:b/>
          <w:bCs/>
          <w:color w:val="1C3A52"/>
          <w:sz w:val="22"/>
          <w:szCs w:val="22"/>
        </w:rPr>
        <w:t xml:space="preserve">The Timing Layer</w:t>
      </w:r>
    </w:p>
    <w:p>
      <w:pPr>
        <w:spacing w:after="50" w:line="296"/>
        <w:jc w:val="both"/>
      </w:pPr>
      <w:r>
        <w:rPr>
          <w:rFonts w:ascii="Calibri" w:cs="Calibri" w:eastAsia="Calibri" w:hAnsi="Calibri"/>
          <w:color w:val="33312B"/>
          <w:sz w:val="22"/>
          <w:szCs w:val="22"/>
        </w:rPr>
        <w:t xml:space="preserve">Every methodology above improves what happens inside a conversation. None tells you which conversation to be in, or when. The discipline of watching trigger events decides where most revenue is actually won.</w:t>
      </w:r>
    </w:p>
    <w:p>
      <w:pPr>
        <w:spacing w:after="120" w:line="292"/>
        <w:jc w:val="both"/>
      </w:pPr>
      <w:r>
        <w:rPr>
          <w:rFonts w:ascii="Calibri" w:cs="Calibri" w:eastAsia="Calibri" w:hAnsi="Calibri"/>
          <w:b/>
          <w:bCs/>
          <w:color w:val="8F7647"/>
          <w:sz w:val="21"/>
          <w:szCs w:val="21"/>
        </w:rPr>
        <w:t xml:space="preserve">In capital markets:  </w:t>
      </w:r>
      <w:r>
        <w:rPr>
          <w:rFonts w:ascii="Calibri" w:cs="Calibri" w:eastAsia="Calibri" w:hAnsi="Calibri"/>
          <w:color w:val="33312B"/>
          <w:sz w:val="21"/>
          <w:szCs w:val="21"/>
        </w:rPr>
        <w:t xml:space="preserve">Monitor the catalysts — the 2027 deadline, an outage, a leadership change, an M&amp;A, a consolidation decision — and arrive before the RFP is written.</w:t>
      </w:r>
    </w:p>
    <w:p>
      <w:pPr>
        <w:pageBreakBefore/>
        <w:spacing w:after="0" w:before="0"/>
      </w:pPr>
      <w:r>
        <w:rPr>
          <w:rFonts w:ascii="Calibri" w:cs="Calibri" w:eastAsia="Calibri" w:hAnsi="Calibri"/>
          <w:b/>
          <w:bCs/>
          <w:color w:val="8F7647"/>
          <w:spacing w:val="30"/>
          <w:sz w:val="18"/>
          <w:szCs w:val="18"/>
        </w:rPr>
        <w:t xml:space="preserve">THE HEART OF THE DOCTRINE</w:t>
      </w:r>
    </w:p>
    <w:p>
      <w:pPr>
        <w:pStyle w:val="Heading1"/>
        <w:spacing w:after="150" w:before="40"/>
      </w:pPr>
      <w:r>
        <w:t xml:space="preserve">Part Two — The Eight Convictions</w:t>
      </w:r>
    </w:p>
    <w:p>
      <w:pPr>
        <w:spacing w:after="150" w:line="296"/>
        <w:jc w:val="both"/>
      </w:pPr>
      <w:r>
        <w:rPr>
          <w:rFonts w:ascii="Calibri" w:cs="Calibri" w:eastAsia="Calibri" w:hAnsi="Calibri"/>
          <w:color w:val="33312B"/>
          <w:sz w:val="22"/>
          <w:szCs w:val="22"/>
        </w:rPr>
        <w:t xml:space="preserve">Each conviction below is a belief we hold about selling, set against the specific pressures of capital-markets technology. Every lesson follows the same arc: the conviction itself; the passivity trap it breaks; how it operates in capital markets; the weapons to wield; an extended case study; a drill; a scorecard; the failure mode; and field notes. Read them in order — they compound.</w:t>
      </w:r>
    </w:p>
    <w:p>
      <w:pPr>
        <w:pageBreakBefore/>
        <w:spacing w:after="0" w:before="0"/>
      </w:pPr>
      <w:r>
        <w:rPr>
          <w:rFonts w:ascii="Calibri" w:cs="Calibri" w:eastAsia="Calibri" w:hAnsi="Calibri"/>
          <w:b/>
          <w:bCs/>
          <w:color w:val="8F7647"/>
          <w:spacing w:val="30"/>
          <w:sz w:val="18"/>
          <w:szCs w:val="18"/>
        </w:rPr>
        <w:t xml:space="preserve">PHASE I · THE FIRST SELECTION</w:t>
      </w:r>
    </w:p>
    <w:p>
      <w:pPr>
        <w:pStyle w:val="Heading1"/>
        <w:spacing w:after="150" w:before="40"/>
      </w:pPr>
      <w:r>
        <w:t xml:space="preserve">Lesson 01 — The Zero-Sum Pipeline</w:t>
      </w:r>
    </w:p>
    <w:p>
      <w:pPr>
        <w:spacing w:after="170" w:before="0"/>
      </w:pPr>
      <w:r>
        <w:rPr>
          <w:rFonts w:ascii="Cambria" w:cs="Cambria" w:eastAsia="Cambria" w:hAnsi="Cambria"/>
          <w:color w:val="8F7647"/>
          <w:sz w:val="26"/>
          <w:szCs w:val="26"/>
        </w:rPr>
        <w:t xml:space="preserve">“We do not wait for budget. We take it.”</w:t>
      </w:r>
    </w:p>
    <w:p>
      <w:pPr>
        <w:pStyle w:val="Heading2"/>
      </w:pPr>
      <w:r>
        <w:t xml:space="preserve">The Conviction</w:t>
      </w:r>
    </w:p>
    <w:p>
      <w:pPr>
        <w:spacing w:after="150" w:line="296"/>
        <w:jc w:val="both"/>
      </w:pPr>
      <w:r>
        <w:rPr>
          <w:rFonts w:ascii="Calibri" w:cs="Calibri" w:eastAsia="Calibri" w:hAnsi="Calibri"/>
          <w:color w:val="33312B"/>
          <w:sz w:val="22"/>
          <w:szCs w:val="22"/>
        </w:rPr>
        <w:t xml:space="preserve">Bruntsfield holds a hard first conviction: enterprise revenue is zero-sum, and there is no neutral outcome. Every budget is finite, every mandate is contested, and a contract you do not win is not one that stays open — it is one a competitor closes, often for three to five years, financing their roadmap with money that should have been yours.</w:t>
      </w:r>
    </w:p>
    <w:p>
      <w:pPr>
        <w:spacing w:after="150" w:line="296"/>
        <w:jc w:val="both"/>
      </w:pPr>
      <w:r>
        <w:rPr>
          <w:rFonts w:ascii="Calibri" w:cs="Calibri" w:eastAsia="Calibri" w:hAnsi="Calibri"/>
          <w:color w:val="33312B"/>
          <w:sz w:val="22"/>
          <w:szCs w:val="22"/>
        </w:rPr>
        <w:t xml:space="preserve">We reject the comfortable fiction that a deal can be lost gracefully or deferred safely. The seller who waits to be invited has already surrendered the initiative; by the time the RFP is written, the outcome is usually decided. We believe the number belongs to the person willing to choose the hardest, most valuable target and move on it deliberately — not the one tending a polite queue and calling it a pipeline.</w:t>
      </w:r>
    </w:p>
    <w:p>
      <w:pPr>
        <w:pStyle w:val="Heading2"/>
      </w:pPr>
      <w:r>
        <w:t xml:space="preserve">The Passivity Trap</w:t>
      </w:r>
    </w:p>
    <w:p>
      <w:pPr>
        <w:spacing w:after="150" w:line="296"/>
        <w:jc w:val="both"/>
      </w:pPr>
      <w:r>
        <w:rPr>
          <w:rFonts w:ascii="Calibri" w:cs="Calibri" w:eastAsia="Calibri" w:hAnsi="Calibri"/>
          <w:color w:val="33312B"/>
          <w:sz w:val="22"/>
          <w:szCs w:val="22"/>
        </w:rPr>
        <w:t xml:space="preserve">Somewhere in a long career, selling quietly becomes waiting. Waiting for the inbound lead, for the renewal cycle, for the relationship to mature on its own. The seller stops choosing targets and starts administering a territory. Activity stays high; initiative quietly dies.</w:t>
      </w:r>
    </w:p>
    <w:p>
      <w:pPr>
        <w:spacing w:after="150" w:line="296"/>
        <w:jc w:val="both"/>
      </w:pPr>
      <w:r>
        <w:rPr>
          <w:rFonts w:ascii="Calibri" w:cs="Calibri" w:eastAsia="Calibri" w:hAnsi="Calibri"/>
          <w:color w:val="33312B"/>
          <w:sz w:val="22"/>
          <w:szCs w:val="22"/>
        </w:rPr>
        <w:t xml:space="preserve">A seller who waits becomes a placeholder — interchangeable, forgettable, and easily displaced by the next name on the panel. The first conviction is the hardest because it asks you to admit that comfort has made you passive, and that a far more capable operator is still in there, dormant under years of process.</w:t>
      </w:r>
    </w:p>
    <w:p>
      <w:pPr>
        <w:pStyle w:val="Heading2"/>
      </w:pPr>
      <w:r>
        <w:t xml:space="preserve">In Capital Markets</w:t>
      </w:r>
    </w:p>
    <w:p>
      <w:pPr>
        <w:spacing w:after="150" w:line="296"/>
        <w:jc w:val="both"/>
      </w:pPr>
      <w:r>
        <w:rPr>
          <w:rFonts w:ascii="Calibri" w:cs="Calibri" w:eastAsia="Calibri" w:hAnsi="Calibri"/>
          <w:color w:val="33312B"/>
          <w:sz w:val="22"/>
          <w:szCs w:val="22"/>
        </w:rPr>
        <w:t xml:space="preserve">Capital-markets technology is the purest zero-sum arena there is. Core systems — order and execution management, market-data feeds, real-time risk and collateral engines, settlement and surveillance platforms — carry switching costs in the millions and contracts measured in years. When a Tier-1 bank signs a multi-year deal with a competitor, that budget is gone and your access to the account is frozen for the life of the contract.</w:t>
      </w:r>
    </w:p>
    <w:p>
      <w:pPr>
        <w:spacing w:after="150" w:line="296"/>
        <w:jc w:val="both"/>
      </w:pPr>
      <w:r>
        <w:rPr>
          <w:rFonts w:ascii="Calibri" w:cs="Calibri" w:eastAsia="Calibri" w:hAnsi="Calibri"/>
          <w:color w:val="33312B"/>
          <w:sz w:val="22"/>
          <w:szCs w:val="22"/>
        </w:rPr>
        <w:t xml:space="preserve">But the market is also handing you the most legible set of trigger events in a generation. The settlement squeeze toward T+1 (UK, EU and Switzerland on 11 October 2027, with T+0 confirmations mandated by December 2026), the move to 23/5 and tokenised always-on trading, and the buy-side rush to consolidate vendors are all dated, board-level catalysts. Each one prises a long-frozen budget open. The egoist does not wait for the procurement process those catalysts will eventually trigger; the egoist arrives first, with a thesis, while the incumbent still feels safe.</w:t>
      </w:r>
    </w:p>
    <w:p>
      <w:pPr>
        <w:pStyle w:val="Heading2"/>
      </w:pPr>
      <w:r>
        <w:t xml:space="preserve">The Weapons to Wield</w:t>
      </w:r>
    </w:p>
    <w:p>
      <w:pPr>
        <w:pStyle w:val="ListParagraph"/>
        <w:numPr>
          <w:ilvl w:val="0"/>
          <w:numId w:val="2"/>
        </w:numPr>
        <w:spacing w:after="80" w:line="286"/>
      </w:pPr>
      <w:r>
        <w:rPr>
          <w:rFonts w:ascii="Calibri" w:cs="Calibri" w:eastAsia="Calibri" w:hAnsi="Calibri"/>
          <w:color w:val="33312B"/>
          <w:sz w:val="22"/>
          <w:szCs w:val="22"/>
        </w:rPr>
        <w:t xml:space="preserve">Target Account Selling — treat the Tier-1 account as the unit of work and commit to a multi-quarter campaign, not a quarter-end push.</w:t>
      </w:r>
    </w:p>
    <w:p>
      <w:pPr>
        <w:pStyle w:val="ListParagraph"/>
        <w:numPr>
          <w:ilvl w:val="0"/>
          <w:numId w:val="2"/>
        </w:numPr>
        <w:spacing w:after="80" w:line="286"/>
      </w:pPr>
      <w:r>
        <w:rPr>
          <w:rFonts w:ascii="Calibri" w:cs="Calibri" w:eastAsia="Calibri" w:hAnsi="Calibri"/>
          <w:color w:val="33312B"/>
          <w:sz w:val="22"/>
          <w:szCs w:val="22"/>
        </w:rPr>
        <w:t xml:space="preserve">Command of the Message — build a 'why us, why now' anchored to a dated catalyst, so the conversation starts as a priority rather than a courtesy.</w:t>
      </w:r>
    </w:p>
    <w:p>
      <w:pPr>
        <w:pStyle w:val="ListParagraph"/>
        <w:numPr>
          <w:ilvl w:val="0"/>
          <w:numId w:val="2"/>
        </w:numPr>
        <w:spacing w:after="80" w:line="286"/>
      </w:pPr>
      <w:r>
        <w:rPr>
          <w:rFonts w:ascii="Calibri" w:cs="Calibri" w:eastAsia="Calibri" w:hAnsi="Calibri"/>
          <w:color w:val="33312B"/>
          <w:sz w:val="22"/>
          <w:szCs w:val="22"/>
        </w:rPr>
        <w:t xml:space="preserve">Competitive displacement — author the thesis for why the incumbent must be replaced before anyone has asked the question.</w:t>
      </w:r>
    </w:p>
    <w:p>
      <w:pPr>
        <w:spacing w:after="12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F4F1E9"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CASE STUDY · DISPLACING THE INCUMBENT AT MERIDIAN SECURITIES</w:t>
            </w:r>
          </w:p>
          <w:p>
            <w:pPr>
              <w:spacing w:after="100" w:line="292"/>
            </w:pPr>
            <w:r>
              <w:rPr>
                <w:rFonts w:ascii="Calibri" w:cs="Calibri" w:eastAsia="Calibri" w:hAnsi="Calibri"/>
                <w:color w:val="33312B"/>
                <w:sz w:val="21"/>
                <w:szCs w:val="21"/>
              </w:rPr>
              <w:t xml:space="preserve">Meridian Securities, a Tier-1 broker, ran a seven-year-old execution-management system whose vendor had quietly stopped investing. The contract had eighteen months to run. Every competing salesperson had the same plan: wait for the renewal RFP and respond. The account looked closed.</w:t>
            </w:r>
          </w:p>
          <w:p>
            <w:pPr>
              <w:spacing w:after="100" w:line="292"/>
            </w:pPr>
            <w:r>
              <w:rPr>
                <w:rFonts w:ascii="Calibri" w:cs="Calibri" w:eastAsia="Calibri" w:hAnsi="Calibri"/>
                <w:color w:val="33312B"/>
                <w:sz w:val="21"/>
                <w:szCs w:val="21"/>
              </w:rPr>
              <w:t xml:space="preserve">The Bruntsfield-trained seller refused the queue. She built a displacement thesis the incumbent could not answer: under 23/5 extended hours and the burstier market-data environment, Meridian's legacy EMS would miss capacity during exactly the volatile sessions that mattered most, and its overnight-batch assumptions were incompatible with the post-trade compression coming in 2027. She quantified it — modelled slippage during peak sessions, and the operational risk of a settlement window cut in half.</w:t>
            </w:r>
          </w:p>
          <w:p>
            <w:pPr>
              <w:spacing w:after="0" w:line="292"/>
            </w:pPr>
            <w:r>
              <w:rPr>
                <w:rFonts w:ascii="Calibri" w:cs="Calibri" w:eastAsia="Calibri" w:hAnsi="Calibri"/>
                <w:color w:val="33312B"/>
                <w:sz w:val="21"/>
                <w:szCs w:val="21"/>
              </w:rPr>
              <w:t xml:space="preserve">Rather than route through procurement, she reached the Head of Trading directly with that single insight, nine months before anyone expected a process to begin. The conversation did not start as a vendor pitch; it started as a warning the desk head could not unhear. By the time procurement formally opened, the criteria had quietly been shaped around capabilities only Bruntsfield's modernisation approach could meet. The incumbent responded to an RFP that had already been lost.</w:t>
            </w:r>
          </w:p>
        </w:tc>
      </w:tr>
    </w:tbl>
    <w:p>
      <w:pPr>
        <w:pStyle w:val="Heading2"/>
      </w:pPr>
      <w:r>
        <w:t xml:space="preserve">The Drill</w:t>
      </w:r>
    </w:p>
    <w:p>
      <w:pPr>
        <w:pStyle w:val="ListParagraph"/>
        <w:numPr>
          <w:ilvl w:val="0"/>
          <w:numId w:val="3"/>
        </w:numPr>
        <w:spacing w:after="80" w:line="286"/>
      </w:pPr>
      <w:r>
        <w:rPr>
          <w:rFonts w:ascii="Calibri" w:cs="Calibri" w:eastAsia="Calibri" w:hAnsi="Calibri"/>
          <w:color w:val="33312B"/>
          <w:sz w:val="22"/>
          <w:szCs w:val="22"/>
        </w:rPr>
        <w:t xml:space="preserve">Choose one account you have been passively covering — held by a competitor, or stagnating.</w:t>
      </w:r>
    </w:p>
    <w:p>
      <w:pPr>
        <w:pStyle w:val="ListParagraph"/>
        <w:numPr>
          <w:ilvl w:val="0"/>
          <w:numId w:val="3"/>
        </w:numPr>
        <w:spacing w:after="80" w:line="286"/>
      </w:pPr>
      <w:r>
        <w:rPr>
          <w:rFonts w:ascii="Calibri" w:cs="Calibri" w:eastAsia="Calibri" w:hAnsi="Calibri"/>
          <w:color w:val="33312B"/>
          <w:sz w:val="22"/>
          <w:szCs w:val="22"/>
        </w:rPr>
        <w:t xml:space="preserve">Identify the dated catalyst that will force its hand: a renewal, the 2027 deadline, a consolidation, an outage.</w:t>
      </w:r>
    </w:p>
    <w:p>
      <w:pPr>
        <w:pStyle w:val="ListParagraph"/>
        <w:numPr>
          <w:ilvl w:val="0"/>
          <w:numId w:val="3"/>
        </w:numPr>
        <w:spacing w:after="80" w:line="286"/>
      </w:pPr>
      <w:r>
        <w:rPr>
          <w:rFonts w:ascii="Calibri" w:cs="Calibri" w:eastAsia="Calibri" w:hAnsi="Calibri"/>
          <w:color w:val="33312B"/>
          <w:sz w:val="22"/>
          <w:szCs w:val="22"/>
        </w:rPr>
        <w:t xml:space="preserve">Author a one-page displacement thesis with a quantified cost of standing still.</w:t>
      </w:r>
    </w:p>
    <w:p>
      <w:pPr>
        <w:pStyle w:val="ListParagraph"/>
        <w:numPr>
          <w:ilvl w:val="0"/>
          <w:numId w:val="3"/>
        </w:numPr>
        <w:spacing w:after="80" w:line="286"/>
      </w:pPr>
      <w:r>
        <w:rPr>
          <w:rFonts w:ascii="Calibri" w:cs="Calibri" w:eastAsia="Calibri" w:hAnsi="Calibri"/>
          <w:color w:val="33312B"/>
          <w:sz w:val="22"/>
          <w:szCs w:val="22"/>
        </w:rPr>
        <w:t xml:space="preserve">Reach the economic buyer this week, ahead of any process. You start the conversation.</w:t>
      </w:r>
    </w:p>
    <w:p>
      <w:pPr>
        <w:pStyle w:val="Heading2"/>
      </w:pPr>
      <w:r>
        <w:t xml:space="preserve">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Metric</w:t>
            </w:r>
          </w:p>
        </w:tc>
        <w:tc>
          <w:tcPr>
            <w:tcW w:type="dxa" w:w="616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What it measures</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Accounts pursued vs. covered</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Accounts you actively moved on, not merely held in a territory list.</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Budget displaced</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Value of spend pulled off a competitor and onto your roadmap.</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Decision-maker reach</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Share of targets where you reached the economic buyer, not a gatekeeper.</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Initiated conversations</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Deals you started ahead of any RFP, versus those that arrived inbound.</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EEEADD"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THE FAILURE MODE</w:t>
            </w:r>
          </w:p>
          <w:p>
            <w:pPr>
              <w:spacing w:after="0" w:line="292"/>
            </w:pPr>
            <w:r>
              <w:rPr>
                <w:rFonts w:ascii="Calibri" w:cs="Calibri" w:eastAsia="Calibri" w:hAnsi="Calibri"/>
                <w:color w:val="33312B"/>
                <w:sz w:val="21"/>
                <w:szCs w:val="21"/>
              </w:rPr>
              <w:t xml:space="preserve">Treating a lost or un-pursued deal as neutral. It is not neutral — it arms a competitor and freezes the budget for years. Hesitation dressed up as professional courtesy is the most expensive habit in this entire doctrine.</w:t>
            </w:r>
          </w:p>
        </w:tc>
      </w:tr>
    </w:tbl>
    <w:p>
      <w:pPr>
        <w:pStyle w:val="Heading2"/>
      </w:pPr>
      <w:r>
        <w:t xml:space="preserve">Field Notes</w:t>
      </w:r>
    </w:p>
    <w:p>
      <w:pPr>
        <w:pStyle w:val="ListParagraph"/>
        <w:numPr>
          <w:ilvl w:val="0"/>
          <w:numId w:val="2"/>
        </w:numPr>
        <w:spacing w:after="80" w:line="286"/>
      </w:pPr>
      <w:r>
        <w:rPr>
          <w:rFonts w:ascii="Calibri" w:cs="Calibri" w:eastAsia="Calibri" w:hAnsi="Calibri"/>
          <w:color w:val="33312B"/>
          <w:sz w:val="22"/>
          <w:szCs w:val="22"/>
        </w:rPr>
        <w:t xml:space="preserve">The renewal date is public information; work backwards from it by nine to twelve months.</w:t>
      </w:r>
    </w:p>
    <w:p>
      <w:pPr>
        <w:pStyle w:val="ListParagraph"/>
        <w:numPr>
          <w:ilvl w:val="0"/>
          <w:numId w:val="2"/>
        </w:numPr>
        <w:spacing w:after="80" w:line="286"/>
      </w:pPr>
      <w:r>
        <w:rPr>
          <w:rFonts w:ascii="Calibri" w:cs="Calibri" w:eastAsia="Calibri" w:hAnsi="Calibri"/>
          <w:color w:val="33312B"/>
          <w:sz w:val="22"/>
          <w:szCs w:val="22"/>
        </w:rPr>
        <w:t xml:space="preserve">'Why now' beats 'why us' — lead with the catalyst, not the capability.</w:t>
      </w:r>
    </w:p>
    <w:p>
      <w:pPr>
        <w:pStyle w:val="ListParagraph"/>
        <w:numPr>
          <w:ilvl w:val="0"/>
          <w:numId w:val="2"/>
        </w:numPr>
        <w:spacing w:after="80" w:line="286"/>
      </w:pPr>
      <w:r>
        <w:rPr>
          <w:rFonts w:ascii="Calibri" w:cs="Calibri" w:eastAsia="Calibri" w:hAnsi="Calibri"/>
          <w:color w:val="33312B"/>
          <w:sz w:val="22"/>
          <w:szCs w:val="22"/>
        </w:rPr>
        <w:t xml:space="preserve">If you cannot name the incumbent and their weakness, you do not yet have a thesis.</w:t>
      </w:r>
    </w:p>
    <w:p>
      <w:pPr>
        <w:pageBreakBefore/>
        <w:spacing w:after="0" w:before="0"/>
      </w:pPr>
      <w:r>
        <w:rPr>
          <w:rFonts w:ascii="Calibri" w:cs="Calibri" w:eastAsia="Calibri" w:hAnsi="Calibri"/>
          <w:b/>
          <w:bCs/>
          <w:color w:val="8F7647"/>
          <w:spacing w:val="30"/>
          <w:sz w:val="18"/>
          <w:szCs w:val="18"/>
        </w:rPr>
        <w:t xml:space="preserve">PHASE I · THE FIRST SELECTION</w:t>
      </w:r>
    </w:p>
    <w:p>
      <w:pPr>
        <w:pStyle w:val="Heading1"/>
        <w:spacing w:after="150" w:before="40"/>
      </w:pPr>
      <w:r>
        <w:t xml:space="preserve">Lesson 02 — Your Unfair Advantage</w:t>
      </w:r>
    </w:p>
    <w:p>
      <w:pPr>
        <w:spacing w:after="170" w:before="0"/>
      </w:pPr>
      <w:r>
        <w:rPr>
          <w:rFonts w:ascii="Cambria" w:cs="Cambria" w:eastAsia="Cambria" w:hAnsi="Cambria"/>
          <w:color w:val="8F7647"/>
          <w:sz w:val="26"/>
          <w:szCs w:val="26"/>
        </w:rPr>
        <w:t xml:space="preserve">“A generalist is forgettable. Choose one weapon.”</w:t>
      </w:r>
    </w:p>
    <w:p>
      <w:pPr>
        <w:pStyle w:val="Heading2"/>
      </w:pPr>
      <w:r>
        <w:t xml:space="preserve">The Conviction</w:t>
      </w:r>
    </w:p>
    <w:p>
      <w:pPr>
        <w:spacing w:after="150" w:line="296"/>
        <w:jc w:val="both"/>
      </w:pPr>
      <w:r>
        <w:rPr>
          <w:rFonts w:ascii="Calibri" w:cs="Calibri" w:eastAsia="Calibri" w:hAnsi="Calibri"/>
          <w:color w:val="33312B"/>
          <w:sz w:val="22"/>
          <w:szCs w:val="22"/>
        </w:rPr>
        <w:t xml:space="preserve">We believe a method is only a tool. It becomes a weapon at the moment you define the formula for how it wins — the buyer it is built for, the opening it exploits, the proof it carries, the close it forces. Until then it is potential, not power.</w:t>
      </w:r>
    </w:p>
    <w:p>
      <w:pPr>
        <w:spacing w:after="150" w:line="296"/>
        <w:jc w:val="both"/>
      </w:pPr>
      <w:r>
        <w:rPr>
          <w:rFonts w:ascii="Calibri" w:cs="Calibri" w:eastAsia="Calibri" w:hAnsi="Calibri"/>
          <w:color w:val="33312B"/>
          <w:sz w:val="22"/>
          <w:szCs w:val="22"/>
        </w:rPr>
        <w:t xml:space="preserve">And we believe the generalist — fluent in everything, decisive about nothing — has no real value to a deal. The market does not reward range; it rewards the seller who is undeniable at one thing. Our conviction is that you must select a signature weapon from the armoury and sharpen it past the point where any competitor can match you on it.</w:t>
      </w:r>
    </w:p>
    <w:p>
      <w:pPr>
        <w:pStyle w:val="Heading2"/>
      </w:pPr>
      <w:r>
        <w:t xml:space="preserve">The Passivity Trap</w:t>
      </w:r>
    </w:p>
    <w:p>
      <w:pPr>
        <w:spacing w:after="150" w:line="296"/>
        <w:jc w:val="both"/>
      </w:pPr>
      <w:r>
        <w:rPr>
          <w:rFonts w:ascii="Calibri" w:cs="Calibri" w:eastAsia="Calibri" w:hAnsi="Calibri"/>
          <w:color w:val="33312B"/>
          <w:sz w:val="22"/>
          <w:szCs w:val="22"/>
        </w:rPr>
        <w:t xml:space="preserve">The passive seller has become a generalist by default. They are available, likeable and easy to deal with, and they have quietly mistaken those qualities for an edge. They are not an edge; they are the price of entry.</w:t>
      </w:r>
    </w:p>
    <w:p>
      <w:pPr>
        <w:spacing w:after="150" w:line="296"/>
        <w:jc w:val="both"/>
      </w:pPr>
      <w:r>
        <w:rPr>
          <w:rFonts w:ascii="Calibri" w:cs="Calibri" w:eastAsia="Calibri" w:hAnsi="Calibri"/>
          <w:color w:val="33312B"/>
          <w:sz w:val="22"/>
          <w:szCs w:val="22"/>
        </w:rPr>
        <w:t xml:space="preserve">Awakening here means refusing the safety of being adequate at many things and choosing instead to be lethal at one. It is uncomfortable precisely because it forecloses options — and that foreclosure is the whole point.</w:t>
      </w:r>
    </w:p>
    <w:p>
      <w:pPr>
        <w:pStyle w:val="Heading2"/>
      </w:pPr>
      <w:r>
        <w:t xml:space="preserve">In Capital Markets</w:t>
      </w:r>
    </w:p>
    <w:p>
      <w:pPr>
        <w:spacing w:after="150" w:line="296"/>
        <w:jc w:val="both"/>
      </w:pPr>
      <w:r>
        <w:rPr>
          <w:rFonts w:ascii="Calibri" w:cs="Calibri" w:eastAsia="Calibri" w:hAnsi="Calibri"/>
          <w:color w:val="33312B"/>
          <w:sz w:val="22"/>
          <w:szCs w:val="22"/>
        </w:rPr>
        <w:t xml:space="preserve">The armoury is wide, and capital-markets buyers are too varied for a single tool. A Head of Trading responds to a quantified Challenger insight; a quant responds to a working, tailored prototype; a CRO responds to trust earned over time and a hard regulatory justification. Bringing the wrong weapon to the wrong buyer is an instant disqualification — a feature-tour to a quant, or a slide-deck of dashboards to a Head of Risk, ends the conversation before it starts.</w:t>
      </w:r>
    </w:p>
    <w:p>
      <w:pPr>
        <w:spacing w:after="150" w:line="296"/>
        <w:jc w:val="both"/>
      </w:pPr>
      <w:r>
        <w:rPr>
          <w:rFonts w:ascii="Calibri" w:cs="Calibri" w:eastAsia="Calibri" w:hAnsi="Calibri"/>
          <w:color w:val="33312B"/>
          <w:sz w:val="22"/>
          <w:szCs w:val="22"/>
        </w:rPr>
        <w:t xml:space="preserve">Three archetypal weapons dominate the field. The Relationship weapon converts trust into the internal political leverage needed to unseat a multi-year incumbent. The Challenger weapon confronts the buyer with a cost they had not measured and strikes before their own engineers can build a counter-argument. The Demo weapon drops a sanitised snapshot of the buyer's own messy workflow into a working prototype and wins immediate, emotional buy-in. The egoist is not equally good at all three; the egoist is famous for one.</w:t>
      </w:r>
    </w:p>
    <w:p>
      <w:pPr>
        <w:pStyle w:val="Heading2"/>
      </w:pPr>
      <w:r>
        <w:t xml:space="preserve">The Weapons to Wield</w:t>
      </w:r>
    </w:p>
    <w:p>
      <w:pPr>
        <w:pStyle w:val="ListParagraph"/>
        <w:numPr>
          <w:ilvl w:val="0"/>
          <w:numId w:val="2"/>
        </w:numPr>
        <w:spacing w:after="80" w:line="286"/>
      </w:pPr>
      <w:r>
        <w:rPr>
          <w:rFonts w:ascii="Calibri" w:cs="Calibri" w:eastAsia="Calibri" w:hAnsi="Calibri"/>
          <w:color w:val="33312B"/>
          <w:sz w:val="22"/>
          <w:szCs w:val="22"/>
        </w:rPr>
        <w:t xml:space="preserve">The full armoury (see Part One) — studied not to use everything, but to choose deliberately.</w:t>
      </w:r>
    </w:p>
    <w:p>
      <w:pPr>
        <w:pStyle w:val="ListParagraph"/>
        <w:numPr>
          <w:ilvl w:val="0"/>
          <w:numId w:val="2"/>
        </w:numPr>
        <w:spacing w:after="80" w:line="286"/>
      </w:pPr>
      <w:r>
        <w:rPr>
          <w:rFonts w:ascii="Calibri" w:cs="Calibri" w:eastAsia="Calibri" w:hAnsi="Calibri"/>
          <w:color w:val="33312B"/>
          <w:sz w:val="22"/>
          <w:szCs w:val="22"/>
        </w:rPr>
        <w:t xml:space="preserve">A signature weapon — Relationship, Challenger, Demo, or a sharpened named methodology — mastered beyond competition.</w:t>
      </w:r>
    </w:p>
    <w:p>
      <w:pPr>
        <w:pStyle w:val="ListParagraph"/>
        <w:numPr>
          <w:ilvl w:val="0"/>
          <w:numId w:val="2"/>
        </w:numPr>
        <w:spacing w:after="80" w:line="286"/>
      </w:pPr>
      <w:r>
        <w:rPr>
          <w:rFonts w:ascii="Calibri" w:cs="Calibri" w:eastAsia="Calibri" w:hAnsi="Calibri"/>
          <w:color w:val="33312B"/>
          <w:sz w:val="22"/>
          <w:szCs w:val="22"/>
        </w:rPr>
        <w:t xml:space="preserve">A written formula — the buyer, opening, proof and close under which your weapon reliably wins.</w:t>
      </w:r>
    </w:p>
    <w:p>
      <w:pPr>
        <w:spacing w:after="12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F4F1E9"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CASE STUDY · THE GENERALIST WHO CHOSE A WEAPON</w:t>
            </w:r>
          </w:p>
          <w:p>
            <w:pPr>
              <w:spacing w:after="100" w:line="292"/>
            </w:pPr>
            <w:r>
              <w:rPr>
                <w:rFonts w:ascii="Calibri" w:cs="Calibri" w:eastAsia="Calibri" w:hAnsi="Calibri"/>
                <w:color w:val="33312B"/>
                <w:sz w:val="21"/>
                <w:szCs w:val="21"/>
              </w:rPr>
              <w:t xml:space="preserve">A capable, well-liked rep had spent a decade as a generalist — fluent across the product, trusted by clients, and stuck at quota. He could speak to anyone and was decisive with no one. His win rate was average because his approach was average.</w:t>
            </w:r>
          </w:p>
          <w:p>
            <w:pPr>
              <w:spacing w:after="100" w:line="292"/>
            </w:pPr>
            <w:r>
              <w:rPr>
                <w:rFonts w:ascii="Calibri" w:cs="Calibri" w:eastAsia="Calibri" w:hAnsi="Calibri"/>
                <w:color w:val="33312B"/>
                <w:sz w:val="21"/>
                <w:szCs w:val="21"/>
              </w:rPr>
              <w:t xml:space="preserve">He chose a weapon: the post-trade displacement Challenger. He stopped trying to be all things and became the person in the market who could walk into a Head of Operations and quantify, precisely, what the 2027 settlement compression would do to their exception rates and CSDR penalty exposure. He wrote the formula down — the persona (Head of Ops under T+1 pressure), the opening (a quantified exception-rate model), the proof (a working shadow-mode demo), the close (a mutual action plan reverse-engineered from the December 2026 confirmation deadline).</w:t>
            </w:r>
          </w:p>
          <w:p>
            <w:pPr>
              <w:spacing w:after="0" w:line="292"/>
            </w:pPr>
            <w:r>
              <w:rPr>
                <w:rFonts w:ascii="Calibri" w:cs="Calibri" w:eastAsia="Calibri" w:hAnsi="Calibri"/>
                <w:color w:val="33312B"/>
                <w:sz w:val="21"/>
                <w:szCs w:val="21"/>
              </w:rPr>
              <w:t xml:space="preserve">Within two quarters he was no longer competing on likeability. Operations leaders called him because he was the one who understood their specific, dated problem better than their own vendors did. His pipeline narrowed and his win rate roughly doubled. He had traded range for an edge, and the edge won.</w:t>
            </w:r>
          </w:p>
        </w:tc>
      </w:tr>
    </w:tbl>
    <w:p>
      <w:pPr>
        <w:pStyle w:val="Heading2"/>
      </w:pPr>
      <w:r>
        <w:t xml:space="preserve">The Drill</w:t>
      </w:r>
    </w:p>
    <w:p>
      <w:pPr>
        <w:pStyle w:val="ListParagraph"/>
        <w:numPr>
          <w:ilvl w:val="0"/>
          <w:numId w:val="3"/>
        </w:numPr>
        <w:spacing w:after="80" w:line="286"/>
      </w:pPr>
      <w:r>
        <w:rPr>
          <w:rFonts w:ascii="Calibri" w:cs="Calibri" w:eastAsia="Calibri" w:hAnsi="Calibri"/>
          <w:color w:val="33312B"/>
          <w:sz w:val="22"/>
          <w:szCs w:val="22"/>
        </w:rPr>
        <w:t xml:space="preserve">List the methodologies in the armoury and mark the one where you are already most dangerous.</w:t>
      </w:r>
    </w:p>
    <w:p>
      <w:pPr>
        <w:pStyle w:val="ListParagraph"/>
        <w:numPr>
          <w:ilvl w:val="0"/>
          <w:numId w:val="3"/>
        </w:numPr>
        <w:spacing w:after="80" w:line="286"/>
      </w:pPr>
      <w:r>
        <w:rPr>
          <w:rFonts w:ascii="Calibri" w:cs="Calibri" w:eastAsia="Calibri" w:hAnsi="Calibri"/>
          <w:color w:val="33312B"/>
          <w:sz w:val="22"/>
          <w:szCs w:val="22"/>
        </w:rPr>
        <w:t xml:space="preserve">Commit to it as your signature weapon for the quarter — publicly, to your manager.</w:t>
      </w:r>
    </w:p>
    <w:p>
      <w:pPr>
        <w:pStyle w:val="ListParagraph"/>
        <w:numPr>
          <w:ilvl w:val="0"/>
          <w:numId w:val="3"/>
        </w:numPr>
        <w:spacing w:after="80" w:line="286"/>
      </w:pPr>
      <w:r>
        <w:rPr>
          <w:rFonts w:ascii="Calibri" w:cs="Calibri" w:eastAsia="Calibri" w:hAnsi="Calibri"/>
          <w:color w:val="33312B"/>
          <w:sz w:val="22"/>
          <w:szCs w:val="22"/>
        </w:rPr>
        <w:t xml:space="preserve">Write its formula in one sentence: when I do X to buyer Y, I produce outcome Z.</w:t>
      </w:r>
    </w:p>
    <w:p>
      <w:pPr>
        <w:pStyle w:val="ListParagraph"/>
        <w:numPr>
          <w:ilvl w:val="0"/>
          <w:numId w:val="3"/>
        </w:numPr>
        <w:spacing w:after="80" w:line="286"/>
      </w:pPr>
      <w:r>
        <w:rPr>
          <w:rFonts w:ascii="Calibri" w:cs="Calibri" w:eastAsia="Calibri" w:hAnsi="Calibri"/>
          <w:color w:val="33312B"/>
          <w:sz w:val="22"/>
          <w:szCs w:val="22"/>
        </w:rPr>
        <w:t xml:space="preserve">Decline, on purpose, one deal that does not suit your weapon — and notice how it sharpens your focus.</w:t>
      </w:r>
    </w:p>
    <w:p>
      <w:pPr>
        <w:pStyle w:val="Heading2"/>
      </w:pPr>
      <w:r>
        <w:t xml:space="preserve">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Metric</w:t>
            </w:r>
          </w:p>
        </w:tc>
        <w:tc>
          <w:tcPr>
            <w:tcW w:type="dxa" w:w="616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What it measures</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Weapon defined</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Whether you can name your signature weapon without hedging.</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Formula written</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A single-sentence equation for when and how it wins.</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Win rate by weapon</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Which strike actually closes — evidence, not preference.</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Reputation</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Whether buyers now associate you with one specific, valuable thing.</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EEEADD"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THE FAILURE MODE</w:t>
            </w:r>
          </w:p>
          <w:p>
            <w:pPr>
              <w:spacing w:after="0" w:line="292"/>
            </w:pPr>
            <w:r>
              <w:rPr>
                <w:rFonts w:ascii="Calibri" w:cs="Calibri" w:eastAsia="Calibri" w:hAnsi="Calibri"/>
                <w:color w:val="33312B"/>
                <w:sz w:val="21"/>
                <w:szCs w:val="21"/>
              </w:rPr>
              <w:t xml:space="preserve">The Fidelity Gap. A demo that dazzles the front-end but collapses under the CTO's scrutiny — data lineage, SOC 2, security — kills the deal. A relationship without a formula is a fluke; a Challenger claim you cannot substantiate is bravado. In capital markets the gatekeepers are paid to find the gap between what your weapon promises and what survives inspection. Close it before you swing.</w:t>
            </w:r>
          </w:p>
        </w:tc>
      </w:tr>
    </w:tbl>
    <w:p>
      <w:pPr>
        <w:pStyle w:val="Heading2"/>
      </w:pPr>
      <w:r>
        <w:t xml:space="preserve">Field Notes</w:t>
      </w:r>
    </w:p>
    <w:p>
      <w:pPr>
        <w:pStyle w:val="ListParagraph"/>
        <w:numPr>
          <w:ilvl w:val="0"/>
          <w:numId w:val="2"/>
        </w:numPr>
        <w:spacing w:after="80" w:line="286"/>
      </w:pPr>
      <w:r>
        <w:rPr>
          <w:rFonts w:ascii="Calibri" w:cs="Calibri" w:eastAsia="Calibri" w:hAnsi="Calibri"/>
          <w:color w:val="33312B"/>
          <w:sz w:val="22"/>
          <w:szCs w:val="22"/>
        </w:rPr>
        <w:t xml:space="preserve">Range is comforting and invisible; an edge is uncomfortable and memorable.</w:t>
      </w:r>
    </w:p>
    <w:p>
      <w:pPr>
        <w:pStyle w:val="ListParagraph"/>
        <w:numPr>
          <w:ilvl w:val="0"/>
          <w:numId w:val="2"/>
        </w:numPr>
        <w:spacing w:after="80" w:line="286"/>
      </w:pPr>
      <w:r>
        <w:rPr>
          <w:rFonts w:ascii="Calibri" w:cs="Calibri" w:eastAsia="Calibri" w:hAnsi="Calibri"/>
          <w:color w:val="33312B"/>
          <w:sz w:val="22"/>
          <w:szCs w:val="22"/>
        </w:rPr>
        <w:t xml:space="preserve">Your weapon should be nameable by your clients, not just by you.</w:t>
      </w:r>
    </w:p>
    <w:p>
      <w:pPr>
        <w:pStyle w:val="ListParagraph"/>
        <w:numPr>
          <w:ilvl w:val="0"/>
          <w:numId w:val="2"/>
        </w:numPr>
        <w:spacing w:after="80" w:line="286"/>
      </w:pPr>
      <w:r>
        <w:rPr>
          <w:rFonts w:ascii="Calibri" w:cs="Calibri" w:eastAsia="Calibri" w:hAnsi="Calibri"/>
          <w:color w:val="33312B"/>
          <w:sz w:val="22"/>
          <w:szCs w:val="22"/>
        </w:rPr>
        <w:t xml:space="preserve">Mastery is the willingness to disqualify deals your weapon does not fit.</w:t>
      </w:r>
    </w:p>
    <w:p>
      <w:pPr>
        <w:pageBreakBefore/>
        <w:spacing w:after="0" w:before="0"/>
      </w:pPr>
      <w:r>
        <w:rPr>
          <w:rFonts w:ascii="Calibri" w:cs="Calibri" w:eastAsia="Calibri" w:hAnsi="Calibri"/>
          <w:b/>
          <w:bCs/>
          <w:color w:val="8F7647"/>
          <w:spacing w:val="30"/>
          <w:sz w:val="18"/>
          <w:szCs w:val="18"/>
        </w:rPr>
        <w:t xml:space="preserve">PHASE I · THE FIRST SELECTION</w:t>
      </w:r>
    </w:p>
    <w:p>
      <w:pPr>
        <w:pStyle w:val="Heading1"/>
        <w:spacing w:after="150" w:before="40"/>
      </w:pPr>
      <w:r>
        <w:t xml:space="preserve">Lesson 03 — Formulaic Reproducibility</w:t>
      </w:r>
    </w:p>
    <w:p>
      <w:pPr>
        <w:spacing w:after="170" w:before="0"/>
      </w:pPr>
      <w:r>
        <w:rPr>
          <w:rFonts w:ascii="Cambria" w:cs="Cambria" w:eastAsia="Cambria" w:hAnsi="Cambria"/>
          <w:color w:val="8F7647"/>
          <w:sz w:val="26"/>
          <w:szCs w:val="26"/>
        </w:rPr>
        <w:t xml:space="preserve">“A win you cannot repeat is an accident.”</w:t>
      </w:r>
    </w:p>
    <w:p>
      <w:pPr>
        <w:pStyle w:val="Heading2"/>
      </w:pPr>
      <w:r>
        <w:t xml:space="preserve">The Conviction</w:t>
      </w:r>
    </w:p>
    <w:p>
      <w:pPr>
        <w:spacing w:after="150" w:line="296"/>
        <w:jc w:val="both"/>
      </w:pPr>
      <w:r>
        <w:rPr>
          <w:rFonts w:ascii="Calibri" w:cs="Calibri" w:eastAsia="Calibri" w:hAnsi="Calibri"/>
          <w:color w:val="33312B"/>
          <w:sz w:val="22"/>
          <w:szCs w:val="22"/>
        </w:rPr>
        <w:t xml:space="preserve">We believe a win you cannot explain is a win you cannot repeat — and a result you cannot repeat is not a skill, it is luck wearing a suit. Elite selling is an equation, not a performance. This is the same conviction that governs how we treat technology: a one-off fix is worth little; a repeatable, compounding system is worth everything.</w:t>
      </w:r>
    </w:p>
    <w:p>
      <w:pPr>
        <w:spacing w:after="150" w:line="296"/>
        <w:jc w:val="both"/>
      </w:pPr>
      <w:r>
        <w:rPr>
          <w:rFonts w:ascii="Calibri" w:cs="Calibri" w:eastAsia="Calibri" w:hAnsi="Calibri"/>
          <w:color w:val="33312B"/>
          <w:sz w:val="22"/>
          <w:szCs w:val="22"/>
        </w:rPr>
        <w:t xml:space="preserve">The discipline is to reverse-engineer every win into a formula precise enough to run again, and then to run it deliberately across a whole segment. The seller who can do this stops riding the variance of individual deals and starts manufacturing outcomes.</w:t>
      </w:r>
    </w:p>
    <w:p>
      <w:pPr>
        <w:pStyle w:val="Heading2"/>
      </w:pPr>
      <w:r>
        <w:t xml:space="preserve">The Passivity Trap</w:t>
      </w:r>
    </w:p>
    <w:p>
      <w:pPr>
        <w:spacing w:after="150" w:line="296"/>
        <w:jc w:val="both"/>
      </w:pPr>
      <w:r>
        <w:rPr>
          <w:rFonts w:ascii="Calibri" w:cs="Calibri" w:eastAsia="Calibri" w:hAnsi="Calibri"/>
          <w:color w:val="33312B"/>
          <w:sz w:val="22"/>
          <w:szCs w:val="22"/>
        </w:rPr>
        <w:t xml:space="preserve">The passive seller coasts on the occasional hero deal — the quarter saved by a prospect who happened to love the product. They cannot explain why they won, so they cannot win that way again on purpose. Their forecast is a hope, not a model.</w:t>
      </w:r>
    </w:p>
    <w:p>
      <w:pPr>
        <w:spacing w:after="150" w:line="296"/>
        <w:jc w:val="both"/>
      </w:pPr>
      <w:r>
        <w:rPr>
          <w:rFonts w:ascii="Calibri" w:cs="Calibri" w:eastAsia="Calibri" w:hAnsi="Calibri"/>
          <w:color w:val="33312B"/>
          <w:sz w:val="22"/>
          <w:szCs w:val="22"/>
        </w:rPr>
        <w:t xml:space="preserve">Awakening here is intellectual honesty: refusing to be carried by flukes, and insisting on understanding the mechanism behind every win well enough to reproduce it on command.</w:t>
      </w:r>
    </w:p>
    <w:p>
      <w:pPr>
        <w:pStyle w:val="Heading2"/>
      </w:pPr>
      <w:r>
        <w:t xml:space="preserve">In Capital Markets</w:t>
      </w:r>
    </w:p>
    <w:p>
      <w:pPr>
        <w:spacing w:after="150" w:line="296"/>
        <w:jc w:val="both"/>
      </w:pPr>
      <w:r>
        <w:rPr>
          <w:rFonts w:ascii="Calibri" w:cs="Calibri" w:eastAsia="Calibri" w:hAnsi="Calibri"/>
          <w:color w:val="33312B"/>
          <w:sz w:val="22"/>
          <w:szCs w:val="22"/>
        </w:rPr>
        <w:t xml:space="preserve">Capital markets reward reproducibility because the catalysts are shared. Dozens of regional brokers sit on the same legacy order-routing tool; scores of asset managers face the identical T+1 confirmation deadline; whole tiers of firms carry the same data-lineage debt that now throttles their AI ambitions. A formula that wins once against that shared constraint can be run against every firm that shares it.</w:t>
      </w:r>
    </w:p>
    <w:p>
      <w:pPr>
        <w:spacing w:after="150" w:line="296"/>
        <w:jc w:val="both"/>
      </w:pPr>
      <w:r>
        <w:rPr>
          <w:rFonts w:ascii="Calibri" w:cs="Calibri" w:eastAsia="Calibri" w:hAnsi="Calibri"/>
          <w:color w:val="33312B"/>
          <w:sz w:val="22"/>
          <w:szCs w:val="22"/>
        </w:rPr>
        <w:t xml:space="preserve">This is where selling stops being art and becomes engineering. The variables are knowable, the catalysts are dated, and the proof assets are reusable. The seller's task is to identify the exact conditions that activate their weapon — and then to industrialise them.</w:t>
      </w:r>
    </w:p>
    <w:p>
      <w:pPr>
        <w:pStyle w:val="Heading2"/>
      </w:pPr>
      <w:r>
        <w:t xml:space="preserve">The Deal Equation</w:t>
      </w:r>
    </w:p>
    <w:p>
      <w:pPr>
        <w:spacing w:after="150" w:line="296"/>
        <w:jc w:val="both"/>
      </w:pPr>
      <w:r>
        <w:rPr>
          <w:rFonts w:ascii="Calibri" w:cs="Calibri" w:eastAsia="Calibri" w:hAnsi="Calibri"/>
          <w:color w:val="33312B"/>
          <w:sz w:val="22"/>
          <w:szCs w:val="22"/>
        </w:rPr>
        <w:t xml:space="preserve">We model a reproducible win not as a story but as a product of variables, each of which the seller can deliberately raise. Two related models govern the work.</w:t>
      </w:r>
    </w:p>
    <w:p>
      <w:pPr>
        <w:spacing w:after="60" w:before="120"/>
      </w:pPr>
      <w:r>
        <w:rPr>
          <w:rFonts w:ascii="Cambria" w:cs="Cambria" w:eastAsia="Cambria" w:hAnsi="Cambria"/>
          <w:b/>
          <w:bCs/>
          <w:color w:val="1C3A52"/>
          <w:sz w:val="23"/>
          <w:szCs w:val="23"/>
        </w:rPr>
        <w:t xml:space="preserve">The probability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1C3A52" w:val="clear"/>
            <w:tcMar>
              <w:top w:type="dxa" w:w="130"/>
              <w:left w:type="dxa" w:w="160"/>
              <w:bottom w:type="dxa" w:w="130"/>
              <w:right w:type="dxa" w:w="160"/>
            </w:tcMar>
          </w:tcPr>
          <w:p>
            <w:pPr>
              <w:jc w:val="center"/>
            </w:pPr>
            <w:r>
              <w:rPr>
                <w:rFonts w:ascii="Consolas" w:cs="Consolas" w:eastAsia="Consolas" w:hAnsi="Consolas"/>
                <w:b/>
                <w:bCs/>
                <w:color w:val="FFFFFF"/>
                <w:sz w:val="21"/>
                <w:szCs w:val="21"/>
              </w:rPr>
              <w:t xml:space="preserve">P(win)  ≈  ( Trigger × Access × Insight × Proof × Consensus )  ÷  Switching Cost</w:t>
            </w:r>
          </w:p>
        </w:tc>
      </w:tr>
    </w:tbl>
    <w:p>
      <w:pPr>
        <w:spacing w:after="60" w:before="90" w:line="296"/>
        <w:jc w:val="both"/>
      </w:pPr>
      <w:r>
        <w:rPr>
          <w:rFonts w:ascii="Calibri" w:cs="Calibri" w:eastAsia="Calibri" w:hAnsi="Calibri"/>
          <w:color w:val="33312B"/>
          <w:sz w:val="21"/>
          <w:szCs w:val="21"/>
        </w:rPr>
        <w:t xml:space="preserve">Win probability rises with the strength of the dated trigger you are riding, your access to the economic buyer, the differentiation of your insight, the fidelity of your proof, and the consensus you have built across the committee — and falls with the incumbent's switching cost. Every variable is a lever, not a given. A weak deal is rarely weak on all five; diagnose which term is dragging and raise that one.</w:t>
      </w:r>
    </w:p>
    <w:p>
      <w:pPr>
        <w:spacing w:after="60" w:before="120"/>
      </w:pPr>
      <w:r>
        <w:rPr>
          <w:rFonts w:ascii="Cambria" w:cs="Cambria" w:eastAsia="Cambria" w:hAnsi="Cambria"/>
          <w:b/>
          <w:bCs/>
          <w:color w:val="1C3A52"/>
          <w:sz w:val="23"/>
          <w:szCs w:val="23"/>
        </w:rPr>
        <w:t xml:space="preserve">The throughput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1C3A52" w:val="clear"/>
            <w:tcMar>
              <w:top w:type="dxa" w:w="130"/>
              <w:left w:type="dxa" w:w="160"/>
              <w:bottom w:type="dxa" w:w="130"/>
              <w:right w:type="dxa" w:w="160"/>
            </w:tcMar>
          </w:tcPr>
          <w:p>
            <w:pPr>
              <w:jc w:val="center"/>
            </w:pPr>
            <w:r>
              <w:rPr>
                <w:rFonts w:ascii="Consolas" w:cs="Consolas" w:eastAsia="Consolas" w:hAnsi="Consolas"/>
                <w:b/>
                <w:bCs/>
                <w:color w:val="FFFFFF"/>
                <w:sz w:val="21"/>
                <w:szCs w:val="21"/>
              </w:rPr>
              <w:t xml:space="preserve">Pipeline created  =  Targets  ×  Trigger-hit rate  ×  Reach rate  ×  Win rate  ×  Average contract value</w:t>
            </w:r>
          </w:p>
        </w:tc>
      </w:tr>
    </w:tbl>
    <w:p>
      <w:pPr>
        <w:spacing w:after="60" w:before="90" w:line="296"/>
        <w:jc w:val="both"/>
      </w:pPr>
      <w:r>
        <w:rPr>
          <w:rFonts w:ascii="Calibri" w:cs="Calibri" w:eastAsia="Calibri" w:hAnsi="Calibri"/>
          <w:color w:val="33312B"/>
          <w:sz w:val="21"/>
          <w:szCs w:val="21"/>
        </w:rPr>
        <w:t xml:space="preserve">This is the scoring equation. It tells you that doubling your reach rate to the economic buyer does as much as doubling your win rate, and that chasing more targets is the weakest lever if your reach and trigger-hit rates are low. The egoist tunes the coefficient that is actually binding, rather than simply working harder across the board.</w:t>
      </w:r>
    </w:p>
    <w:p>
      <w:pPr>
        <w:spacing w:after="60" w:before="120"/>
      </w:pPr>
      <w:r>
        <w:rPr>
          <w:rFonts w:ascii="Cambria" w:cs="Cambria" w:eastAsia="Cambria" w:hAnsi="Cambria"/>
          <w:b/>
          <w:bCs/>
          <w:color w:val="1C3A52"/>
          <w:sz w:val="23"/>
          <w:szCs w:val="23"/>
        </w:rPr>
        <w:t xml:space="preserve">The signature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1C3A52" w:val="clear"/>
            <w:tcMar>
              <w:top w:type="dxa" w:w="130"/>
              <w:left w:type="dxa" w:w="160"/>
              <w:bottom w:type="dxa" w:w="130"/>
              <w:right w:type="dxa" w:w="160"/>
            </w:tcMar>
          </w:tcPr>
          <w:p>
            <w:pPr>
              <w:jc w:val="center"/>
            </w:pPr>
            <w:r>
              <w:rPr>
                <w:rFonts w:ascii="Consolas" w:cs="Consolas" w:eastAsia="Consolas" w:hAnsi="Consolas"/>
                <w:b/>
                <w:bCs/>
                <w:color w:val="FFFFFF"/>
                <w:sz w:val="21"/>
                <w:szCs w:val="21"/>
              </w:rPr>
              <w:t xml:space="preserve">Persona  +  Trigger  +  Opening Insight  +  Proof Asset  +  Close Mechanic  =  a repeatable motion</w:t>
            </w:r>
          </w:p>
        </w:tc>
      </w:tr>
    </w:tbl>
    <w:p>
      <w:pPr>
        <w:spacing w:after="60" w:before="90" w:line="296"/>
        <w:jc w:val="both"/>
      </w:pPr>
      <w:r>
        <w:rPr>
          <w:rFonts w:ascii="Calibri" w:cs="Calibri" w:eastAsia="Calibri" w:hAnsi="Calibri"/>
          <w:color w:val="33312B"/>
          <w:sz w:val="21"/>
          <w:szCs w:val="21"/>
        </w:rPr>
        <w:t xml:space="preserve">Every documented win collapses into these five fields. Filled in, they become a play you can hand to your future self — or to a colleague — and run again. A worked example: Head of Operations (persona) + the December 2026 T+0 confirmation deadline (trigger) + a quantified exception-rate and penalty model (insight) + a shadow-mode reconciliation demo (proof) + a mutual action plan reverse-engineered from the deadline (close). Attach the offering to a public, dated financial or regulatory goal and multi-thread to three executives, and the cycle compresses by roughly forty percent.</w:t>
      </w:r>
    </w:p>
    <w:p>
      <w:pPr>
        <w:pStyle w:val="Heading2"/>
      </w:pPr>
      <w:r>
        <w:t xml:space="preserve">The Weapons to Wield</w:t>
      </w:r>
    </w:p>
    <w:p>
      <w:pPr>
        <w:pStyle w:val="ListParagraph"/>
        <w:numPr>
          <w:ilvl w:val="0"/>
          <w:numId w:val="2"/>
        </w:numPr>
        <w:spacing w:after="80" w:line="286"/>
      </w:pPr>
      <w:r>
        <w:rPr>
          <w:rFonts w:ascii="Calibri" w:cs="Calibri" w:eastAsia="Calibri" w:hAnsi="Calibri"/>
          <w:color w:val="33312B"/>
          <w:sz w:val="22"/>
          <w:szCs w:val="22"/>
        </w:rPr>
        <w:t xml:space="preserve">Win/loss reverse-engineering — dissecting closed deals into the five fields of a signature play.</w:t>
      </w:r>
    </w:p>
    <w:p>
      <w:pPr>
        <w:pStyle w:val="ListParagraph"/>
        <w:numPr>
          <w:ilvl w:val="0"/>
          <w:numId w:val="2"/>
        </w:numPr>
        <w:spacing w:after="80" w:line="286"/>
      </w:pPr>
      <w:r>
        <w:rPr>
          <w:rFonts w:ascii="Calibri" w:cs="Calibri" w:eastAsia="Calibri" w:hAnsi="Calibri"/>
          <w:color w:val="33312B"/>
          <w:sz w:val="22"/>
          <w:szCs w:val="22"/>
        </w:rPr>
        <w:t xml:space="preserve">Gap Selling and SPIN — to make the 'insight' variable repeatable and quantified, not improvised.</w:t>
      </w:r>
    </w:p>
    <w:p>
      <w:pPr>
        <w:pStyle w:val="ListParagraph"/>
        <w:numPr>
          <w:ilvl w:val="0"/>
          <w:numId w:val="2"/>
        </w:numPr>
        <w:spacing w:after="80" w:line="286"/>
      </w:pPr>
      <w:r>
        <w:rPr>
          <w:rFonts w:ascii="Calibri" w:cs="Calibri" w:eastAsia="Calibri" w:hAnsi="Calibri"/>
          <w:color w:val="33312B"/>
          <w:sz w:val="22"/>
          <w:szCs w:val="22"/>
        </w:rPr>
        <w:t xml:space="preserve">Value Selling and the Mutual Action Plan — to standardise the 'proof' and 'close' variables across a segment.</w:t>
      </w:r>
    </w:p>
    <w:p>
      <w:pPr>
        <w:spacing w:after="12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F4F1E9"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CASE STUDY · ONE WIN, TWELVE BROKERS</w:t>
            </w:r>
          </w:p>
          <w:p>
            <w:pPr>
              <w:spacing w:after="100" w:line="292"/>
            </w:pPr>
            <w:r>
              <w:rPr>
                <w:rFonts w:ascii="Calibri" w:cs="Calibri" w:eastAsia="Calibri" w:hAnsi="Calibri"/>
                <w:color w:val="33312B"/>
                <w:sz w:val="21"/>
                <w:szCs w:val="21"/>
              </w:rPr>
              <w:t xml:space="preserve">A single displacement win against a clunky legacy order-routing tool at one regional broker could have been celebrated and forgotten. Instead it was dissected. The team filled in the signature play: which broker persona signed, which trigger moved them, which quantified insight landed, which demo converted, which close mechanic sealed it.</w:t>
            </w:r>
          </w:p>
          <w:p>
            <w:pPr>
              <w:spacing w:after="100" w:line="292"/>
            </w:pPr>
            <w:r>
              <w:rPr>
                <w:rFonts w:ascii="Calibri" w:cs="Calibri" w:eastAsia="Calibri" w:hAnsi="Calibri"/>
                <w:color w:val="33312B"/>
                <w:sz w:val="21"/>
                <w:szCs w:val="21"/>
              </w:rPr>
              <w:t xml:space="preserve">They then noticed the obvious: at least a dozen regional brokers sat on the identical tool, facing the identical 2027 compression. The formula was not a story about one deal; it was a key that fit twelve locks. They ran it deliberately — same persona, same trigger, the same reusable shadow-mode demo, the same mutual action plan reverse-engineered from each firm's deadline.</w:t>
            </w:r>
          </w:p>
          <w:p>
            <w:pPr>
              <w:spacing w:after="0" w:line="292"/>
            </w:pPr>
            <w:r>
              <w:rPr>
                <w:rFonts w:ascii="Calibri" w:cs="Calibri" w:eastAsia="Calibri" w:hAnsi="Calibri"/>
                <w:color w:val="33312B"/>
                <w:sz w:val="21"/>
                <w:szCs w:val="21"/>
              </w:rPr>
              <w:t xml:space="preserve">The first deal had taken nine months of improvisation. The fourth took ten weeks. By industrialising the play, the team turned a piece of incidental 'glue code' displacement into a repeatable segment campaign — the same compounding logic that turns a one-off engagement into a platform.</w:t>
            </w:r>
          </w:p>
        </w:tc>
      </w:tr>
    </w:tbl>
    <w:p>
      <w:pPr>
        <w:pStyle w:val="Heading2"/>
      </w:pPr>
      <w:r>
        <w:t xml:space="preserve">The Drill</w:t>
      </w:r>
    </w:p>
    <w:p>
      <w:pPr>
        <w:pStyle w:val="ListParagraph"/>
        <w:numPr>
          <w:ilvl w:val="0"/>
          <w:numId w:val="3"/>
        </w:numPr>
        <w:spacing w:after="80" w:line="286"/>
      </w:pPr>
      <w:r>
        <w:rPr>
          <w:rFonts w:ascii="Calibri" w:cs="Calibri" w:eastAsia="Calibri" w:hAnsi="Calibri"/>
          <w:color w:val="33312B"/>
          <w:sz w:val="22"/>
          <w:szCs w:val="22"/>
        </w:rPr>
        <w:t xml:space="preserve">Take your last clear win and fill in the five fields of the signature play.</w:t>
      </w:r>
    </w:p>
    <w:p>
      <w:pPr>
        <w:pStyle w:val="ListParagraph"/>
        <w:numPr>
          <w:ilvl w:val="0"/>
          <w:numId w:val="3"/>
        </w:numPr>
        <w:spacing w:after="80" w:line="286"/>
      </w:pPr>
      <w:r>
        <w:rPr>
          <w:rFonts w:ascii="Calibri" w:cs="Calibri" w:eastAsia="Calibri" w:hAnsi="Calibri"/>
          <w:color w:val="33312B"/>
          <w:sz w:val="22"/>
          <w:szCs w:val="22"/>
        </w:rPr>
        <w:t xml:space="preserve">Identify the binding variable in the Deal Equation — the one term dragging your win probability — and the lever that raises it.</w:t>
      </w:r>
    </w:p>
    <w:p>
      <w:pPr>
        <w:pStyle w:val="ListParagraph"/>
        <w:numPr>
          <w:ilvl w:val="0"/>
          <w:numId w:val="3"/>
        </w:numPr>
        <w:spacing w:after="80" w:line="286"/>
      </w:pPr>
      <w:r>
        <w:rPr>
          <w:rFonts w:ascii="Calibri" w:cs="Calibri" w:eastAsia="Calibri" w:hAnsi="Calibri"/>
          <w:color w:val="33312B"/>
          <w:sz w:val="22"/>
          <w:szCs w:val="22"/>
        </w:rPr>
        <w:t xml:space="preserve">Find three other accounts that share the same trigger and persona.</w:t>
      </w:r>
    </w:p>
    <w:p>
      <w:pPr>
        <w:pStyle w:val="ListParagraph"/>
        <w:numPr>
          <w:ilvl w:val="0"/>
          <w:numId w:val="3"/>
        </w:numPr>
        <w:spacing w:after="80" w:line="286"/>
      </w:pPr>
      <w:r>
        <w:rPr>
          <w:rFonts w:ascii="Calibri" w:cs="Calibri" w:eastAsia="Calibri" w:hAnsi="Calibri"/>
          <w:color w:val="33312B"/>
          <w:sz w:val="22"/>
          <w:szCs w:val="22"/>
        </w:rPr>
        <w:t xml:space="preserve">Run the identical play against one of them this month and record the cycle time.</w:t>
      </w:r>
    </w:p>
    <w:p>
      <w:pPr>
        <w:pStyle w:val="Heading2"/>
      </w:pPr>
      <w:r>
        <w:t xml:space="preserve">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Metric</w:t>
            </w:r>
          </w:p>
        </w:tc>
        <w:tc>
          <w:tcPr>
            <w:tcW w:type="dxa" w:w="616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What it measures</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Plays documented</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Wins converted into a reusable five-field signature play, not an anecdote.</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Cycle-time compression</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Measured reduction in cycle when a documented play is re-run.</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Win-rate consistency</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Whether the win rate holds across repeated runs, not just one quarter.</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Binding-variable lift</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Improvement in the specific Deal-Equation term you targeted.</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EEEADD"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THE FAILURE MODE</w:t>
            </w:r>
          </w:p>
          <w:p>
            <w:pPr>
              <w:spacing w:after="0" w:line="292"/>
            </w:pPr>
            <w:r>
              <w:rPr>
                <w:rFonts w:ascii="Calibri" w:cs="Calibri" w:eastAsia="Calibri" w:hAnsi="Calibri"/>
                <w:color w:val="33312B"/>
                <w:sz w:val="21"/>
                <w:szCs w:val="21"/>
              </w:rPr>
              <w:t xml:space="preserve">Attributing wins to charm or luck, leaving no record, and improvising every deal from scratch. An unrepeatable win is a story; a documented formula is an asset that compounds. Firms with a consistent, formal methodology see materially higher win rates (Korn Ferry) — yet most never operationalise one.</w:t>
            </w:r>
          </w:p>
        </w:tc>
      </w:tr>
    </w:tbl>
    <w:p>
      <w:pPr>
        <w:pStyle w:val="Heading2"/>
      </w:pPr>
      <w:r>
        <w:t xml:space="preserve">Field Notes</w:t>
      </w:r>
    </w:p>
    <w:p>
      <w:pPr>
        <w:pStyle w:val="ListParagraph"/>
        <w:numPr>
          <w:ilvl w:val="0"/>
          <w:numId w:val="2"/>
        </w:numPr>
        <w:spacing w:after="80" w:line="286"/>
      </w:pPr>
      <w:r>
        <w:rPr>
          <w:rFonts w:ascii="Calibri" w:cs="Calibri" w:eastAsia="Calibri" w:hAnsi="Calibri"/>
          <w:color w:val="33312B"/>
          <w:sz w:val="22"/>
          <w:szCs w:val="22"/>
        </w:rPr>
        <w:t xml:space="preserve">If you cannot write the play down, you do not understand why you won.</w:t>
      </w:r>
    </w:p>
    <w:p>
      <w:pPr>
        <w:pStyle w:val="ListParagraph"/>
        <w:numPr>
          <w:ilvl w:val="0"/>
          <w:numId w:val="2"/>
        </w:numPr>
        <w:spacing w:after="80" w:line="286"/>
      </w:pPr>
      <w:r>
        <w:rPr>
          <w:rFonts w:ascii="Calibri" w:cs="Calibri" w:eastAsia="Calibri" w:hAnsi="Calibri"/>
          <w:color w:val="33312B"/>
          <w:sz w:val="22"/>
          <w:szCs w:val="22"/>
        </w:rPr>
        <w:t xml:space="preserve">More targets is the weakest lever; reach and trigger-hit rates usually bind first.</w:t>
      </w:r>
    </w:p>
    <w:p>
      <w:pPr>
        <w:pStyle w:val="ListParagraph"/>
        <w:numPr>
          <w:ilvl w:val="0"/>
          <w:numId w:val="2"/>
        </w:numPr>
        <w:spacing w:after="80" w:line="286"/>
      </w:pPr>
      <w:r>
        <w:rPr>
          <w:rFonts w:ascii="Calibri" w:cs="Calibri" w:eastAsia="Calibri" w:hAnsi="Calibri"/>
          <w:color w:val="33312B"/>
          <w:sz w:val="22"/>
          <w:szCs w:val="22"/>
        </w:rPr>
        <w:t xml:space="preserve">A reusable proof asset — a shadow-mode demo — is worth more than a hundred slides.</w:t>
      </w:r>
    </w:p>
    <w:p>
      <w:pPr>
        <w:pageBreakBefore/>
        <w:spacing w:after="0" w:before="0"/>
      </w:pPr>
      <w:r>
        <w:rPr>
          <w:rFonts w:ascii="Calibri" w:cs="Calibri" w:eastAsia="Calibri" w:hAnsi="Calibri"/>
          <w:b/>
          <w:bCs/>
          <w:color w:val="8F7647"/>
          <w:spacing w:val="30"/>
          <w:sz w:val="18"/>
          <w:szCs w:val="18"/>
        </w:rPr>
        <w:t xml:space="preserve">PHASE I · THE FIRST SELECTION</w:t>
      </w:r>
    </w:p>
    <w:p>
      <w:pPr>
        <w:pStyle w:val="Heading1"/>
        <w:spacing w:after="150" w:before="40"/>
      </w:pPr>
      <w:r>
        <w:t xml:space="preserve">Lesson 04 — The Hardest Prospect</w:t>
      </w:r>
    </w:p>
    <w:p>
      <w:pPr>
        <w:spacing w:after="170" w:before="0"/>
      </w:pPr>
      <w:r>
        <w:rPr>
          <w:rFonts w:ascii="Cambria" w:cs="Cambria" w:eastAsia="Cambria" w:hAnsi="Cambria"/>
          <w:color w:val="8F7647"/>
          <w:sz w:val="26"/>
          <w:szCs w:val="26"/>
        </w:rPr>
        <w:t xml:space="preserve">“Capability is forged under friction, never in comfort.”</w:t>
      </w:r>
    </w:p>
    <w:p>
      <w:pPr>
        <w:pStyle w:val="Heading2"/>
      </w:pPr>
      <w:r>
        <w:t xml:space="preserve">The Conviction</w:t>
      </w:r>
    </w:p>
    <w:p>
      <w:pPr>
        <w:spacing w:after="150" w:line="296"/>
        <w:jc w:val="both"/>
      </w:pPr>
      <w:r>
        <w:rPr>
          <w:rFonts w:ascii="Calibri" w:cs="Calibri" w:eastAsia="Calibri" w:hAnsi="Calibri"/>
          <w:color w:val="33312B"/>
          <w:sz w:val="22"/>
          <w:szCs w:val="22"/>
        </w:rPr>
        <w:t xml:space="preserve">We believe capability is forged only under friction. The seller who lives on easy, winnable deals does not stay sharp — they calcify at the level those deals demand and call it experience. Growth happens when your existing formula collides with real resistance and you are forced to build a new layer of skill simply to survive the deal.</w:t>
      </w:r>
    </w:p>
    <w:p>
      <w:pPr>
        <w:spacing w:after="150" w:line="296"/>
        <w:jc w:val="both"/>
      </w:pPr>
      <w:r>
        <w:rPr>
          <w:rFonts w:ascii="Calibri" w:cs="Calibri" w:eastAsia="Calibri" w:hAnsi="Calibri"/>
          <w:color w:val="33312B"/>
          <w:sz w:val="22"/>
          <w:szCs w:val="22"/>
        </w:rPr>
        <w:t xml:space="preserve">Our conviction is to move toward the hardest prospect on purpose: the sceptical institution, the technical interrogation, the brutal procurement. The opportunities that frighten you are the only ones that produce weapons the easy deals never could.</w:t>
      </w:r>
    </w:p>
    <w:p>
      <w:pPr>
        <w:pStyle w:val="Heading2"/>
      </w:pPr>
      <w:r>
        <w:t xml:space="preserve">The Passivity Trap</w:t>
      </w:r>
    </w:p>
    <w:p>
      <w:pPr>
        <w:spacing w:after="150" w:line="296"/>
        <w:jc w:val="both"/>
      </w:pPr>
      <w:r>
        <w:rPr>
          <w:rFonts w:ascii="Calibri" w:cs="Calibri" w:eastAsia="Calibri" w:hAnsi="Calibri"/>
          <w:color w:val="33312B"/>
          <w:sz w:val="22"/>
          <w:szCs w:val="22"/>
        </w:rPr>
        <w:t xml:space="preserve">The passive seller avoids hard deals. They live in comfortable renewals and winnable mid-market opportunities, and because they are never stretched, they never grow. Their skill set quietly ossifies at exactly the level the easy deals require.</w:t>
      </w:r>
    </w:p>
    <w:p>
      <w:pPr>
        <w:spacing w:after="150" w:line="296"/>
        <w:jc w:val="both"/>
      </w:pPr>
      <w:r>
        <w:rPr>
          <w:rFonts w:ascii="Calibri" w:cs="Calibri" w:eastAsia="Calibri" w:hAnsi="Calibri"/>
          <w:color w:val="33312B"/>
          <w:sz w:val="22"/>
          <w:szCs w:val="22"/>
        </w:rPr>
        <w:t xml:space="preserve">Awakening means deliberately seeking the prospect whose difficulty will force a new capability into existence — and treating fear as a signal pointing toward growth, not away from it.</w:t>
      </w:r>
    </w:p>
    <w:p>
      <w:pPr>
        <w:pStyle w:val="Heading2"/>
      </w:pPr>
      <w:r>
        <w:t xml:space="preserve">In Capital Markets</w:t>
      </w:r>
    </w:p>
    <w:p>
      <w:pPr>
        <w:spacing w:after="150" w:line="296"/>
        <w:jc w:val="both"/>
      </w:pPr>
      <w:r>
        <w:rPr>
          <w:rFonts w:ascii="Calibri" w:cs="Calibri" w:eastAsia="Calibri" w:hAnsi="Calibri"/>
          <w:color w:val="33312B"/>
          <w:sz w:val="22"/>
          <w:szCs w:val="22"/>
        </w:rPr>
        <w:t xml:space="preserve">The hardest rooms in capital markets are where the most durable weapons are forged. A CISO demanding evidence of data lineage; a CRO who will not move capital onto a system they cannot audit in real time; a compliance officer who needs every model explainable under the EU AI Act obligations arriving in August 2026; a procurement function built to extract concessions. These are not obstacles to route around — they are the training ground.</w:t>
      </w:r>
    </w:p>
    <w:p>
      <w:pPr>
        <w:spacing w:after="150" w:line="296"/>
        <w:jc w:val="both"/>
      </w:pPr>
      <w:r>
        <w:rPr>
          <w:rFonts w:ascii="Calibri" w:cs="Calibri" w:eastAsia="Calibri" w:hAnsi="Calibri"/>
          <w:color w:val="33312B"/>
          <w:sz w:val="22"/>
          <w:szCs w:val="22"/>
        </w:rPr>
        <w:t xml:space="preserve">The market now insists that governance ships with the use case: role-based permissions, segregation of duties, audit trails, deterministic fallbacks, continuous monitoring. The seller who learns to speak this language fluently — forced to by one brutal deal — emerges with a weapon that wins the next three, because most competitors still treat security and compliance as paperwork rather than as the product.</w:t>
      </w:r>
    </w:p>
    <w:p>
      <w:pPr>
        <w:pStyle w:val="Heading2"/>
      </w:pPr>
      <w:r>
        <w:t xml:space="preserve">The Weapons to Wield</w:t>
      </w:r>
    </w:p>
    <w:p>
      <w:pPr>
        <w:pStyle w:val="ListParagraph"/>
        <w:numPr>
          <w:ilvl w:val="0"/>
          <w:numId w:val="2"/>
        </w:numPr>
        <w:spacing w:after="80" w:line="286"/>
      </w:pPr>
      <w:r>
        <w:rPr>
          <w:rFonts w:ascii="Calibri" w:cs="Calibri" w:eastAsia="Calibri" w:hAnsi="Calibri"/>
          <w:color w:val="33312B"/>
          <w:sz w:val="22"/>
          <w:szCs w:val="22"/>
        </w:rPr>
        <w:t xml:space="preserve">MEDDPICC — the inspection rigour to survive and steer a sophisticated, multi-gate buying process.</w:t>
      </w:r>
    </w:p>
    <w:p>
      <w:pPr>
        <w:pStyle w:val="ListParagraph"/>
        <w:numPr>
          <w:ilvl w:val="0"/>
          <w:numId w:val="2"/>
        </w:numPr>
        <w:spacing w:after="80" w:line="286"/>
      </w:pPr>
      <w:r>
        <w:rPr>
          <w:rFonts w:ascii="Calibri" w:cs="Calibri" w:eastAsia="Calibri" w:hAnsi="Calibri"/>
          <w:color w:val="33312B"/>
          <w:sz w:val="22"/>
          <w:szCs w:val="22"/>
        </w:rPr>
        <w:t xml:space="preserve">Sandler up-front contracts — to avoid the nine-month proof-of-concept that dies in 'evaluation'.</w:t>
      </w:r>
    </w:p>
    <w:p>
      <w:pPr>
        <w:pStyle w:val="ListParagraph"/>
        <w:numPr>
          <w:ilvl w:val="0"/>
          <w:numId w:val="2"/>
        </w:numPr>
        <w:spacing w:after="80" w:line="286"/>
      </w:pPr>
      <w:r>
        <w:rPr>
          <w:rFonts w:ascii="Calibri" w:cs="Calibri" w:eastAsia="Calibri" w:hAnsi="Calibri"/>
          <w:color w:val="33312B"/>
          <w:sz w:val="22"/>
          <w:szCs w:val="22"/>
        </w:rPr>
        <w:t xml:space="preserve">Security, lineage and regulatory fluency — the governance narrative as a first-class part of the pitch.</w:t>
      </w:r>
    </w:p>
    <w:p>
      <w:pPr>
        <w:spacing w:after="12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F4F1E9"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CASE STUDY · THE DEAL THE COMPLIANCE OFFICER TRIED TO KILL</w:t>
            </w:r>
          </w:p>
          <w:p>
            <w:pPr>
              <w:spacing w:after="100" w:line="292"/>
            </w:pPr>
            <w:r>
              <w:rPr>
                <w:rFonts w:ascii="Calibri" w:cs="Calibri" w:eastAsia="Calibri" w:hAnsi="Calibri"/>
                <w:color w:val="33312B"/>
                <w:sz w:val="21"/>
                <w:szCs w:val="21"/>
              </w:rPr>
              <w:t xml:space="preserve">A promising deal at an asset manager stalled the moment it reached the CISO and the head of compliance. They demanded evidence the seller's team could not yet articulate: end-to-end data lineage, SOC 2 attestation, and a defensible answer to how an AI-assisted workflow would satisfy the incoming EU AI Act obligations. The front office wanted the product; the gatekeepers were prepared to veto it.</w:t>
            </w:r>
          </w:p>
          <w:p>
            <w:pPr>
              <w:spacing w:after="100" w:line="292"/>
            </w:pPr>
            <w:r>
              <w:rPr>
                <w:rFonts w:ascii="Calibri" w:cs="Calibri" w:eastAsia="Calibri" w:hAnsi="Calibri"/>
                <w:color w:val="33312B"/>
                <w:sz w:val="21"/>
                <w:szCs w:val="21"/>
              </w:rPr>
              <w:t xml:space="preserve">The comfortable response would have been to retreat to an easier account. Instead the seller treated the interrogation as the curriculum. Over three intense weeks she built, with the engineering team, a rigorous governance narrative — lineage mapped, controls shipped with the use case, deterministic fallbacks and audit trails demonstrated, not asserted. She turned the CISO from a blocker into the deal's most credible internal advocate.</w:t>
            </w:r>
          </w:p>
          <w:p>
            <w:pPr>
              <w:spacing w:after="0" w:line="292"/>
            </w:pPr>
            <w:r>
              <w:rPr>
                <w:rFonts w:ascii="Calibri" w:cs="Calibri" w:eastAsia="Calibri" w:hAnsi="Calibri"/>
                <w:color w:val="33312B"/>
                <w:sz w:val="21"/>
                <w:szCs w:val="21"/>
              </w:rPr>
              <w:t xml:space="preserve">The deal closed. More importantly, the governance narrative she had been forced to forge became a permanent weapon. She led with it in the next three enterprise pursuits and won all three, because she could now do effortlessly what her competitors still could not do at all.</w:t>
            </w:r>
          </w:p>
        </w:tc>
      </w:tr>
    </w:tbl>
    <w:p>
      <w:pPr>
        <w:pStyle w:val="Heading2"/>
      </w:pPr>
      <w:r>
        <w:t xml:space="preserve">The Drill</w:t>
      </w:r>
    </w:p>
    <w:p>
      <w:pPr>
        <w:pStyle w:val="ListParagraph"/>
        <w:numPr>
          <w:ilvl w:val="0"/>
          <w:numId w:val="3"/>
        </w:numPr>
        <w:spacing w:after="80" w:line="286"/>
      </w:pPr>
      <w:r>
        <w:rPr>
          <w:rFonts w:ascii="Calibri" w:cs="Calibri" w:eastAsia="Calibri" w:hAnsi="Calibri"/>
          <w:color w:val="33312B"/>
          <w:sz w:val="22"/>
          <w:szCs w:val="22"/>
        </w:rPr>
        <w:t xml:space="preserve">Identify the deal in your pipeline you have been quietly avoiding because it is hard.</w:t>
      </w:r>
    </w:p>
    <w:p>
      <w:pPr>
        <w:pStyle w:val="ListParagraph"/>
        <w:numPr>
          <w:ilvl w:val="0"/>
          <w:numId w:val="3"/>
        </w:numPr>
        <w:spacing w:after="80" w:line="286"/>
      </w:pPr>
      <w:r>
        <w:rPr>
          <w:rFonts w:ascii="Calibri" w:cs="Calibri" w:eastAsia="Calibri" w:hAnsi="Calibri"/>
          <w:color w:val="33312B"/>
          <w:sz w:val="22"/>
          <w:szCs w:val="22"/>
        </w:rPr>
        <w:t xml:space="preserve">Name the specific stakeholder who frightens you — the CISO, the CRO, procurement.</w:t>
      </w:r>
    </w:p>
    <w:p>
      <w:pPr>
        <w:pStyle w:val="ListParagraph"/>
        <w:numPr>
          <w:ilvl w:val="0"/>
          <w:numId w:val="3"/>
        </w:numPr>
        <w:spacing w:after="80" w:line="286"/>
      </w:pPr>
      <w:r>
        <w:rPr>
          <w:rFonts w:ascii="Calibri" w:cs="Calibri" w:eastAsia="Calibri" w:hAnsi="Calibri"/>
          <w:color w:val="33312B"/>
          <w:sz w:val="22"/>
          <w:szCs w:val="22"/>
        </w:rPr>
        <w:t xml:space="preserve">Engage them directly this week, treating their hardest objection as your syllabus.</w:t>
      </w:r>
    </w:p>
    <w:p>
      <w:pPr>
        <w:pStyle w:val="ListParagraph"/>
        <w:numPr>
          <w:ilvl w:val="0"/>
          <w:numId w:val="3"/>
        </w:numPr>
        <w:spacing w:after="80" w:line="286"/>
      </w:pPr>
      <w:r>
        <w:rPr>
          <w:rFonts w:ascii="Calibri" w:cs="Calibri" w:eastAsia="Calibri" w:hAnsi="Calibri"/>
          <w:color w:val="33312B"/>
          <w:sz w:val="22"/>
          <w:szCs w:val="22"/>
        </w:rPr>
        <w:t xml:space="preserve">Document the new capability the friction forced you to build.</w:t>
      </w:r>
    </w:p>
    <w:p>
      <w:pPr>
        <w:pStyle w:val="Heading2"/>
      </w:pPr>
      <w:r>
        <w:t xml:space="preserve">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Metric</w:t>
            </w:r>
          </w:p>
        </w:tc>
        <w:tc>
          <w:tcPr>
            <w:tcW w:type="dxa" w:w="616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What it measures</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Deal difficulty index</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A deliberate measure of how hard the prospects you pursue actually are.</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New competencies acquired</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Skills a hard deal forced you to build that you did not have before.</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Gatekeepers converted</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How often a sceptical CISO, CRO or compliance lead became an advocate.</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Enterprise win rate</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Your conversion specifically on Tier-1, high-friction opportunities.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EEEADD"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THE FAILURE MODE</w:t>
            </w:r>
          </w:p>
          <w:p>
            <w:pPr>
              <w:spacing w:after="0" w:line="292"/>
            </w:pPr>
            <w:r>
              <w:rPr>
                <w:rFonts w:ascii="Calibri" w:cs="Calibri" w:eastAsia="Calibri" w:hAnsi="Calibri"/>
                <w:color w:val="33312B"/>
                <w:sz w:val="21"/>
                <w:szCs w:val="21"/>
              </w:rPr>
              <w:t xml:space="preserve">Comfort-seeking — chasing only the deals you already know how to win. A pipeline of easy deals produces a seller who can only win easy deals, in a market that is getting harder every quarter.</w:t>
            </w:r>
          </w:p>
        </w:tc>
      </w:tr>
    </w:tbl>
    <w:p>
      <w:pPr>
        <w:pStyle w:val="Heading2"/>
      </w:pPr>
      <w:r>
        <w:t xml:space="preserve">Field Notes</w:t>
      </w:r>
    </w:p>
    <w:p>
      <w:pPr>
        <w:pStyle w:val="ListParagraph"/>
        <w:numPr>
          <w:ilvl w:val="0"/>
          <w:numId w:val="2"/>
        </w:numPr>
        <w:spacing w:after="80" w:line="286"/>
      </w:pPr>
      <w:r>
        <w:rPr>
          <w:rFonts w:ascii="Calibri" w:cs="Calibri" w:eastAsia="Calibri" w:hAnsi="Calibri"/>
          <w:color w:val="33312B"/>
          <w:sz w:val="22"/>
          <w:szCs w:val="22"/>
        </w:rPr>
        <w:t xml:space="preserve">Fear is a compass; it points at the capability you are missing.</w:t>
      </w:r>
    </w:p>
    <w:p>
      <w:pPr>
        <w:pStyle w:val="ListParagraph"/>
        <w:numPr>
          <w:ilvl w:val="0"/>
          <w:numId w:val="2"/>
        </w:numPr>
        <w:spacing w:after="80" w:line="286"/>
      </w:pPr>
      <w:r>
        <w:rPr>
          <w:rFonts w:ascii="Calibri" w:cs="Calibri" w:eastAsia="Calibri" w:hAnsi="Calibri"/>
          <w:color w:val="33312B"/>
          <w:sz w:val="22"/>
          <w:szCs w:val="22"/>
        </w:rPr>
        <w:t xml:space="preserve">Governance is not the obstacle to the sale — increasingly, it is the sale.</w:t>
      </w:r>
    </w:p>
    <w:p>
      <w:pPr>
        <w:pStyle w:val="ListParagraph"/>
        <w:numPr>
          <w:ilvl w:val="0"/>
          <w:numId w:val="2"/>
        </w:numPr>
        <w:spacing w:after="80" w:line="286"/>
      </w:pPr>
      <w:r>
        <w:rPr>
          <w:rFonts w:ascii="Calibri" w:cs="Calibri" w:eastAsia="Calibri" w:hAnsi="Calibri"/>
          <w:color w:val="33312B"/>
          <w:sz w:val="22"/>
          <w:szCs w:val="22"/>
        </w:rPr>
        <w:t xml:space="preserve">The objection you cannot yet answer is the weapon you do not yet have.</w:t>
      </w:r>
    </w:p>
    <w:p>
      <w:pPr>
        <w:pageBreakBefore/>
        <w:spacing w:after="0" w:before="0"/>
      </w:pPr>
      <w:r>
        <w:rPr>
          <w:rFonts w:ascii="Calibri" w:cs="Calibri" w:eastAsia="Calibri" w:hAnsi="Calibri"/>
          <w:b/>
          <w:bCs/>
          <w:color w:val="8F7647"/>
          <w:spacing w:val="30"/>
          <w:sz w:val="18"/>
          <w:szCs w:val="18"/>
        </w:rPr>
        <w:t xml:space="preserve">PHASE II · THE SECOND SELECTION</w:t>
      </w:r>
    </w:p>
    <w:p>
      <w:pPr>
        <w:pStyle w:val="Heading1"/>
        <w:spacing w:after="150" w:before="40"/>
      </w:pPr>
      <w:r>
        <w:t xml:space="preserve">Lesson 05 — Multi-Thread the Committee</w:t>
      </w:r>
    </w:p>
    <w:p>
      <w:pPr>
        <w:spacing w:after="170" w:before="0"/>
      </w:pPr>
      <w:r>
        <w:rPr>
          <w:rFonts w:ascii="Cambria" w:cs="Cambria" w:eastAsia="Cambria" w:hAnsi="Cambria"/>
          <w:color w:val="8F7647"/>
          <w:sz w:val="26"/>
          <w:szCs w:val="26"/>
        </w:rPr>
        <w:t xml:space="preserve">“No one wins an enterprise deal alone.”</w:t>
      </w:r>
    </w:p>
    <w:p>
      <w:pPr>
        <w:pStyle w:val="Heading2"/>
      </w:pPr>
      <w:r>
        <w:t xml:space="preserve">The Conviction</w:t>
      </w:r>
    </w:p>
    <w:p>
      <w:pPr>
        <w:spacing w:after="150" w:line="296"/>
        <w:jc w:val="both"/>
      </w:pPr>
      <w:r>
        <w:rPr>
          <w:rFonts w:ascii="Calibri" w:cs="Calibri" w:eastAsia="Calibri" w:hAnsi="Calibri"/>
          <w:color w:val="33312B"/>
          <w:sz w:val="22"/>
          <w:szCs w:val="22"/>
        </w:rPr>
        <w:t xml:space="preserve">We believe no individual and no single method wins an eight-figure deal. Value compounds when distinct capabilities combine — a commercial insight fused with deep technical proof produces a case neither could make alone. The seller's job is orchestration, not solo performance.</w:t>
      </w:r>
    </w:p>
    <w:p>
      <w:pPr>
        <w:spacing w:after="150" w:line="296"/>
        <w:jc w:val="both"/>
      </w:pPr>
      <w:r>
        <w:rPr>
          <w:rFonts w:ascii="Calibri" w:cs="Calibri" w:eastAsia="Calibri" w:hAnsi="Calibri"/>
          <w:color w:val="33312B"/>
          <w:sz w:val="22"/>
          <w:szCs w:val="22"/>
        </w:rPr>
        <w:t xml:space="preserve">We also believe a single internal blocker should never be allowed to decide an outcome. The disciplined seller maps and engages the whole committee and converts constraints into arguments, rather than betting everything on one friendly champion and accepting whatever the room does next.</w:t>
      </w:r>
    </w:p>
    <w:p>
      <w:pPr>
        <w:pStyle w:val="Heading2"/>
      </w:pPr>
      <w:r>
        <w:t xml:space="preserve">The Passivity Trap</w:t>
      </w:r>
    </w:p>
    <w:p>
      <w:pPr>
        <w:spacing w:after="150" w:line="296"/>
        <w:jc w:val="both"/>
      </w:pPr>
      <w:r>
        <w:rPr>
          <w:rFonts w:ascii="Calibri" w:cs="Calibri" w:eastAsia="Calibri" w:hAnsi="Calibri"/>
          <w:color w:val="33312B"/>
          <w:sz w:val="22"/>
          <w:szCs w:val="22"/>
        </w:rPr>
        <w:t xml:space="preserve">The passive seller single-threads. They find one friendly contact, rely on them entirely, and when an internal stakeholder blocks the deal they accept the block and let the opportunity stall. They are managing one relationship, not steering an outcome.</w:t>
      </w:r>
    </w:p>
    <w:p>
      <w:pPr>
        <w:spacing w:after="150" w:line="296"/>
        <w:jc w:val="both"/>
      </w:pPr>
      <w:r>
        <w:rPr>
          <w:rFonts w:ascii="Calibri" w:cs="Calibri" w:eastAsia="Calibri" w:hAnsi="Calibri"/>
          <w:color w:val="33312B"/>
          <w:sz w:val="22"/>
          <w:szCs w:val="22"/>
        </w:rPr>
        <w:t xml:space="preserve">Awakening means taking responsibility for the entire decision unit — and refusing to let any single detractor, or any single champion's limits, determine the result.</w:t>
      </w:r>
    </w:p>
    <w:p>
      <w:pPr>
        <w:pStyle w:val="Heading2"/>
      </w:pPr>
      <w:r>
        <w:t xml:space="preserve">In Capital Markets</w:t>
      </w:r>
    </w:p>
    <w:p>
      <w:pPr>
        <w:spacing w:after="150" w:line="296"/>
        <w:jc w:val="both"/>
      </w:pPr>
      <w:r>
        <w:rPr>
          <w:rFonts w:ascii="Calibri" w:cs="Calibri" w:eastAsia="Calibri" w:hAnsi="Calibri"/>
          <w:color w:val="33312B"/>
          <w:sz w:val="22"/>
          <w:szCs w:val="22"/>
        </w:rPr>
        <w:t xml:space="preserve">An eight-figure capital-markets platform sells to a committee of competing appetites: the Head of Trading wants speed, the quant wants elegant data access, the Head of Architecture wants resilience without lock-in, the CRO wants real-time risk and capital efficiency, compliance wants explainability, and procurement wants price and terms. No single message satisfies all of them; a pitch tuned to the desk will alienate risk, and a pitch tuned to architecture will bore the desk.</w:t>
      </w:r>
    </w:p>
    <w:p>
      <w:pPr>
        <w:spacing w:after="150" w:line="296"/>
        <w:jc w:val="both"/>
      </w:pPr>
      <w:r>
        <w:rPr>
          <w:rFonts w:ascii="Calibri" w:cs="Calibri" w:eastAsia="Calibri" w:hAnsi="Calibri"/>
          <w:color w:val="33312B"/>
          <w:sz w:val="22"/>
          <w:szCs w:val="22"/>
        </w:rPr>
        <w:t xml:space="preserve">The egoist combines weapons across the committee — a Challenger insight to hook the desk, a working demo to win the quants, a trust-led economic and regulatory case to move the CRO, and a mutual action plan to satisfy procurement. Co-selling is the clearest example of compounding: commercial skill fused with a sales engineer's credibility produces a case neither could deliver alone. And when a stakeholder blocks — a rigid product manager, say — the constraint is absorbed and repurposed: their strict roadmap becomes a selling point for governance and transparency.</w:t>
      </w:r>
    </w:p>
    <w:p>
      <w:pPr>
        <w:pStyle w:val="Heading2"/>
      </w:pPr>
      <w:r>
        <w:t xml:space="preserve">The Weapons to Wield</w:t>
      </w:r>
    </w:p>
    <w:p>
      <w:pPr>
        <w:pStyle w:val="ListParagraph"/>
        <w:numPr>
          <w:ilvl w:val="0"/>
          <w:numId w:val="2"/>
        </w:numPr>
        <w:spacing w:after="80" w:line="286"/>
      </w:pPr>
      <w:r>
        <w:rPr>
          <w:rFonts w:ascii="Calibri" w:cs="Calibri" w:eastAsia="Calibri" w:hAnsi="Calibri"/>
          <w:color w:val="33312B"/>
          <w:sz w:val="22"/>
          <w:szCs w:val="22"/>
        </w:rPr>
        <w:t xml:space="preserve">Miller Heiman Strategic Selling (the Blue Sheet) — the operating system for mapping every buying influence and your standing with each.</w:t>
      </w:r>
    </w:p>
    <w:p>
      <w:pPr>
        <w:pStyle w:val="ListParagraph"/>
        <w:numPr>
          <w:ilvl w:val="0"/>
          <w:numId w:val="2"/>
        </w:numPr>
        <w:spacing w:after="80" w:line="286"/>
      </w:pPr>
      <w:r>
        <w:rPr>
          <w:rFonts w:ascii="Calibri" w:cs="Calibri" w:eastAsia="Calibri" w:hAnsi="Calibri"/>
          <w:color w:val="33312B"/>
          <w:sz w:val="22"/>
          <w:szCs w:val="22"/>
        </w:rPr>
        <w:t xml:space="preserve">MEDDIC — to lock down the economic buyer, the decision process, and a genuine champion.</w:t>
      </w:r>
    </w:p>
    <w:p>
      <w:pPr>
        <w:pStyle w:val="ListParagraph"/>
        <w:numPr>
          <w:ilvl w:val="0"/>
          <w:numId w:val="2"/>
        </w:numPr>
        <w:spacing w:after="80" w:line="286"/>
      </w:pPr>
      <w:r>
        <w:rPr>
          <w:rFonts w:ascii="Calibri" w:cs="Calibri" w:eastAsia="Calibri" w:hAnsi="Calibri"/>
          <w:color w:val="33312B"/>
          <w:sz w:val="22"/>
          <w:szCs w:val="22"/>
        </w:rPr>
        <w:t xml:space="preserve">Co-selling — orchestrating sales engineers and partners so capabilities compound across the room.</w:t>
      </w:r>
    </w:p>
    <w:p>
      <w:pPr>
        <w:spacing w:after="12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F4F1E9"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CASE STUDY · THE EIGHT-FIGURE PLATFORM AT ARDENT ASSET MANAGEMENT</w:t>
            </w:r>
          </w:p>
          <w:p>
            <w:pPr>
              <w:spacing w:after="100" w:line="292"/>
            </w:pPr>
            <w:r>
              <w:rPr>
                <w:rFonts w:ascii="Calibri" w:cs="Calibri" w:eastAsia="Calibri" w:hAnsi="Calibri"/>
                <w:color w:val="33312B"/>
                <w:sz w:val="21"/>
                <w:szCs w:val="21"/>
              </w:rPr>
              <w:t xml:space="preserve">Ardent Asset Management, mid-sized and ambitious, had made vendor consolidation and data-architecture modernisation its top technology priority — the gateway to its AI agenda. The platform deal was worth eight figures over its life, and six executives held a veto.</w:t>
            </w:r>
          </w:p>
          <w:p>
            <w:pPr>
              <w:spacing w:after="100" w:line="292"/>
            </w:pPr>
            <w:r>
              <w:rPr>
                <w:rFonts w:ascii="Calibri" w:cs="Calibri" w:eastAsia="Calibri" w:hAnsi="Calibri"/>
                <w:color w:val="33312B"/>
                <w:sz w:val="21"/>
                <w:szCs w:val="21"/>
              </w:rPr>
              <w:t xml:space="preserve">The seller refused to ride a single champion. He built a Blue Sheet: the PM and Head of Trading as users wanting cleaner data and faster decisions; the Head of Architecture as the technical buyer fearing lock-in; the CRO as a powerful, sceptical influence; the COO as the economic buyer chasing operational leverage; procurement as the final gate. To each he brought a different weapon — a tailored demo for the quants, a strangler-gateway architecture story for the Head of Architecture, a hard capital-efficiency case for the CRO, an operational-leverage narrative for the COO.</w:t>
            </w:r>
          </w:p>
          <w:p>
            <w:pPr>
              <w:spacing w:after="0" w:line="292"/>
            </w:pPr>
            <w:r>
              <w:rPr>
                <w:rFonts w:ascii="Calibri" w:cs="Calibri" w:eastAsia="Calibri" w:hAnsi="Calibri"/>
                <w:color w:val="33312B"/>
                <w:sz w:val="21"/>
                <w:szCs w:val="21"/>
              </w:rPr>
              <w:t xml:space="preserve">The Head of Architecture initially blocked, wary of another rigid platform. Rather than fight it, the seller absorbed the objection: he reframed the firm's own strict integration standards as the design constraint his incremental, gateway-based approach was built to honour. The blocker became a co-author of the solution. With the committee aligned, procurement negotiated terms against a value case that had already been won upstairs.</w:t>
            </w:r>
          </w:p>
        </w:tc>
      </w:tr>
    </w:tbl>
    <w:p>
      <w:pPr>
        <w:pStyle w:val="Heading2"/>
      </w:pPr>
      <w:r>
        <w:t xml:space="preserve">The Drill</w:t>
      </w:r>
    </w:p>
    <w:p>
      <w:pPr>
        <w:pStyle w:val="ListParagraph"/>
        <w:numPr>
          <w:ilvl w:val="0"/>
          <w:numId w:val="3"/>
        </w:numPr>
        <w:spacing w:after="80" w:line="286"/>
      </w:pPr>
      <w:r>
        <w:rPr>
          <w:rFonts w:ascii="Calibri" w:cs="Calibri" w:eastAsia="Calibri" w:hAnsi="Calibri"/>
          <w:color w:val="33312B"/>
          <w:sz w:val="22"/>
          <w:szCs w:val="22"/>
        </w:rPr>
        <w:t xml:space="preserve">Take a live enterprise deal and build a Blue Sheet of every buying influence.</w:t>
      </w:r>
    </w:p>
    <w:p>
      <w:pPr>
        <w:pStyle w:val="ListParagraph"/>
        <w:numPr>
          <w:ilvl w:val="0"/>
          <w:numId w:val="3"/>
        </w:numPr>
        <w:spacing w:after="80" w:line="286"/>
      </w:pPr>
      <w:r>
        <w:rPr>
          <w:rFonts w:ascii="Calibri" w:cs="Calibri" w:eastAsia="Calibri" w:hAnsi="Calibri"/>
          <w:color w:val="33312B"/>
          <w:sz w:val="22"/>
          <w:szCs w:val="22"/>
        </w:rPr>
        <w:t xml:space="preserve">For each, record what they want, what they fear, and your current standing.</w:t>
      </w:r>
    </w:p>
    <w:p>
      <w:pPr>
        <w:pStyle w:val="ListParagraph"/>
        <w:numPr>
          <w:ilvl w:val="0"/>
          <w:numId w:val="3"/>
        </w:numPr>
        <w:spacing w:after="80" w:line="286"/>
      </w:pPr>
      <w:r>
        <w:rPr>
          <w:rFonts w:ascii="Calibri" w:cs="Calibri" w:eastAsia="Calibri" w:hAnsi="Calibri"/>
          <w:color w:val="33312B"/>
          <w:sz w:val="22"/>
          <w:szCs w:val="22"/>
        </w:rPr>
        <w:t xml:space="preserve">Assign the specific weapon you will bring to each stakeholder.</w:t>
      </w:r>
    </w:p>
    <w:p>
      <w:pPr>
        <w:pStyle w:val="ListParagraph"/>
        <w:numPr>
          <w:ilvl w:val="0"/>
          <w:numId w:val="3"/>
        </w:numPr>
        <w:spacing w:after="80" w:line="286"/>
      </w:pPr>
      <w:r>
        <w:rPr>
          <w:rFonts w:ascii="Calibri" w:cs="Calibri" w:eastAsia="Calibri" w:hAnsi="Calibri"/>
          <w:color w:val="33312B"/>
          <w:sz w:val="22"/>
          <w:szCs w:val="22"/>
        </w:rPr>
        <w:t xml:space="preserve">Identify your weakest thread and your most dangerous detractor — and engage both this week.</w:t>
      </w:r>
    </w:p>
    <w:p>
      <w:pPr>
        <w:pStyle w:val="Heading2"/>
      </w:pPr>
      <w:r>
        <w:t xml:space="preserve">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Metric</w:t>
            </w:r>
          </w:p>
        </w:tc>
        <w:tc>
          <w:tcPr>
            <w:tcW w:type="dxa" w:w="616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What it measures</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Committee coverage</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Share of the decision unit you have personally mapped and engaged.</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Multi-threading depth</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Whether you hold more than one genuine relationship per account.</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Blockers reframed</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How often an internal obstacle was converted into a selling point.</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Champion strength</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Whether you have a champion with real power, not just a friendly contact.</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EEEADD"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THE FAILURE MODE</w:t>
            </w:r>
          </w:p>
          <w:p>
            <w:pPr>
              <w:spacing w:after="0" w:line="292"/>
            </w:pPr>
            <w:r>
              <w:rPr>
                <w:rFonts w:ascii="Calibri" w:cs="Calibri" w:eastAsia="Calibri" w:hAnsi="Calibri"/>
                <w:color w:val="33312B"/>
                <w:sz w:val="21"/>
                <w:szCs w:val="21"/>
              </w:rPr>
              <w:t xml:space="preserve">Single-threading and one-style selling — betting the deal on a lone champion and a single methodology, then letting a predictable internal blocker stall it indefinitely. When your champion leaves, the deal leaves with them.</w:t>
            </w:r>
          </w:p>
        </w:tc>
      </w:tr>
    </w:tbl>
    <w:p>
      <w:pPr>
        <w:pStyle w:val="Heading2"/>
      </w:pPr>
      <w:r>
        <w:t xml:space="preserve">Field Notes</w:t>
      </w:r>
    </w:p>
    <w:p>
      <w:pPr>
        <w:pStyle w:val="ListParagraph"/>
        <w:numPr>
          <w:ilvl w:val="0"/>
          <w:numId w:val="2"/>
        </w:numPr>
        <w:spacing w:after="80" w:line="286"/>
      </w:pPr>
      <w:r>
        <w:rPr>
          <w:rFonts w:ascii="Calibri" w:cs="Calibri" w:eastAsia="Calibri" w:hAnsi="Calibri"/>
          <w:color w:val="33312B"/>
          <w:sz w:val="22"/>
          <w:szCs w:val="22"/>
        </w:rPr>
        <w:t xml:space="preserve">Map win-results for each stakeholder: the business result and the personal win.</w:t>
      </w:r>
    </w:p>
    <w:p>
      <w:pPr>
        <w:pStyle w:val="ListParagraph"/>
        <w:numPr>
          <w:ilvl w:val="0"/>
          <w:numId w:val="2"/>
        </w:numPr>
        <w:spacing w:after="80" w:line="286"/>
      </w:pPr>
      <w:r>
        <w:rPr>
          <w:rFonts w:ascii="Calibri" w:cs="Calibri" w:eastAsia="Calibri" w:hAnsi="Calibri"/>
          <w:color w:val="33312B"/>
          <w:sz w:val="22"/>
          <w:szCs w:val="22"/>
        </w:rPr>
        <w:t xml:space="preserve">A champion without power is a friend, not a champion.</w:t>
      </w:r>
    </w:p>
    <w:p>
      <w:pPr>
        <w:pStyle w:val="ListParagraph"/>
        <w:numPr>
          <w:ilvl w:val="0"/>
          <w:numId w:val="2"/>
        </w:numPr>
        <w:spacing w:after="80" w:line="286"/>
      </w:pPr>
      <w:r>
        <w:rPr>
          <w:rFonts w:ascii="Calibri" w:cs="Calibri" w:eastAsia="Calibri" w:hAnsi="Calibri"/>
          <w:color w:val="33312B"/>
          <w:sz w:val="22"/>
          <w:szCs w:val="22"/>
        </w:rPr>
        <w:t xml:space="preserve">Absorb the blocker's constraint and hand it back as your design principle.</w:t>
      </w:r>
    </w:p>
    <w:p>
      <w:pPr>
        <w:pageBreakBefore/>
        <w:spacing w:after="0" w:before="0"/>
      </w:pPr>
      <w:r>
        <w:rPr>
          <w:rFonts w:ascii="Calibri" w:cs="Calibri" w:eastAsia="Calibri" w:hAnsi="Calibri"/>
          <w:b/>
          <w:bCs/>
          <w:color w:val="8F7647"/>
          <w:spacing w:val="30"/>
          <w:sz w:val="18"/>
          <w:szCs w:val="18"/>
        </w:rPr>
        <w:t xml:space="preserve">PHASE II · THE SECOND SELECTION</w:t>
      </w:r>
    </w:p>
    <w:p>
      <w:pPr>
        <w:pStyle w:val="Heading1"/>
        <w:spacing w:after="150" w:before="40"/>
      </w:pPr>
      <w:r>
        <w:t xml:space="preserve">Lesson 06 — Engineering Luck</w:t>
      </w:r>
    </w:p>
    <w:p>
      <w:pPr>
        <w:spacing w:after="170" w:before="0"/>
      </w:pPr>
      <w:r>
        <w:rPr>
          <w:rFonts w:ascii="Cambria" w:cs="Cambria" w:eastAsia="Cambria" w:hAnsi="Cambria"/>
          <w:color w:val="8F7647"/>
          <w:sz w:val="26"/>
          <w:szCs w:val="26"/>
        </w:rPr>
        <w:t xml:space="preserve">“Luck is the dividend of readiness and positioning.”</w:t>
      </w:r>
    </w:p>
    <w:p>
      <w:pPr>
        <w:pStyle w:val="Heading2"/>
      </w:pPr>
      <w:r>
        <w:t xml:space="preserve">The Conviction</w:t>
      </w:r>
    </w:p>
    <w:p>
      <w:pPr>
        <w:spacing w:after="150" w:line="296"/>
        <w:jc w:val="both"/>
      </w:pPr>
      <w:r>
        <w:rPr>
          <w:rFonts w:ascii="Calibri" w:cs="Calibri" w:eastAsia="Calibri" w:hAnsi="Calibri"/>
          <w:color w:val="33312B"/>
          <w:sz w:val="22"/>
          <w:szCs w:val="22"/>
        </w:rPr>
        <w:t xml:space="preserve">We believe luck is not random. It is a dividend, and it pays out only to the seller already positioned to collect it. When a competitor stumbles and the client calls you first, that is not fortune — it is the return on relationships and presence you built before there was ever a deal.</w:t>
      </w:r>
    </w:p>
    <w:p>
      <w:pPr>
        <w:spacing w:after="150" w:line="296"/>
        <w:jc w:val="both"/>
      </w:pPr>
      <w:r>
        <w:rPr>
          <w:rFonts w:ascii="Calibri" w:cs="Calibri" w:eastAsia="Calibri" w:hAnsi="Calibri"/>
          <w:color w:val="33312B"/>
          <w:sz w:val="22"/>
          <w:szCs w:val="22"/>
        </w:rPr>
        <w:t xml:space="preserve">Opportunity, in large part, is manufactured. Luck lands at the intersection of readiness and aggressive positioning; if you are not already moving toward the place where a competitor might fail, you have no claim on the upside when they do.</w:t>
      </w:r>
    </w:p>
    <w:p>
      <w:pPr>
        <w:pStyle w:val="Heading2"/>
      </w:pPr>
      <w:r>
        <w:t xml:space="preserve">The Passivity Trap</w:t>
      </w:r>
    </w:p>
    <w:p>
      <w:pPr>
        <w:spacing w:after="150" w:line="296"/>
        <w:jc w:val="both"/>
      </w:pPr>
      <w:r>
        <w:rPr>
          <w:rFonts w:ascii="Calibri" w:cs="Calibri" w:eastAsia="Calibri" w:hAnsi="Calibri"/>
          <w:color w:val="33312B"/>
          <w:sz w:val="22"/>
          <w:szCs w:val="22"/>
        </w:rPr>
        <w:t xml:space="preserve">The passive seller waits for the right moment and blames the market when it does not arrive. Between active deals they go dark; they do not nurture cold accounts, so they are nowhere when an opportunity finally breaks open. Every methodology they know improves what happens inside a conversation — none tells them which conversation to be in, or when.</w:t>
      </w:r>
    </w:p>
    <w:p>
      <w:pPr>
        <w:spacing w:after="150" w:line="296"/>
        <w:jc w:val="both"/>
      </w:pPr>
      <w:r>
        <w:rPr>
          <w:rFonts w:ascii="Calibri" w:cs="Calibri" w:eastAsia="Calibri" w:hAnsi="Calibri"/>
          <w:color w:val="33312B"/>
          <w:sz w:val="22"/>
          <w:szCs w:val="22"/>
        </w:rPr>
        <w:t xml:space="preserve">Awakening means accepting that timing is partly yours to engineer, and that presence built before the trigger is the entire game.</w:t>
      </w:r>
    </w:p>
    <w:p>
      <w:pPr>
        <w:pStyle w:val="Heading2"/>
      </w:pPr>
      <w:r>
        <w:t xml:space="preserve">In Capital Markets</w:t>
      </w:r>
    </w:p>
    <w:p>
      <w:pPr>
        <w:spacing w:after="150" w:line="296"/>
        <w:jc w:val="both"/>
      </w:pPr>
      <w:r>
        <w:rPr>
          <w:rFonts w:ascii="Calibri" w:cs="Calibri" w:eastAsia="Calibri" w:hAnsi="Calibri"/>
          <w:color w:val="33312B"/>
          <w:sz w:val="22"/>
          <w:szCs w:val="22"/>
        </w:rPr>
        <w:t xml:space="preserve">The capital-markets calendar is unusually rich in dated, predictable catalysts: the October 2027 settlement deadline and its December 2026 confirmation milestone, the roll-out of 23/5 trading, vendor-consolidation decisions, leadership changes, M&amp;A, and the entirely unscheduled but inevitable incumbent outage during a volatile, bursty session. Each is a moment when a frozen budget thaws.</w:t>
      </w:r>
    </w:p>
    <w:p>
      <w:pPr>
        <w:spacing w:after="150" w:line="296"/>
        <w:jc w:val="both"/>
      </w:pPr>
      <w:r>
        <w:rPr>
          <w:rFonts w:ascii="Calibri" w:cs="Calibri" w:eastAsia="Calibri" w:hAnsi="Calibri"/>
          <w:color w:val="33312B"/>
          <w:sz w:val="22"/>
          <w:szCs w:val="22"/>
        </w:rPr>
        <w:t xml:space="preserve">When an incumbent's settlement automation buckles during T+0 confirmation testing in 2026 and the client calls you first, that is not luck — it is the dividend of having been a credible, present voice in that account for a year. Social and digital presence does the quiet work of being known; trigger monitoring decides where you point it. The egoist is positioned at the spot where the mistake is most likely to happen, before it happens.</w:t>
      </w:r>
    </w:p>
    <w:p>
      <w:pPr>
        <w:pStyle w:val="Heading2"/>
      </w:pPr>
      <w:r>
        <w:t xml:space="preserve">The Weapons to Wield</w:t>
      </w:r>
    </w:p>
    <w:p>
      <w:pPr>
        <w:pStyle w:val="ListParagraph"/>
        <w:numPr>
          <w:ilvl w:val="0"/>
          <w:numId w:val="2"/>
        </w:numPr>
        <w:spacing w:after="80" w:line="286"/>
      </w:pPr>
      <w:r>
        <w:rPr>
          <w:rFonts w:ascii="Calibri" w:cs="Calibri" w:eastAsia="Calibri" w:hAnsi="Calibri"/>
          <w:color w:val="33312B"/>
          <w:sz w:val="22"/>
          <w:szCs w:val="22"/>
        </w:rPr>
        <w:t xml:space="preserve">Social &amp; Digital Selling — building presence and authority where operations and risk leaders gather, long before a deal exists.</w:t>
      </w:r>
    </w:p>
    <w:p>
      <w:pPr>
        <w:pStyle w:val="ListParagraph"/>
        <w:numPr>
          <w:ilvl w:val="0"/>
          <w:numId w:val="2"/>
        </w:numPr>
        <w:spacing w:after="80" w:line="286"/>
      </w:pPr>
      <w:r>
        <w:rPr>
          <w:rFonts w:ascii="Calibri" w:cs="Calibri" w:eastAsia="Calibri" w:hAnsi="Calibri"/>
          <w:color w:val="33312B"/>
          <w:sz w:val="22"/>
          <w:szCs w:val="22"/>
        </w:rPr>
        <w:t xml:space="preserve">The Timing Layer — a disciplined watchlist of trigger events across every target account.</w:t>
      </w:r>
    </w:p>
    <w:p>
      <w:pPr>
        <w:pStyle w:val="ListParagraph"/>
        <w:numPr>
          <w:ilvl w:val="0"/>
          <w:numId w:val="2"/>
        </w:numPr>
        <w:spacing w:after="80" w:line="286"/>
      </w:pPr>
      <w:r>
        <w:rPr>
          <w:rFonts w:ascii="Calibri" w:cs="Calibri" w:eastAsia="Calibri" w:hAnsi="Calibri"/>
          <w:color w:val="33312B"/>
          <w:sz w:val="22"/>
          <w:szCs w:val="22"/>
        </w:rPr>
        <w:t xml:space="preserve">Account nurturing — a deliberate cadence that keeps you credible and present between active cycles.</w:t>
      </w:r>
    </w:p>
    <w:p>
      <w:pPr>
        <w:spacing w:after="12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F4F1E9"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CASE STUDY · FIRST CALL AT HELVIC CUSTODY</w:t>
            </w:r>
          </w:p>
          <w:p>
            <w:pPr>
              <w:spacing w:after="100" w:line="292"/>
            </w:pPr>
            <w:r>
              <w:rPr>
                <w:rFonts w:ascii="Calibri" w:cs="Calibri" w:eastAsia="Calibri" w:hAnsi="Calibri"/>
                <w:color w:val="33312B"/>
                <w:sz w:val="21"/>
                <w:szCs w:val="21"/>
              </w:rPr>
              <w:t xml:space="preserve">For six months the seller had no live deal at Helvic Custody, a mid-tier custodian. He nurtured it anyway: a steady cadence of genuinely useful commentary on T+1 readiness, a relationship with the Head of Operations built on insight rather than pitches, and a visible, credible presence in the post-trade community.</w:t>
            </w:r>
          </w:p>
          <w:p>
            <w:pPr>
              <w:spacing w:after="100" w:line="292"/>
            </w:pPr>
            <w:r>
              <w:rPr>
                <w:rFonts w:ascii="Calibri" w:cs="Calibri" w:eastAsia="Calibri" w:hAnsi="Calibri"/>
                <w:color w:val="33312B"/>
                <w:sz w:val="21"/>
                <w:szCs w:val="21"/>
              </w:rPr>
              <w:t xml:space="preserve">In the 2026 testing window for mandatory T+0 confirmations, Helvic's incumbent automation failed under load — exactly the compressed, unforgiving scenario everyone had been warned about. The Head of Operations did not open an RFP. She called the person she already trusted on precisely this problem.</w:t>
            </w:r>
          </w:p>
          <w:p>
            <w:pPr>
              <w:spacing w:after="0" w:line="292"/>
            </w:pPr>
            <w:r>
              <w:rPr>
                <w:rFonts w:ascii="Calibri" w:cs="Calibri" w:eastAsia="Calibri" w:hAnsi="Calibri"/>
                <w:color w:val="33312B"/>
                <w:sz w:val="21"/>
                <w:szCs w:val="21"/>
              </w:rPr>
              <w:t xml:space="preserve">Because the seller was positioned, the displacement closed in weeks rather than quarters. To an observer it looked like a lucky break. It was nothing of the kind: it was the dividend on six months of deliberate, unglamorous positioning, collected at the exact moment the incumbent slipped.</w:t>
            </w:r>
          </w:p>
        </w:tc>
      </w:tr>
    </w:tbl>
    <w:p>
      <w:pPr>
        <w:pStyle w:val="Heading2"/>
      </w:pPr>
      <w:r>
        <w:t xml:space="preserve">The Drill</w:t>
      </w:r>
    </w:p>
    <w:p>
      <w:pPr>
        <w:pStyle w:val="ListParagraph"/>
        <w:numPr>
          <w:ilvl w:val="0"/>
          <w:numId w:val="3"/>
        </w:numPr>
        <w:spacing w:after="80" w:line="286"/>
      </w:pPr>
      <w:r>
        <w:rPr>
          <w:rFonts w:ascii="Calibri" w:cs="Calibri" w:eastAsia="Calibri" w:hAnsi="Calibri"/>
          <w:color w:val="33312B"/>
          <w:sz w:val="22"/>
          <w:szCs w:val="22"/>
        </w:rPr>
        <w:t xml:space="preserve">Build a trigger watchlist for your top ten accounts: renewal dates, deadlines, leadership, known fragilities.</w:t>
      </w:r>
    </w:p>
    <w:p>
      <w:pPr>
        <w:pStyle w:val="ListParagraph"/>
        <w:numPr>
          <w:ilvl w:val="0"/>
          <w:numId w:val="3"/>
        </w:numPr>
        <w:spacing w:after="80" w:line="286"/>
      </w:pPr>
      <w:r>
        <w:rPr>
          <w:rFonts w:ascii="Calibri" w:cs="Calibri" w:eastAsia="Calibri" w:hAnsi="Calibri"/>
          <w:color w:val="33312B"/>
          <w:sz w:val="22"/>
          <w:szCs w:val="22"/>
        </w:rPr>
        <w:t xml:space="preserve">Define a nurture cadence for cold target accounts — insight, not pitches.</w:t>
      </w:r>
    </w:p>
    <w:p>
      <w:pPr>
        <w:pStyle w:val="ListParagraph"/>
        <w:numPr>
          <w:ilvl w:val="0"/>
          <w:numId w:val="3"/>
        </w:numPr>
        <w:spacing w:after="80" w:line="286"/>
      </w:pPr>
      <w:r>
        <w:rPr>
          <w:rFonts w:ascii="Calibri" w:cs="Calibri" w:eastAsia="Calibri" w:hAnsi="Calibri"/>
          <w:color w:val="33312B"/>
          <w:sz w:val="22"/>
          <w:szCs w:val="22"/>
        </w:rPr>
        <w:t xml:space="preserve">Establish one credible public presence where your buyers actually gather.</w:t>
      </w:r>
    </w:p>
    <w:p>
      <w:pPr>
        <w:pStyle w:val="ListParagraph"/>
        <w:numPr>
          <w:ilvl w:val="0"/>
          <w:numId w:val="3"/>
        </w:numPr>
        <w:spacing w:after="80" w:line="286"/>
      </w:pPr>
      <w:r>
        <w:rPr>
          <w:rFonts w:ascii="Calibri" w:cs="Calibri" w:eastAsia="Calibri" w:hAnsi="Calibri"/>
          <w:color w:val="33312B"/>
          <w:sz w:val="22"/>
          <w:szCs w:val="22"/>
        </w:rPr>
        <w:t xml:space="preserve">When a trigger fires, be the first call — measure your time-to-first-contact.</w:t>
      </w:r>
    </w:p>
    <w:p>
      <w:pPr>
        <w:pStyle w:val="Heading2"/>
      </w:pPr>
      <w:r>
        <w:t xml:space="preserve">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Metric</w:t>
            </w:r>
          </w:p>
        </w:tc>
        <w:tc>
          <w:tcPr>
            <w:tcW w:type="dxa" w:w="616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What it measures</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Cold accounts nurtured</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Target accounts kept warm with a deliberate cadence outside active deals.</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Trigger events captured</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Opportunities you reached because you were watching the catalysts.</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Positioning-led inbound</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Inbound that arrived because you had built presence first.</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Time-to-first-call</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How quickly you are contacted when an incumbent stumbles.</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EEEADD"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THE FAILURE MODE</w:t>
            </w:r>
          </w:p>
          <w:p>
            <w:pPr>
              <w:spacing w:after="0" w:line="292"/>
            </w:pPr>
            <w:r>
              <w:rPr>
                <w:rFonts w:ascii="Calibri" w:cs="Calibri" w:eastAsia="Calibri" w:hAnsi="Calibri"/>
                <w:color w:val="33312B"/>
                <w:sz w:val="21"/>
                <w:szCs w:val="21"/>
              </w:rPr>
              <w:t xml:space="preserve">Going dark between deals and then blaming luck. The seller who is not already moving toward the spot where a mistake might happen does not get to benefit when it does.</w:t>
            </w:r>
          </w:p>
        </w:tc>
      </w:tr>
    </w:tbl>
    <w:p>
      <w:pPr>
        <w:pStyle w:val="Heading2"/>
      </w:pPr>
      <w:r>
        <w:t xml:space="preserve">Field Notes</w:t>
      </w:r>
    </w:p>
    <w:p>
      <w:pPr>
        <w:pStyle w:val="ListParagraph"/>
        <w:numPr>
          <w:ilvl w:val="0"/>
          <w:numId w:val="2"/>
        </w:numPr>
        <w:spacing w:after="80" w:line="286"/>
      </w:pPr>
      <w:r>
        <w:rPr>
          <w:rFonts w:ascii="Calibri" w:cs="Calibri" w:eastAsia="Calibri" w:hAnsi="Calibri"/>
          <w:color w:val="33312B"/>
          <w:sz w:val="22"/>
          <w:szCs w:val="22"/>
        </w:rPr>
        <w:t xml:space="preserve">The methodologies win the conversation; positioning decides which conversation you get.</w:t>
      </w:r>
    </w:p>
    <w:p>
      <w:pPr>
        <w:pStyle w:val="ListParagraph"/>
        <w:numPr>
          <w:ilvl w:val="0"/>
          <w:numId w:val="2"/>
        </w:numPr>
        <w:spacing w:after="80" w:line="286"/>
      </w:pPr>
      <w:r>
        <w:rPr>
          <w:rFonts w:ascii="Calibri" w:cs="Calibri" w:eastAsia="Calibri" w:hAnsi="Calibri"/>
          <w:color w:val="33312B"/>
          <w:sz w:val="22"/>
          <w:szCs w:val="22"/>
        </w:rPr>
        <w:t xml:space="preserve">Nurture with insight, never with 'just checking in'.</w:t>
      </w:r>
    </w:p>
    <w:p>
      <w:pPr>
        <w:pStyle w:val="ListParagraph"/>
        <w:numPr>
          <w:ilvl w:val="0"/>
          <w:numId w:val="2"/>
        </w:numPr>
        <w:spacing w:after="80" w:line="286"/>
      </w:pPr>
      <w:r>
        <w:rPr>
          <w:rFonts w:ascii="Calibri" w:cs="Calibri" w:eastAsia="Calibri" w:hAnsi="Calibri"/>
          <w:color w:val="33312B"/>
          <w:sz w:val="22"/>
          <w:szCs w:val="22"/>
        </w:rPr>
        <w:t xml:space="preserve">The incumbent's outage is not an if; position as though it is a when.</w:t>
      </w:r>
    </w:p>
    <w:p>
      <w:pPr>
        <w:pageBreakBefore/>
        <w:spacing w:after="0" w:before="0"/>
      </w:pPr>
      <w:r>
        <w:rPr>
          <w:rFonts w:ascii="Calibri" w:cs="Calibri" w:eastAsia="Calibri" w:hAnsi="Calibri"/>
          <w:b/>
          <w:bCs/>
          <w:color w:val="8F7647"/>
          <w:spacing w:val="30"/>
          <w:sz w:val="18"/>
          <w:szCs w:val="18"/>
        </w:rPr>
        <w:t xml:space="preserve">PHASE III · THE PEAK</w:t>
      </w:r>
    </w:p>
    <w:p>
      <w:pPr>
        <w:pStyle w:val="Heading1"/>
        <w:spacing w:after="150" w:before="40"/>
      </w:pPr>
      <w:r>
        <w:t xml:space="preserve">Lesson 07 — The Flow of Discovery</w:t>
      </w:r>
    </w:p>
    <w:p>
      <w:pPr>
        <w:spacing w:after="170" w:before="0"/>
      </w:pPr>
      <w:r>
        <w:rPr>
          <w:rFonts w:ascii="Cambria" w:cs="Cambria" w:eastAsia="Cambria" w:hAnsi="Cambria"/>
          <w:color w:val="8F7647"/>
          <w:sz w:val="26"/>
          <w:szCs w:val="26"/>
        </w:rPr>
        <w:t xml:space="preserve">“Peak performance is engineered, not awaited.”</w:t>
      </w:r>
    </w:p>
    <w:p>
      <w:pPr>
        <w:pStyle w:val="Heading2"/>
      </w:pPr>
      <w:r>
        <w:t xml:space="preserve">The Conviction</w:t>
      </w:r>
    </w:p>
    <w:p>
      <w:pPr>
        <w:spacing w:after="150" w:line="296"/>
        <w:jc w:val="both"/>
      </w:pPr>
      <w:r>
        <w:rPr>
          <w:rFonts w:ascii="Calibri" w:cs="Calibri" w:eastAsia="Calibri" w:hAnsi="Calibri"/>
          <w:color w:val="33312B"/>
          <w:sz w:val="22"/>
          <w:szCs w:val="22"/>
        </w:rPr>
        <w:t xml:space="preserve">We believe peak performance lives at the precise meeting point of challenge and skill — and that it must be engineered, not awaited. Too little challenge breeds complacency; too much breeds fear; the right calibration produces total immersion and effortless command of the room.</w:t>
      </w:r>
    </w:p>
    <w:p>
      <w:pPr>
        <w:spacing w:after="150" w:line="296"/>
        <w:jc w:val="both"/>
      </w:pPr>
      <w:r>
        <w:rPr>
          <w:rFonts w:ascii="Calibri" w:cs="Calibri" w:eastAsia="Calibri" w:hAnsi="Calibri"/>
          <w:color w:val="33312B"/>
          <w:sz w:val="22"/>
          <w:szCs w:val="22"/>
        </w:rPr>
        <w:t xml:space="preserve">Our conviction is to match the difficulty of the deal to the level of the seller deliberately, and to enter every high-stakes conversation with a specific, demanding goal that forces full presence rather than the recital of a script.</w:t>
      </w:r>
    </w:p>
    <w:p>
      <w:pPr>
        <w:pStyle w:val="Heading2"/>
      </w:pPr>
      <w:r>
        <w:t xml:space="preserve">The Passivity Trap</w:t>
      </w:r>
    </w:p>
    <w:p>
      <w:pPr>
        <w:spacing w:after="150" w:line="296"/>
        <w:jc w:val="both"/>
      </w:pPr>
      <w:r>
        <w:rPr>
          <w:rFonts w:ascii="Calibri" w:cs="Calibri" w:eastAsia="Calibri" w:hAnsi="Calibri"/>
          <w:color w:val="33312B"/>
          <w:sz w:val="22"/>
          <w:szCs w:val="22"/>
        </w:rPr>
        <w:t xml:space="preserve">The passive seller reads from a script and goes through the motions. In a deal far below their level they coast, skipping discovery and dropping balls. Thrown into a deal far above it, they freeze — hesitating, over-discounting out of fear, and losing the room.</w:t>
      </w:r>
    </w:p>
    <w:p>
      <w:pPr>
        <w:spacing w:after="150" w:line="296"/>
        <w:jc w:val="both"/>
      </w:pPr>
      <w:r>
        <w:rPr>
          <w:rFonts w:ascii="Calibri" w:cs="Calibri" w:eastAsia="Calibri" w:hAnsi="Calibri"/>
          <w:color w:val="33312B"/>
          <w:sz w:val="22"/>
          <w:szCs w:val="22"/>
        </w:rPr>
        <w:t xml:space="preserve">Awakening means treating each major conversation as a performance to be calibrated, not survived: difficulty matched to skill, and a stretch goal set high enough to demand everything you have.</w:t>
      </w:r>
    </w:p>
    <w:p>
      <w:pPr>
        <w:pStyle w:val="Heading2"/>
      </w:pPr>
      <w:r>
        <w:t xml:space="preserve">In Capital Markets</w:t>
      </w:r>
    </w:p>
    <w:p>
      <w:pPr>
        <w:spacing w:after="150" w:line="296"/>
        <w:jc w:val="both"/>
      </w:pPr>
      <w:r>
        <w:rPr>
          <w:rFonts w:ascii="Calibri" w:cs="Calibri" w:eastAsia="Calibri" w:hAnsi="Calibri"/>
          <w:color w:val="33312B"/>
          <w:sz w:val="22"/>
          <w:szCs w:val="22"/>
        </w:rPr>
        <w:t xml:space="preserve">Capital-markets rooms are volatile and adversarial — a boardroom mid-incident, a desk during a bursty, capacity-straining session, a procurement negotiation with a professional adversary. These rooms punish the scripted and reward the present. Deep, real-time discovery — SPIN's Implication questions, Sandler's call control — only works when the seller has dropped the deck and is genuinely listening.</w:t>
      </w:r>
    </w:p>
    <w:p>
      <w:pPr>
        <w:spacing w:after="150" w:line="296"/>
        <w:jc w:val="both"/>
      </w:pPr>
      <w:r>
        <w:rPr>
          <w:rFonts w:ascii="Calibri" w:cs="Calibri" w:eastAsia="Calibri" w:hAnsi="Calibri"/>
          <w:color w:val="33312B"/>
          <w:sz w:val="22"/>
          <w:szCs w:val="22"/>
        </w:rPr>
        <w:t xml:space="preserve">Two disciplines follow. First, calibrate the matchup: do not send a junior into a Tier-1 procurement battle where fear will drive over-discounting, and do not waste an elite seller on a trivial renewal where boredom will make them sloppy. Second, before every high-stakes conversation, set one specific, demanding goal — to surface and resolve the CRO's unspoken objection live, say — that forces immersion instead of performance.</w:t>
      </w:r>
    </w:p>
    <w:p>
      <w:pPr>
        <w:pStyle w:val="Heading2"/>
      </w:pPr>
      <w:r>
        <w:t xml:space="preserve">The Weapons to Wield</w:t>
      </w:r>
    </w:p>
    <w:p>
      <w:pPr>
        <w:pStyle w:val="ListParagraph"/>
        <w:numPr>
          <w:ilvl w:val="0"/>
          <w:numId w:val="2"/>
        </w:numPr>
        <w:spacing w:after="80" w:line="286"/>
      </w:pPr>
      <w:r>
        <w:rPr>
          <w:rFonts w:ascii="Calibri" w:cs="Calibri" w:eastAsia="Calibri" w:hAnsi="Calibri"/>
          <w:color w:val="33312B"/>
          <w:sz w:val="22"/>
          <w:szCs w:val="22"/>
        </w:rPr>
        <w:t xml:space="preserve">SPIN — deep, real-time Implication questioning that only works in a state of full presence.</w:t>
      </w:r>
    </w:p>
    <w:p>
      <w:pPr>
        <w:pStyle w:val="ListParagraph"/>
        <w:numPr>
          <w:ilvl w:val="0"/>
          <w:numId w:val="2"/>
        </w:numPr>
        <w:spacing w:after="80" w:line="286"/>
      </w:pPr>
      <w:r>
        <w:rPr>
          <w:rFonts w:ascii="Calibri" w:cs="Calibri" w:eastAsia="Calibri" w:hAnsi="Calibri"/>
          <w:color w:val="33312B"/>
          <w:sz w:val="22"/>
          <w:szCs w:val="22"/>
        </w:rPr>
        <w:t xml:space="preserve">Sandler call control — up-front contracts that let you steer a tense, high-stakes room.</w:t>
      </w:r>
    </w:p>
    <w:p>
      <w:pPr>
        <w:pStyle w:val="ListParagraph"/>
        <w:numPr>
          <w:ilvl w:val="0"/>
          <w:numId w:val="2"/>
        </w:numPr>
        <w:spacing w:after="80" w:line="286"/>
      </w:pPr>
      <w:r>
        <w:rPr>
          <w:rFonts w:ascii="Calibri" w:cs="Calibri" w:eastAsia="Calibri" w:hAnsi="Calibri"/>
          <w:color w:val="33312B"/>
          <w:sz w:val="22"/>
          <w:szCs w:val="22"/>
        </w:rPr>
        <w:t xml:space="preserve">Deliberate calibration — deal-to-seller matching and a stretch goal set for every major meeting.</w:t>
      </w:r>
    </w:p>
    <w:p>
      <w:pPr>
        <w:spacing w:after="12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F4F1E9"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CASE STUDY · THE BOARDROOM DURING THE SPIKE</w:t>
            </w:r>
          </w:p>
          <w:p>
            <w:pPr>
              <w:spacing w:after="100" w:line="292"/>
            </w:pPr>
            <w:r>
              <w:rPr>
                <w:rFonts w:ascii="Calibri" w:cs="Calibri" w:eastAsia="Calibri" w:hAnsi="Calibri"/>
                <w:color w:val="33312B"/>
                <w:sz w:val="21"/>
                <w:szCs w:val="21"/>
              </w:rPr>
              <w:t xml:space="preserve">The seller walked into a bank boardroom on a day the market was anything but calm; a data-burstiness incident that morning had every executive on edge. The prepared deck was now worse than useless — it spoke to a calm that no longer existed.</w:t>
            </w:r>
          </w:p>
          <w:p>
            <w:pPr>
              <w:spacing w:after="100" w:line="292"/>
            </w:pPr>
            <w:r>
              <w:rPr>
                <w:rFonts w:ascii="Calibri" w:cs="Calibri" w:eastAsia="Calibri" w:hAnsi="Calibri"/>
                <w:color w:val="33312B"/>
                <w:sz w:val="21"/>
                <w:szCs w:val="21"/>
              </w:rPr>
              <w:t xml:space="preserve">She set a single stretch goal before entering: surface and resolve the CRO's unspoken fear about capacity and capital, live, in the room. Then she closed the laptop. Fully immersed, she ran real-time discovery — reading the room, asking the Implication questions that connected that morning's incident to the 2027 compression and the firm's capital exposure, and handling objections as they arose rather than from a memorised list.</w:t>
            </w:r>
          </w:p>
          <w:p>
            <w:pPr>
              <w:spacing w:after="0" w:line="292"/>
            </w:pPr>
            <w:r>
              <w:rPr>
                <w:rFonts w:ascii="Calibri" w:cs="Calibri" w:eastAsia="Calibri" w:hAnsi="Calibri"/>
                <w:color w:val="33312B"/>
                <w:sz w:val="21"/>
                <w:szCs w:val="21"/>
              </w:rPr>
              <w:t xml:space="preserve">The challenge matched her skill exactly, and she fell into flow. She left with the room aligned and a follow-up booked at the C-suite level — an outcome no scripted pitch, delivered on that particular morning, could have produced.</w:t>
            </w:r>
          </w:p>
        </w:tc>
      </w:tr>
    </w:tbl>
    <w:p>
      <w:pPr>
        <w:pStyle w:val="Heading2"/>
      </w:pPr>
      <w:r>
        <w:t xml:space="preserve">The Drill</w:t>
      </w:r>
    </w:p>
    <w:p>
      <w:pPr>
        <w:pStyle w:val="ListParagraph"/>
        <w:numPr>
          <w:ilvl w:val="0"/>
          <w:numId w:val="3"/>
        </w:numPr>
        <w:spacing w:after="80" w:line="286"/>
      </w:pPr>
      <w:r>
        <w:rPr>
          <w:rFonts w:ascii="Calibri" w:cs="Calibri" w:eastAsia="Calibri" w:hAnsi="Calibri"/>
          <w:color w:val="33312B"/>
          <w:sz w:val="22"/>
          <w:szCs w:val="22"/>
        </w:rPr>
        <w:t xml:space="preserve">Before your next high-stakes meeting, write one specific, demanding goal for the room.</w:t>
      </w:r>
    </w:p>
    <w:p>
      <w:pPr>
        <w:pStyle w:val="ListParagraph"/>
        <w:numPr>
          <w:ilvl w:val="0"/>
          <w:numId w:val="3"/>
        </w:numPr>
        <w:spacing w:after="80" w:line="286"/>
      </w:pPr>
      <w:r>
        <w:rPr>
          <w:rFonts w:ascii="Calibri" w:cs="Calibri" w:eastAsia="Calibri" w:hAnsi="Calibri"/>
          <w:color w:val="33312B"/>
          <w:sz w:val="22"/>
          <w:szCs w:val="22"/>
        </w:rPr>
        <w:t xml:space="preserve">Prepare your discovery questions, then commit to abandoning the deck if the room demands it.</w:t>
      </w:r>
    </w:p>
    <w:p>
      <w:pPr>
        <w:pStyle w:val="ListParagraph"/>
        <w:numPr>
          <w:ilvl w:val="0"/>
          <w:numId w:val="3"/>
        </w:numPr>
        <w:spacing w:after="80" w:line="286"/>
      </w:pPr>
      <w:r>
        <w:rPr>
          <w:rFonts w:ascii="Calibri" w:cs="Calibri" w:eastAsia="Calibri" w:hAnsi="Calibri"/>
          <w:color w:val="33312B"/>
          <w:sz w:val="22"/>
          <w:szCs w:val="22"/>
        </w:rPr>
        <w:t xml:space="preserve">Honestly rate the challenge-skill match of your current deals; flag the ones boring or frightening you.</w:t>
      </w:r>
    </w:p>
    <w:p>
      <w:pPr>
        <w:pStyle w:val="ListParagraph"/>
        <w:numPr>
          <w:ilvl w:val="0"/>
          <w:numId w:val="3"/>
        </w:numPr>
        <w:spacing w:after="80" w:line="286"/>
      </w:pPr>
      <w:r>
        <w:rPr>
          <w:rFonts w:ascii="Calibri" w:cs="Calibri" w:eastAsia="Calibri" w:hAnsi="Calibri"/>
          <w:color w:val="33312B"/>
          <w:sz w:val="22"/>
          <w:szCs w:val="22"/>
        </w:rPr>
        <w:t xml:space="preserve">Debrief afterwards: were you in boredom, anxiety, or flow — and why?</w:t>
      </w:r>
    </w:p>
    <w:p>
      <w:pPr>
        <w:pStyle w:val="Heading2"/>
      </w:pPr>
      <w:r>
        <w:t xml:space="preserve">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Metric</w:t>
            </w:r>
          </w:p>
        </w:tc>
        <w:tc>
          <w:tcPr>
            <w:tcW w:type="dxa" w:w="616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What it measures</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Meetings in flow</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Your honest self-rating of immersion in high-stakes rooms.</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Objection-handling success</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How well you resolve objections live rather than deferring them.</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Challenge-skill match</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Whether your deals are calibrated to stretch you, not bore or break you.</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Stretch goals set</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How consistently you enter major meetings with a specific demanding goal.</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EEEADD"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THE FAILURE MODE</w:t>
            </w:r>
          </w:p>
          <w:p>
            <w:pPr>
              <w:spacing w:after="0" w:line="292"/>
            </w:pPr>
            <w:r>
              <w:rPr>
                <w:rFonts w:ascii="Calibri" w:cs="Calibri" w:eastAsia="Calibri" w:hAnsi="Calibri"/>
                <w:color w:val="33312B"/>
                <w:sz w:val="21"/>
                <w:szCs w:val="21"/>
              </w:rPr>
              <w:t xml:space="preserve">Robotic, scripted selling — coasting through easy rooms on autopilot and freezing in hard ones, never calibrating the challenge to your skill. The deck becomes a hiding place.</w:t>
            </w:r>
          </w:p>
        </w:tc>
      </w:tr>
    </w:tbl>
    <w:p>
      <w:pPr>
        <w:pStyle w:val="Heading2"/>
      </w:pPr>
      <w:r>
        <w:t xml:space="preserve">Field Notes</w:t>
      </w:r>
    </w:p>
    <w:p>
      <w:pPr>
        <w:pStyle w:val="ListParagraph"/>
        <w:numPr>
          <w:ilvl w:val="0"/>
          <w:numId w:val="2"/>
        </w:numPr>
        <w:spacing w:after="80" w:line="286"/>
      </w:pPr>
      <w:r>
        <w:rPr>
          <w:rFonts w:ascii="Calibri" w:cs="Calibri" w:eastAsia="Calibri" w:hAnsi="Calibri"/>
          <w:color w:val="33312B"/>
          <w:sz w:val="22"/>
          <w:szCs w:val="22"/>
        </w:rPr>
        <w:t xml:space="preserve">The script is a comfort blanket; in a volatile room, drop it.</w:t>
      </w:r>
    </w:p>
    <w:p>
      <w:pPr>
        <w:pStyle w:val="ListParagraph"/>
        <w:numPr>
          <w:ilvl w:val="0"/>
          <w:numId w:val="2"/>
        </w:numPr>
        <w:spacing w:after="80" w:line="286"/>
      </w:pPr>
      <w:r>
        <w:rPr>
          <w:rFonts w:ascii="Calibri" w:cs="Calibri" w:eastAsia="Calibri" w:hAnsi="Calibri"/>
          <w:color w:val="33312B"/>
          <w:sz w:val="22"/>
          <w:szCs w:val="22"/>
        </w:rPr>
        <w:t xml:space="preserve">A stretch goal converts anxiety into focus.</w:t>
      </w:r>
    </w:p>
    <w:p>
      <w:pPr>
        <w:pStyle w:val="ListParagraph"/>
        <w:numPr>
          <w:ilvl w:val="0"/>
          <w:numId w:val="2"/>
        </w:numPr>
        <w:spacing w:after="80" w:line="286"/>
      </w:pPr>
      <w:r>
        <w:rPr>
          <w:rFonts w:ascii="Calibri" w:cs="Calibri" w:eastAsia="Calibri" w:hAnsi="Calibri"/>
          <w:color w:val="33312B"/>
          <w:sz w:val="22"/>
          <w:szCs w:val="22"/>
        </w:rPr>
        <w:t xml:space="preserve">If a deal bores you, it is training someone else's bad habits into you.</w:t>
      </w:r>
    </w:p>
    <w:p>
      <w:pPr>
        <w:pageBreakBefore/>
        <w:spacing w:after="0" w:before="0"/>
      </w:pPr>
      <w:r>
        <w:rPr>
          <w:rFonts w:ascii="Calibri" w:cs="Calibri" w:eastAsia="Calibri" w:hAnsi="Calibri"/>
          <w:b/>
          <w:bCs/>
          <w:color w:val="8F7647"/>
          <w:spacing w:val="30"/>
          <w:sz w:val="18"/>
          <w:szCs w:val="18"/>
        </w:rPr>
        <w:t xml:space="preserve">PHASE III · THE PEAK</w:t>
      </w:r>
    </w:p>
    <w:p>
      <w:pPr>
        <w:pStyle w:val="Heading1"/>
        <w:spacing w:after="150" w:before="40"/>
      </w:pPr>
      <w:r>
        <w:t xml:space="preserve">Lesson 08 — Total Account Awareness</w:t>
      </w:r>
    </w:p>
    <w:p>
      <w:pPr>
        <w:spacing w:after="170" w:before="0"/>
      </w:pPr>
      <w:r>
        <w:rPr>
          <w:rFonts w:ascii="Cambria" w:cs="Cambria" w:eastAsia="Cambria" w:hAnsi="Cambria"/>
          <w:color w:val="8F7647"/>
          <w:sz w:val="26"/>
          <w:szCs w:val="26"/>
        </w:rPr>
        <w:t xml:space="preserve">“Read the whole field. Act before it is obvious.”</w:t>
      </w:r>
    </w:p>
    <w:p>
      <w:pPr>
        <w:pStyle w:val="Heading2"/>
      </w:pPr>
      <w:r>
        <w:t xml:space="preserve">The Conviction</w:t>
      </w:r>
    </w:p>
    <w:p>
      <w:pPr>
        <w:spacing w:after="150" w:line="296"/>
        <w:jc w:val="both"/>
      </w:pPr>
      <w:r>
        <w:rPr>
          <w:rFonts w:ascii="Calibri" w:cs="Calibri" w:eastAsia="Calibri" w:hAnsi="Calibri"/>
          <w:color w:val="33312B"/>
          <w:sz w:val="22"/>
          <w:szCs w:val="22"/>
        </w:rPr>
        <w:t xml:space="preserve">We believe that at the highest level, deliberation is too slow. The elite seller does not study one champion and react to events; they read the entire account — its politics, its budget, its pressures, its hidden detractors — continuously, until the next move is obvious to them before it is visible to anyone else.</w:t>
      </w:r>
    </w:p>
    <w:p>
      <w:pPr>
        <w:spacing w:after="150" w:line="296"/>
        <w:jc w:val="both"/>
      </w:pPr>
      <w:r>
        <w:rPr>
          <w:rFonts w:ascii="Calibri" w:cs="Calibri" w:eastAsia="Calibri" w:hAnsi="Calibri"/>
          <w:color w:val="33312B"/>
          <w:sz w:val="22"/>
          <w:szCs w:val="22"/>
        </w:rPr>
        <w:t xml:space="preserve">We call this total account awareness, and it is the peak of the doctrine: to see the whole field so completely that execution becomes reflexive — that you act, and close, a clear step ahead of the competition's comprehension.</w:t>
      </w:r>
    </w:p>
    <w:p>
      <w:pPr>
        <w:pStyle w:val="Heading2"/>
      </w:pPr>
      <w:r>
        <w:t xml:space="preserve">The Passivity Trap</w:t>
      </w:r>
    </w:p>
    <w:p>
      <w:pPr>
        <w:spacing w:after="150" w:line="296"/>
        <w:jc w:val="both"/>
      </w:pPr>
      <w:r>
        <w:rPr>
          <w:rFonts w:ascii="Calibri" w:cs="Calibri" w:eastAsia="Calibri" w:hAnsi="Calibri"/>
          <w:color w:val="33312B"/>
          <w:sz w:val="22"/>
          <w:szCs w:val="22"/>
        </w:rPr>
        <w:t xml:space="preserve">The passive seller has tunnel vision — they see only their one champion and the deal directly in front of them. They react to events after they happen and are repeatedly surprised by changes they could have anticipated.</w:t>
      </w:r>
    </w:p>
    <w:p>
      <w:pPr>
        <w:spacing w:after="150" w:line="296"/>
        <w:jc w:val="both"/>
      </w:pPr>
      <w:r>
        <w:rPr>
          <w:rFonts w:ascii="Calibri" w:cs="Calibri" w:eastAsia="Calibri" w:hAnsi="Calibri"/>
          <w:color w:val="33312B"/>
          <w:sz w:val="22"/>
          <w:szCs w:val="22"/>
        </w:rPr>
        <w:t xml:space="preserve">Awakening here is the final shift: from reacting to anticipating, from watching one person to reading the entire system, and from responding to an RFP to closing before one is ever written.</w:t>
      </w:r>
    </w:p>
    <w:p>
      <w:pPr>
        <w:pStyle w:val="Heading2"/>
      </w:pPr>
      <w:r>
        <w:t xml:space="preserve">In Capital Markets</w:t>
      </w:r>
    </w:p>
    <w:p>
      <w:pPr>
        <w:spacing w:after="150" w:line="296"/>
        <w:jc w:val="both"/>
      </w:pPr>
      <w:r>
        <w:rPr>
          <w:rFonts w:ascii="Calibri" w:cs="Calibri" w:eastAsia="Calibri" w:hAnsi="Calibri"/>
          <w:color w:val="33312B"/>
          <w:sz w:val="22"/>
          <w:szCs w:val="22"/>
        </w:rPr>
        <w:t xml:space="preserve">The capital-markets ecosystem is readable if you watch the whole of it. Operational friction — T+1 today, T+0 tomorrow, overnight funding stress, liquidity fragmentation under 23/5 — generates pressure on a schedule. Regulatory deadlines surface detractors and create urgency. And executive anxiety pivots deals: when an incumbent cannot deliver real-time collateral mobility, the CRO's concern over trapped capital becomes the opening that decides the account.</w:t>
      </w:r>
    </w:p>
    <w:p>
      <w:pPr>
        <w:spacing w:after="150" w:line="296"/>
        <w:jc w:val="both"/>
      </w:pPr>
      <w:r>
        <w:rPr>
          <w:rFonts w:ascii="Calibri" w:cs="Calibri" w:eastAsia="Calibri" w:hAnsi="Calibri"/>
          <w:color w:val="33312B"/>
          <w:sz w:val="22"/>
          <w:szCs w:val="22"/>
        </w:rPr>
        <w:t xml:space="preserve">Total account awareness means holding a living map of all of it — the politics, the budget cycle, the catalysts, the hidden opponents — and processing it continuously. The reward is the pre-emptive close: you identify the exact moment the CRO's anxiety peaks, bypass the slow IT-procurement track, and present an industrial-grade solution directly to the C-suite, closing before a competitor has even seen an RFP because no RFP was ever written.</w:t>
      </w:r>
    </w:p>
    <w:p>
      <w:pPr>
        <w:pStyle w:val="Heading2"/>
      </w:pPr>
      <w:r>
        <w:t xml:space="preserve">The Weapons to Wield</w:t>
      </w:r>
    </w:p>
    <w:p>
      <w:pPr>
        <w:pStyle w:val="ListParagraph"/>
        <w:numPr>
          <w:ilvl w:val="0"/>
          <w:numId w:val="2"/>
        </w:numPr>
        <w:spacing w:after="80" w:line="286"/>
      </w:pPr>
      <w:r>
        <w:rPr>
          <w:rFonts w:ascii="Calibri" w:cs="Calibri" w:eastAsia="Calibri" w:hAnsi="Calibri"/>
          <w:color w:val="33312B"/>
          <w:sz w:val="22"/>
          <w:szCs w:val="22"/>
        </w:rPr>
        <w:t xml:space="preserve">Total-account mapping — a living Blue Sheet of politics, budget, triggers and detractors, kept current.</w:t>
      </w:r>
    </w:p>
    <w:p>
      <w:pPr>
        <w:pStyle w:val="ListParagraph"/>
        <w:numPr>
          <w:ilvl w:val="0"/>
          <w:numId w:val="2"/>
        </w:numPr>
        <w:spacing w:after="80" w:line="286"/>
      </w:pPr>
      <w:r>
        <w:rPr>
          <w:rFonts w:ascii="Calibri" w:cs="Calibri" w:eastAsia="Calibri" w:hAnsi="Calibri"/>
          <w:color w:val="33312B"/>
          <w:sz w:val="22"/>
          <w:szCs w:val="22"/>
        </w:rPr>
        <w:t xml:space="preserve">Ecosystem monitoring — tracking settlement, regulatory and market catalysts in real time.</w:t>
      </w:r>
    </w:p>
    <w:p>
      <w:pPr>
        <w:pStyle w:val="ListParagraph"/>
        <w:numPr>
          <w:ilvl w:val="0"/>
          <w:numId w:val="2"/>
        </w:numPr>
        <w:spacing w:after="80" w:line="286"/>
      </w:pPr>
      <w:r>
        <w:rPr>
          <w:rFonts w:ascii="Calibri" w:cs="Calibri" w:eastAsia="Calibri" w:hAnsi="Calibri"/>
          <w:color w:val="33312B"/>
          <w:sz w:val="22"/>
          <w:szCs w:val="22"/>
        </w:rPr>
        <w:t xml:space="preserve">The pre-emptive close — the C-suite-direct strike, executed before a formal process begins.</w:t>
      </w:r>
    </w:p>
    <w:p>
      <w:pPr>
        <w:spacing w:after="12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F4F1E9"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CASE STUDY · THE PRE-EMPTIVE CLOSE AT A TIER-1 BANK</w:t>
            </w:r>
          </w:p>
          <w:p>
            <w:pPr>
              <w:spacing w:after="100" w:line="292"/>
            </w:pPr>
            <w:r>
              <w:rPr>
                <w:rFonts w:ascii="Calibri" w:cs="Calibri" w:eastAsia="Calibri" w:hAnsi="Calibri"/>
                <w:color w:val="33312B"/>
                <w:sz w:val="21"/>
                <w:szCs w:val="21"/>
              </w:rPr>
              <w:t xml:space="preserve">The seller had spent a year reading a Tier-1 bank as a whole system, not a single deal. He tracked the politics around its T+1 programme, the budget cycle, the leadership of its risk function, and a quiet but growing anxiety inside the CRO's office about collateral mobility under the compressed cycle.</w:t>
            </w:r>
          </w:p>
          <w:p>
            <w:pPr>
              <w:spacing w:after="100" w:line="292"/>
            </w:pPr>
            <w:r>
              <w:rPr>
                <w:rFonts w:ascii="Calibri" w:cs="Calibri" w:eastAsia="Calibri" w:hAnsi="Calibri"/>
                <w:color w:val="33312B"/>
                <w:sz w:val="21"/>
                <w:szCs w:val="21"/>
              </w:rPr>
              <w:t xml:space="preserve">He did not wait for a process. Watching the ecosystem, he identified the precise moment the CRO's concern over trapped capital and a possible regulatory finding peaked — the point at which inaction had become the riskier option. He bypassed the slow IT-procurement track entirely and brought a real-time collateral-mobility workflow directly to the C-suite, framed around the exact exposure that was keeping the CRO awake.</w:t>
            </w:r>
          </w:p>
          <w:p>
            <w:pPr>
              <w:spacing w:after="0" w:line="292"/>
            </w:pPr>
            <w:r>
              <w:rPr>
                <w:rFonts w:ascii="Calibri" w:cs="Calibri" w:eastAsia="Calibri" w:hAnsi="Calibri"/>
                <w:color w:val="33312B"/>
                <w:sz w:val="21"/>
                <w:szCs w:val="21"/>
              </w:rPr>
              <w:t xml:space="preserve">The deal closed before the incumbent's account team had seen anything, because there was nothing to see — no RFP was ever written. To the competition it looked as though the account had vanished overnight. In truth it had been read, mapped, and taken a clear step ahead of their comprehension.</w:t>
            </w:r>
          </w:p>
        </w:tc>
      </w:tr>
    </w:tbl>
    <w:p>
      <w:pPr>
        <w:pStyle w:val="Heading2"/>
      </w:pPr>
      <w:r>
        <w:t xml:space="preserve">The Drill</w:t>
      </w:r>
    </w:p>
    <w:p>
      <w:pPr>
        <w:pStyle w:val="ListParagraph"/>
        <w:numPr>
          <w:ilvl w:val="0"/>
          <w:numId w:val="3"/>
        </w:numPr>
        <w:spacing w:after="80" w:line="286"/>
      </w:pPr>
      <w:r>
        <w:rPr>
          <w:rFonts w:ascii="Calibri" w:cs="Calibri" w:eastAsia="Calibri" w:hAnsi="Calibri"/>
          <w:color w:val="33312B"/>
          <w:sz w:val="22"/>
          <w:szCs w:val="22"/>
        </w:rPr>
        <w:t xml:space="preserve">Choose your most important account and build a living map: politics, budget, catalysts, detractors.</w:t>
      </w:r>
    </w:p>
    <w:p>
      <w:pPr>
        <w:pStyle w:val="ListParagraph"/>
        <w:numPr>
          <w:ilvl w:val="0"/>
          <w:numId w:val="3"/>
        </w:numPr>
        <w:spacing w:after="80" w:line="286"/>
      </w:pPr>
      <w:r>
        <w:rPr>
          <w:rFonts w:ascii="Calibri" w:cs="Calibri" w:eastAsia="Calibri" w:hAnsi="Calibri"/>
          <w:color w:val="33312B"/>
          <w:sz w:val="22"/>
          <w:szCs w:val="22"/>
        </w:rPr>
        <w:t xml:space="preserve">Identify the executive whose anxiety, when it peaks, will decide the account.</w:t>
      </w:r>
    </w:p>
    <w:p>
      <w:pPr>
        <w:pStyle w:val="ListParagraph"/>
        <w:numPr>
          <w:ilvl w:val="0"/>
          <w:numId w:val="3"/>
        </w:numPr>
        <w:spacing w:after="80" w:line="286"/>
      </w:pPr>
      <w:r>
        <w:rPr>
          <w:rFonts w:ascii="Calibri" w:cs="Calibri" w:eastAsia="Calibri" w:hAnsi="Calibri"/>
          <w:color w:val="33312B"/>
          <w:sz w:val="22"/>
          <w:szCs w:val="22"/>
        </w:rPr>
        <w:t xml:space="preserve">Track the ecosystem signals that tell you that moment is approaching.</w:t>
      </w:r>
    </w:p>
    <w:p>
      <w:pPr>
        <w:pStyle w:val="ListParagraph"/>
        <w:numPr>
          <w:ilvl w:val="0"/>
          <w:numId w:val="3"/>
        </w:numPr>
        <w:spacing w:after="80" w:line="286"/>
      </w:pPr>
      <w:r>
        <w:rPr>
          <w:rFonts w:ascii="Calibri" w:cs="Calibri" w:eastAsia="Calibri" w:hAnsi="Calibri"/>
          <w:color w:val="33312B"/>
          <w:sz w:val="22"/>
          <w:szCs w:val="22"/>
        </w:rPr>
        <w:t xml:space="preserve">Plan the pre-emptive, C-suite-direct move you will make before any process begins.</w:t>
      </w:r>
    </w:p>
    <w:p>
      <w:pPr>
        <w:pStyle w:val="Heading2"/>
      </w:pPr>
      <w:r>
        <w:t xml:space="preserve">The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Metric</w:t>
            </w:r>
          </w:p>
        </w:tc>
        <w:tc>
          <w:tcPr>
            <w:tcW w:type="dxa" w:w="6160"/>
            <w:shd w:fill="1C3A52" w:val="clear"/>
            <w:tcMar>
              <w:top w:type="dxa" w:w="90"/>
              <w:left w:type="dxa" w:w="150"/>
              <w:bottom w:type="dxa" w:w="90"/>
              <w:right w:type="dxa" w:w="150"/>
            </w:tcMar>
          </w:tcPr>
          <w:p>
            <w:r>
              <w:rPr>
                <w:rFonts w:ascii="Calibri" w:cs="Calibri" w:eastAsia="Calibri" w:hAnsi="Calibri"/>
                <w:b/>
                <w:bCs/>
                <w:color w:val="FFFFFF"/>
                <w:sz w:val="20"/>
                <w:szCs w:val="20"/>
              </w:rPr>
              <w:t xml:space="preserve">What it measures</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Account-map completeness</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How fully you have mapped politics, budget, triggers and detractors.</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Predictive accuracy</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How often you correctly anticipated the committee's next move.</w:t>
            </w:r>
          </w:p>
        </w:tc>
      </w:tr>
      <w:tr>
        <w:tc>
          <w:tcPr>
            <w:tcW w:type="dxa" w:w="320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b/>
                <w:bCs/>
                <w:color w:val="1C3A52"/>
                <w:sz w:val="20"/>
                <w:szCs w:val="20"/>
              </w:rPr>
              <w:t xml:space="preserve">Deals closed pre-RFP</w:t>
            </w:r>
          </w:p>
        </w:tc>
        <w:tc>
          <w:tcPr>
            <w:tcW w:type="dxa" w:w="6160"/>
            <w:tcBorders>
              <w:top w:val="single" w:color="D7D1C2" w:sz="1"/>
              <w:left w:val="single" w:color="D7D1C2" w:sz="1"/>
              <w:bottom w:val="single" w:color="D7D1C2" w:sz="1"/>
              <w:right w:val="single" w:color="D7D1C2" w:sz="1"/>
            </w:tcBorders>
            <w:shd w:fill="EEEADD" w:val="clear"/>
            <w:tcMar>
              <w:top w:type="dxa" w:w="80"/>
              <w:left w:type="dxa" w:w="150"/>
              <w:bottom w:type="dxa" w:w="80"/>
              <w:right w:type="dxa" w:w="150"/>
            </w:tcMar>
          </w:tcPr>
          <w:p>
            <w:r>
              <w:rPr>
                <w:rFonts w:ascii="Calibri" w:cs="Calibri" w:eastAsia="Calibri" w:hAnsi="Calibri"/>
                <w:color w:val="33312B"/>
                <w:sz w:val="20"/>
                <w:szCs w:val="20"/>
              </w:rPr>
              <w:t xml:space="preserve">Opportunities won before a formal process began.</w:t>
            </w:r>
          </w:p>
        </w:tc>
      </w:tr>
      <w:tr>
        <w:tc>
          <w:tcPr>
            <w:tcW w:type="dxa" w:w="320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b/>
                <w:bCs/>
                <w:color w:val="1C3A52"/>
                <w:sz w:val="20"/>
                <w:szCs w:val="20"/>
              </w:rPr>
              <w:t xml:space="preserve">Detractors neutralised</w:t>
            </w:r>
          </w:p>
        </w:tc>
        <w:tc>
          <w:tcPr>
            <w:tcW w:type="dxa" w:w="6160"/>
            <w:tcBorders>
              <w:top w:val="single" w:color="D7D1C2" w:sz="1"/>
              <w:left w:val="single" w:color="D7D1C2" w:sz="1"/>
              <w:bottom w:val="single" w:color="D7D1C2" w:sz="1"/>
              <w:right w:val="single" w:color="D7D1C2" w:sz="1"/>
            </w:tcBorders>
            <w:shd w:fill="FFFFFF" w:val="clear"/>
            <w:tcMar>
              <w:top w:type="dxa" w:w="80"/>
              <w:left w:type="dxa" w:w="150"/>
              <w:bottom w:type="dxa" w:w="80"/>
              <w:right w:type="dxa" w:w="150"/>
            </w:tcMar>
          </w:tcPr>
          <w:p>
            <w:r>
              <w:rPr>
                <w:rFonts w:ascii="Calibri" w:cs="Calibri" w:eastAsia="Calibri" w:hAnsi="Calibri"/>
                <w:color w:val="33312B"/>
                <w:sz w:val="20"/>
                <w:szCs w:val="20"/>
              </w:rPr>
              <w:t xml:space="preserve">Hidden opponents you identified and managed before they surfaced.</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D1C2" w:sz="2"/>
              <w:left w:val="single" w:color="D7D1C2" w:sz="2"/>
              <w:bottom w:val="single" w:color="D7D1C2" w:sz="2"/>
              <w:right w:val="single" w:color="D7D1C2" w:sz="2"/>
            </w:tcBorders>
            <w:shd w:fill="EEEADD" w:val="clear"/>
            <w:tcMar>
              <w:top w:type="dxa" w:w="150"/>
              <w:left w:type="dxa" w:w="210"/>
              <w:bottom w:type="dxa" w:w="150"/>
              <w:right w:type="dxa" w:w="210"/>
            </w:tcMar>
          </w:tcPr>
          <w:p>
            <w:pPr>
              <w:spacing w:after="60"/>
            </w:pPr>
            <w:r>
              <w:rPr>
                <w:rFonts w:ascii="Calibri" w:cs="Calibri" w:eastAsia="Calibri" w:hAnsi="Calibri"/>
                <w:b/>
                <w:bCs/>
                <w:color w:val="8F7647"/>
                <w:spacing w:val="24"/>
                <w:sz w:val="17"/>
                <w:szCs w:val="17"/>
              </w:rPr>
              <w:t xml:space="preserve">THE FAILURE MODE</w:t>
            </w:r>
          </w:p>
          <w:p>
            <w:pPr>
              <w:spacing w:after="0" w:line="292"/>
            </w:pPr>
            <w:r>
              <w:rPr>
                <w:rFonts w:ascii="Calibri" w:cs="Calibri" w:eastAsia="Calibri" w:hAnsi="Calibri"/>
                <w:color w:val="33312B"/>
                <w:sz w:val="21"/>
                <w:szCs w:val="21"/>
              </w:rPr>
              <w:t xml:space="preserve">Champion tunnel-vision — relying on one relationship, reacting after the fact, and being blindsided by a change in the ecosystem you should have seen forming a quarter earlier.</w:t>
            </w:r>
          </w:p>
        </w:tc>
      </w:tr>
    </w:tbl>
    <w:p>
      <w:pPr>
        <w:pStyle w:val="Heading2"/>
      </w:pPr>
      <w:r>
        <w:t xml:space="preserve">Field Notes</w:t>
      </w:r>
    </w:p>
    <w:p>
      <w:pPr>
        <w:pStyle w:val="ListParagraph"/>
        <w:numPr>
          <w:ilvl w:val="0"/>
          <w:numId w:val="2"/>
        </w:numPr>
        <w:spacing w:after="80" w:line="286"/>
      </w:pPr>
      <w:r>
        <w:rPr>
          <w:rFonts w:ascii="Calibri" w:cs="Calibri" w:eastAsia="Calibri" w:hAnsi="Calibri"/>
          <w:color w:val="33312B"/>
          <w:sz w:val="22"/>
          <w:szCs w:val="22"/>
        </w:rPr>
        <w:t xml:space="preserve">Map the account weekly; a stale map is a liability dressed as an asset.</w:t>
      </w:r>
    </w:p>
    <w:p>
      <w:pPr>
        <w:pStyle w:val="ListParagraph"/>
        <w:numPr>
          <w:ilvl w:val="0"/>
          <w:numId w:val="2"/>
        </w:numPr>
        <w:spacing w:after="80" w:line="286"/>
      </w:pPr>
      <w:r>
        <w:rPr>
          <w:rFonts w:ascii="Calibri" w:cs="Calibri" w:eastAsia="Calibri" w:hAnsi="Calibri"/>
          <w:color w:val="33312B"/>
          <w:sz w:val="22"/>
          <w:szCs w:val="22"/>
        </w:rPr>
        <w:t xml:space="preserve">The deciding anxiety usually sits with the CRO or COO, not your champion.</w:t>
      </w:r>
    </w:p>
    <w:p>
      <w:pPr>
        <w:pStyle w:val="ListParagraph"/>
        <w:numPr>
          <w:ilvl w:val="0"/>
          <w:numId w:val="2"/>
        </w:numPr>
        <w:spacing w:after="80" w:line="286"/>
      </w:pPr>
      <w:r>
        <w:rPr>
          <w:rFonts w:ascii="Calibri" w:cs="Calibri" w:eastAsia="Calibri" w:hAnsi="Calibri"/>
          <w:color w:val="33312B"/>
          <w:sz w:val="22"/>
          <w:szCs w:val="22"/>
        </w:rPr>
        <w:t xml:space="preserve">The best RFP is the one your competitor never knew to respond to.</w:t>
      </w:r>
    </w:p>
    <w:p>
      <w:pPr>
        <w:pageBreakBefore/>
        <w:spacing w:after="0" w:before="0"/>
      </w:pPr>
      <w:r>
        <w:rPr>
          <w:rFonts w:ascii="Calibri" w:cs="Calibri" w:eastAsia="Calibri" w:hAnsi="Calibri"/>
          <w:b/>
          <w:bCs/>
          <w:color w:val="8F7647"/>
          <w:spacing w:val="30"/>
          <w:sz w:val="18"/>
          <w:szCs w:val="18"/>
        </w:rPr>
        <w:t xml:space="preserve">FROM CONVICTION TO CAMPAIGN</w:t>
      </w:r>
    </w:p>
    <w:p>
      <w:pPr>
        <w:pStyle w:val="Heading1"/>
        <w:spacing w:after="150" w:before="40"/>
      </w:pPr>
      <w:r>
        <w:t xml:space="preserve">Part Three — Integration</w:t>
      </w:r>
    </w:p>
    <w:p>
      <w:pPr>
        <w:pStyle w:val="Heading2"/>
      </w:pPr>
      <w:r>
        <w:t xml:space="preserve">The Maturity Model</w:t>
      </w:r>
    </w:p>
    <w:p>
      <w:pPr>
        <w:spacing w:after="150" w:line="296"/>
        <w:jc w:val="both"/>
      </w:pPr>
      <w:r>
        <w:rPr>
          <w:rFonts w:ascii="Calibri" w:cs="Calibri" w:eastAsia="Calibri" w:hAnsi="Calibri"/>
          <w:color w:val="33312B"/>
          <w:sz w:val="22"/>
          <w:szCs w:val="22"/>
        </w:rPr>
        <w:t xml:space="preserve">The doctrine describes a progression. Most sellers begin as placeholders and, with discipline, become operators. The programme exists to carry the capable operator through to principal and, ultimately, to egoist — the seller who shapes the market rather than responding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shd w:fill="1C3A52" w:val="clear"/>
            <w:tcMar>
              <w:top w:type="dxa" w:w="80"/>
              <w:left w:type="dxa" w:w="130"/>
              <w:bottom w:type="dxa" w:w="80"/>
              <w:right w:type="dxa" w:w="130"/>
            </w:tcMar>
          </w:tcPr>
          <w:p>
            <w:r>
              <w:rPr>
                <w:rFonts w:ascii="Calibri" w:cs="Calibri" w:eastAsia="Calibri" w:hAnsi="Calibri"/>
                <w:b/>
                <w:bCs/>
                <w:color w:val="FFFFFF"/>
                <w:sz w:val="18"/>
                <w:szCs w:val="18"/>
              </w:rPr>
              <w:t xml:space="preserve">Stage</w:t>
            </w:r>
          </w:p>
        </w:tc>
        <w:tc>
          <w:tcPr>
            <w:tcW w:type="dxa" w:w="5360"/>
            <w:shd w:fill="1C3A52" w:val="clear"/>
            <w:tcMar>
              <w:top w:type="dxa" w:w="80"/>
              <w:left w:type="dxa" w:w="130"/>
              <w:bottom w:type="dxa" w:w="80"/>
              <w:right w:type="dxa" w:w="130"/>
            </w:tcMar>
          </w:tcPr>
          <w:p>
            <w:r>
              <w:rPr>
                <w:rFonts w:ascii="Calibri" w:cs="Calibri" w:eastAsia="Calibri" w:hAnsi="Calibri"/>
                <w:b/>
                <w:bCs/>
                <w:color w:val="FFFFFF"/>
                <w:sz w:val="18"/>
                <w:szCs w:val="18"/>
              </w:rPr>
              <w:t xml:space="preserve">Behaviour</w:t>
            </w:r>
          </w:p>
        </w:tc>
        <w:tc>
          <w:tcPr>
            <w:tcW w:type="dxa" w:w="2000"/>
            <w:shd w:fill="1C3A52" w:val="clear"/>
            <w:tcMar>
              <w:top w:type="dxa" w:w="80"/>
              <w:left w:type="dxa" w:w="130"/>
              <w:bottom w:type="dxa" w:w="80"/>
              <w:right w:type="dxa" w:w="130"/>
            </w:tcMar>
          </w:tcPr>
          <w:p>
            <w:r>
              <w:rPr>
                <w:rFonts w:ascii="Calibri" w:cs="Calibri" w:eastAsia="Calibri" w:hAnsi="Calibri"/>
                <w:b/>
                <w:bCs/>
                <w:color w:val="FFFFFF"/>
                <w:sz w:val="18"/>
                <w:szCs w:val="18"/>
              </w:rPr>
              <w:t xml:space="preserve">Posture</w:t>
            </w:r>
          </w:p>
        </w:tc>
      </w:tr>
      <w:tr>
        <w:tc>
          <w:tcPr>
            <w:tcW w:type="dxa" w:w="2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The Placeholder</w:t>
            </w:r>
          </w:p>
        </w:tc>
        <w:tc>
          <w:tcPr>
            <w:tcW w:type="dxa" w:w="53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Waits for inbound and RFPs. Manages a queue. Reports activity. Is interchangeable.</w:t>
            </w:r>
          </w:p>
        </w:tc>
        <w:tc>
          <w:tcPr>
            <w:tcW w:type="dxa" w:w="2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Covers accounts.</w:t>
            </w:r>
          </w:p>
        </w:tc>
      </w:tr>
      <w:tr>
        <w:tc>
          <w:tcPr>
            <w:tcW w:type="dxa" w:w="2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The Operator</w:t>
            </w:r>
          </w:p>
        </w:tc>
        <w:tc>
          <w:tcPr>
            <w:tcW w:type="dxa" w:w="53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Runs a methodology competently. Qualifies, discovers, demos. Reports pipeline.</w:t>
            </w:r>
          </w:p>
        </w:tc>
        <w:tc>
          <w:tcPr>
            <w:tcW w:type="dxa" w:w="2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Works deals.</w:t>
            </w:r>
          </w:p>
        </w:tc>
      </w:tr>
      <w:tr>
        <w:tc>
          <w:tcPr>
            <w:tcW w:type="dxa" w:w="2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The Principal</w:t>
            </w:r>
          </w:p>
        </w:tc>
        <w:tc>
          <w:tcPr>
            <w:tcW w:type="dxa" w:w="53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Selects targets, defines a signature weapon, multi-threads, and owns the number.</w:t>
            </w:r>
          </w:p>
        </w:tc>
        <w:tc>
          <w:tcPr>
            <w:tcW w:type="dxa" w:w="2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Wins deals on purpose.</w:t>
            </w:r>
          </w:p>
        </w:tc>
      </w:tr>
      <w:tr>
        <w:tc>
          <w:tcPr>
            <w:tcW w:type="dxa" w:w="2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The Egoist</w:t>
            </w:r>
          </w:p>
        </w:tc>
        <w:tc>
          <w:tcPr>
            <w:tcW w:type="dxa" w:w="53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Reads the whole field, engineers timing, and authors outcomes before competitors see them.</w:t>
            </w:r>
          </w:p>
        </w:tc>
        <w:tc>
          <w:tcPr>
            <w:tcW w:type="dxa" w:w="2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Shapes the market.</w:t>
            </w:r>
          </w:p>
        </w:tc>
      </w:tr>
    </w:tbl>
    <w:p>
      <w:pPr>
        <w:pStyle w:val="Heading2"/>
      </w:pPr>
      <w:r>
        <w:t xml:space="preserve">The Campaign: The Doctrine on a Single Account</w:t>
      </w:r>
    </w:p>
    <w:p>
      <w:pPr>
        <w:spacing w:after="150" w:line="296"/>
        <w:jc w:val="both"/>
      </w:pPr>
      <w:r>
        <w:rPr>
          <w:rFonts w:ascii="Calibri" w:cs="Calibri" w:eastAsia="Calibri" w:hAnsi="Calibri"/>
          <w:color w:val="33312B"/>
          <w:sz w:val="22"/>
          <w:szCs w:val="22"/>
        </w:rPr>
        <w:t xml:space="preserve">The eight convictions are not separate skills to be practised in isolation; they are one continuous campaign. Run end to end against a single Tier-1 account, they look like this. You begin by choosing the account because it is hard and valuable, not because it is easy (Conviction I). You enter with your signature weapon, not as a generalist (II). You arrive having watched the ecosystem for months, present and credible before any process begins (VI), reading the whole field rather than a single champion (VIII).</w:t>
      </w:r>
    </w:p>
    <w:p>
      <w:pPr>
        <w:spacing w:after="150" w:line="296"/>
        <w:jc w:val="both"/>
      </w:pPr>
      <w:r>
        <w:rPr>
          <w:rFonts w:ascii="Calibri" w:cs="Calibri" w:eastAsia="Calibri" w:hAnsi="Calibri"/>
          <w:color w:val="33312B"/>
          <w:sz w:val="22"/>
          <w:szCs w:val="22"/>
        </w:rPr>
        <w:t xml:space="preserve">As the dated catalyst approaches — the 2027 deadline, a consolidation, an incumbent’s strain — you run the documented play that has worked against firms sharing the same constraint (III), and you deliberately seek the hardest stakeholders, turning the CISO and CRO from blockers into advocates (IV). You orchestrate the whole committee, combining weapons across trading, quant, architecture, risk and procurement, and absorbing the inevitable blocker (V). In the decisive rooms you drop the script and operate in flow (VII). And at the precise moment the deciding executive’s anxiety peaks, you make the pre-emptive, C-suite-direct move and close before a competitor has seen an RFP (VIII). That is the Bruntsfield playbook: a closed-loop campaign that runs from conviction to ownership.</w:t>
      </w:r>
    </w:p>
    <w:p>
      <w:pPr>
        <w:pageBreakBefore/>
        <w:spacing w:after="0" w:before="0"/>
      </w:pPr>
      <w:r>
        <w:rPr>
          <w:rFonts w:ascii="Calibri" w:cs="Calibri" w:eastAsia="Calibri" w:hAnsi="Calibri"/>
          <w:b/>
          <w:bCs/>
          <w:color w:val="8F7647"/>
          <w:spacing w:val="30"/>
          <w:sz w:val="18"/>
          <w:szCs w:val="18"/>
        </w:rPr>
        <w:t xml:space="preserve">THE EGOIST’S MANDATE</w:t>
      </w:r>
    </w:p>
    <w:p>
      <w:pPr>
        <w:pStyle w:val="Heading1"/>
        <w:spacing w:after="150" w:before="40"/>
      </w:pPr>
      <w:r>
        <w:t xml:space="preserve">Closing: The Bruntsfield Maxim</w:t>
      </w:r>
    </w:p>
    <w:p>
      <w:pPr>
        <w:spacing w:after="170" w:line="300"/>
      </w:pPr>
      <w:r>
        <w:rPr>
          <w:rFonts w:ascii="Cambria" w:cs="Cambria" w:eastAsia="Cambria" w:hAnsi="Cambria"/>
          <w:color w:val="1C3A52"/>
          <w:sz w:val="25"/>
          <w:szCs w:val="25"/>
        </w:rPr>
        <w:t xml:space="preserve">The elite seller does not wait for the market to choose them. They engineer its friction, sharpen a single weapon, and make the largest financial institutions in the world adapt to their formula.</w:t>
      </w:r>
    </w:p>
    <w:p>
      <w:pPr>
        <w:spacing w:after="150" w:line="296"/>
        <w:jc w:val="both"/>
      </w:pPr>
      <w:r>
        <w:rPr>
          <w:rFonts w:ascii="Calibri" w:cs="Calibri" w:eastAsia="Calibri" w:hAnsi="Calibri"/>
          <w:color w:val="33312B"/>
          <w:sz w:val="22"/>
          <w:szCs w:val="22"/>
        </w:rPr>
        <w:t xml:space="preserve">Across these eight convictions the same instruction recurs in different forms: stop waiting. Stop waiting for the RFP, for the relationship to mature, for the right moment, for permission to act. Every conviction is a way of converting a passive habit into a deliberate, repeatable, self-authored move — from choosing the hardest target, to defining a single undeniable weapon, to reading an account so completely that you close before a competitor knows a deal exists.</w:t>
      </w:r>
    </w:p>
    <w:p>
      <w:pPr>
        <w:spacing w:after="150" w:line="296"/>
        <w:jc w:val="both"/>
      </w:pPr>
      <w:r>
        <w:rPr>
          <w:rFonts w:ascii="Calibri" w:cs="Calibri" w:eastAsia="Calibri" w:hAnsi="Calibri"/>
          <w:color w:val="33312B"/>
          <w:sz w:val="22"/>
          <w:szCs w:val="22"/>
        </w:rPr>
        <w:t xml:space="preserve">That is what it means to be a Sales Egoist: to take full personal ownership of the number, and to refuse, permanently, the comfortable disappearance of the placeholder. The ability is already in you. This doctrine exists to wake it.</w:t>
      </w:r>
    </w:p>
    <w:p>
      <w:pPr>
        <w:pageBreakBefore/>
        <w:spacing w:after="0" w:before="0"/>
      </w:pPr>
      <w:r>
        <w:rPr>
          <w:rFonts w:ascii="Calibri" w:cs="Calibri" w:eastAsia="Calibri" w:hAnsi="Calibri"/>
          <w:b/>
          <w:bCs/>
          <w:color w:val="8F7647"/>
          <w:spacing w:val="30"/>
          <w:sz w:val="18"/>
          <w:szCs w:val="18"/>
        </w:rPr>
        <w:t xml:space="preserve">QUICK REFERENCE</w:t>
      </w:r>
    </w:p>
    <w:p>
      <w:pPr>
        <w:pStyle w:val="Heading1"/>
        <w:spacing w:after="150" w:before="40"/>
      </w:pPr>
      <w:r>
        <w:t xml:space="preserve">Appendix A — The Weapon Index</w:t>
      </w:r>
    </w:p>
    <w:p>
      <w:pPr>
        <w:spacing w:after="150" w:line="296"/>
        <w:jc w:val="both"/>
      </w:pPr>
      <w:r>
        <w:rPr>
          <w:rFonts w:ascii="Calibri" w:cs="Calibri" w:eastAsia="Calibri" w:hAnsi="Calibri"/>
          <w:color w:val="33312B"/>
          <w:sz w:val="22"/>
          <w:szCs w:val="22"/>
        </w:rPr>
        <w:t xml:space="preserve">A condensed reference to the armoury: the weapon, the situation it is built for, and its capital-markets cut. Use it to choose deliberately, not by habit.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shd w:fill="1C3A52" w:val="clear"/>
            <w:tcMar>
              <w:top w:type="dxa" w:w="80"/>
              <w:left w:type="dxa" w:w="130"/>
              <w:bottom w:type="dxa" w:w="80"/>
              <w:right w:type="dxa" w:w="130"/>
            </w:tcMar>
          </w:tcPr>
          <w:p>
            <w:r>
              <w:rPr>
                <w:rFonts w:ascii="Calibri" w:cs="Calibri" w:eastAsia="Calibri" w:hAnsi="Calibri"/>
                <w:b/>
                <w:bCs/>
                <w:color w:val="FFFFFF"/>
                <w:sz w:val="18"/>
                <w:szCs w:val="18"/>
              </w:rPr>
              <w:t xml:space="preserve">Weapon</w:t>
            </w:r>
          </w:p>
        </w:tc>
        <w:tc>
          <w:tcPr>
            <w:tcW w:type="dxa" w:w="3000"/>
            <w:shd w:fill="1C3A52" w:val="clear"/>
            <w:tcMar>
              <w:top w:type="dxa" w:w="80"/>
              <w:left w:type="dxa" w:w="130"/>
              <w:bottom w:type="dxa" w:w="80"/>
              <w:right w:type="dxa" w:w="130"/>
            </w:tcMar>
          </w:tcPr>
          <w:p>
            <w:r>
              <w:rPr>
                <w:rFonts w:ascii="Calibri" w:cs="Calibri" w:eastAsia="Calibri" w:hAnsi="Calibri"/>
                <w:b/>
                <w:bCs/>
                <w:color w:val="FFFFFF"/>
                <w:sz w:val="18"/>
                <w:szCs w:val="18"/>
              </w:rPr>
              <w:t xml:space="preserve">Best for</w:t>
            </w:r>
          </w:p>
        </w:tc>
        <w:tc>
          <w:tcPr>
            <w:tcW w:type="dxa" w:w="4060"/>
            <w:shd w:fill="1C3A52" w:val="clear"/>
            <w:tcMar>
              <w:top w:type="dxa" w:w="80"/>
              <w:left w:type="dxa" w:w="130"/>
              <w:bottom w:type="dxa" w:w="80"/>
              <w:right w:type="dxa" w:w="130"/>
            </w:tcMar>
          </w:tcPr>
          <w:p>
            <w:r>
              <w:rPr>
                <w:rFonts w:ascii="Calibri" w:cs="Calibri" w:eastAsia="Calibri" w:hAnsi="Calibri"/>
                <w:b/>
                <w:bCs/>
                <w:color w:val="FFFFFF"/>
                <w:sz w:val="18"/>
                <w:szCs w:val="18"/>
              </w:rPr>
              <w:t xml:space="preserve">The capital-markets cut</w:t>
            </w:r>
          </w:p>
        </w:tc>
      </w:tr>
      <w:tr>
        <w:tc>
          <w:tcPr>
            <w:tcW w:type="dxa" w:w="23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SPIN</w:t>
            </w:r>
          </w:p>
        </w:tc>
        <w:tc>
          <w:tcPr>
            <w:tcW w:type="dxa" w:w="3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Deep discovery</w:t>
            </w:r>
          </w:p>
        </w:tc>
        <w:tc>
          <w:tcPr>
            <w:tcW w:type="dxa" w:w="40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Make a latency or settlement-fail cost felt before proposing.</w:t>
            </w:r>
          </w:p>
        </w:tc>
      </w:tr>
      <w:tr>
        <w:tc>
          <w:tcPr>
            <w:tcW w:type="dxa" w:w="23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Solution Selling</w:t>
            </w:r>
          </w:p>
        </w:tc>
        <w:tc>
          <w:tcPr>
            <w:tcW w:type="dxa" w:w="3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Tailored configuration</w:t>
            </w:r>
          </w:p>
        </w:tc>
        <w:tc>
          <w:tcPr>
            <w:tcW w:type="dxa" w:w="40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Fit the firm’s specific post-trade or data gap, not a product tour.</w:t>
            </w:r>
          </w:p>
        </w:tc>
      </w:tr>
      <w:tr>
        <w:tc>
          <w:tcPr>
            <w:tcW w:type="dxa" w:w="23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Gap Selling</w:t>
            </w:r>
          </w:p>
        </w:tc>
        <w:tc>
          <w:tcPr>
            <w:tcW w:type="dxa" w:w="3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Building urgency</w:t>
            </w:r>
          </w:p>
        </w:tc>
        <w:tc>
          <w:tcPr>
            <w:tcW w:type="dxa" w:w="40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Size and price the gap the settlement squeeze opens.</w:t>
            </w:r>
          </w:p>
        </w:tc>
      </w:tr>
      <w:tr>
        <w:tc>
          <w:tcPr>
            <w:tcW w:type="dxa" w:w="23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Challenger</w:t>
            </w:r>
          </w:p>
        </w:tc>
        <w:tc>
          <w:tcPr>
            <w:tcW w:type="dxa" w:w="3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Reframing in complex deals</w:t>
            </w:r>
          </w:p>
        </w:tc>
        <w:tc>
          <w:tcPr>
            <w:tcW w:type="dxa" w:w="40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Teach the desk a cost they had not measured.</w:t>
            </w:r>
          </w:p>
        </w:tc>
      </w:tr>
      <w:tr>
        <w:tc>
          <w:tcPr>
            <w:tcW w:type="dxa" w:w="23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Command of the Message</w:t>
            </w:r>
          </w:p>
        </w:tc>
        <w:tc>
          <w:tcPr>
            <w:tcW w:type="dxa" w:w="3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Differentiated value &amp; urgency</w:t>
            </w:r>
          </w:p>
        </w:tc>
        <w:tc>
          <w:tcPr>
            <w:tcW w:type="dxa" w:w="40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A dated 'why now' tied to the 2027 deadline.</w:t>
            </w:r>
          </w:p>
        </w:tc>
      </w:tr>
      <w:tr>
        <w:tc>
          <w:tcPr>
            <w:tcW w:type="dxa" w:w="23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Value / ROI Selling</w:t>
            </w:r>
          </w:p>
        </w:tc>
        <w:tc>
          <w:tcPr>
            <w:tcW w:type="dxa" w:w="3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Economic justification</w:t>
            </w:r>
          </w:p>
        </w:tc>
        <w:tc>
          <w:tcPr>
            <w:tcW w:type="dxa" w:w="40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Basis points, $/day, CSDR penalties, FTEs saved.</w:t>
            </w:r>
          </w:p>
        </w:tc>
      </w:tr>
      <w:tr>
        <w:tc>
          <w:tcPr>
            <w:tcW w:type="dxa" w:w="23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Mutual Action Plan</w:t>
            </w:r>
          </w:p>
        </w:tc>
        <w:tc>
          <w:tcPr>
            <w:tcW w:type="dxa" w:w="3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Driving the close</w:t>
            </w:r>
          </w:p>
        </w:tc>
        <w:tc>
          <w:tcPr>
            <w:tcW w:type="dxa" w:w="40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Reverse-engineer from the Dec 2026 confirmation deadline.</w:t>
            </w:r>
          </w:p>
        </w:tc>
      </w:tr>
      <w:tr>
        <w:tc>
          <w:tcPr>
            <w:tcW w:type="dxa" w:w="23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MEDDPICC</w:t>
            </w:r>
          </w:p>
        </w:tc>
        <w:tc>
          <w:tcPr>
            <w:tcW w:type="dxa" w:w="3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Enterprise qualification</w:t>
            </w:r>
          </w:p>
        </w:tc>
        <w:tc>
          <w:tcPr>
            <w:tcW w:type="dxa" w:w="40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The spine of hygiene in long, multi-gate bank deals.</w:t>
            </w:r>
          </w:p>
        </w:tc>
      </w:tr>
      <w:tr>
        <w:tc>
          <w:tcPr>
            <w:tcW w:type="dxa" w:w="23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Sandler</w:t>
            </w:r>
          </w:p>
        </w:tc>
        <w:tc>
          <w:tcPr>
            <w:tcW w:type="dxa" w:w="3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Call control &amp; qualification</w:t>
            </w:r>
          </w:p>
        </w:tc>
        <w:tc>
          <w:tcPr>
            <w:tcW w:type="dxa" w:w="40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Up-front contracts to avoid the endless POC.</w:t>
            </w:r>
          </w:p>
        </w:tc>
      </w:tr>
      <w:tr>
        <w:tc>
          <w:tcPr>
            <w:tcW w:type="dxa" w:w="23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NEAT / SNAP</w:t>
            </w:r>
          </w:p>
        </w:tc>
        <w:tc>
          <w:tcPr>
            <w:tcW w:type="dxa" w:w="3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Fast or overloaded buyers</w:t>
            </w:r>
          </w:p>
        </w:tc>
        <w:tc>
          <w:tcPr>
            <w:tcW w:type="dxa" w:w="40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Triage the 23/5 scramble; reach the swamped Head of Ops.</w:t>
            </w:r>
          </w:p>
        </w:tc>
      </w:tr>
      <w:tr>
        <w:tc>
          <w:tcPr>
            <w:tcW w:type="dxa" w:w="23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Strategic Selling (Blue Sheet)</w:t>
            </w:r>
          </w:p>
        </w:tc>
        <w:tc>
          <w:tcPr>
            <w:tcW w:type="dxa" w:w="3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Committee orchestration</w:t>
            </w:r>
          </w:p>
        </w:tc>
        <w:tc>
          <w:tcPr>
            <w:tcW w:type="dxa" w:w="40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Map every influence on an eight-figure platform deal.</w:t>
            </w:r>
          </w:p>
        </w:tc>
      </w:tr>
      <w:tr>
        <w:tc>
          <w:tcPr>
            <w:tcW w:type="dxa" w:w="23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Account-Based Selling</w:t>
            </w:r>
          </w:p>
        </w:tc>
        <w:tc>
          <w:tcPr>
            <w:tcW w:type="dxa" w:w="3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Named-account campaigns</w:t>
            </w:r>
          </w:p>
        </w:tc>
        <w:tc>
          <w:tcPr>
            <w:tcW w:type="dxa" w:w="40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Treat a Tier-1 bank as an account, not a lead.</w:t>
            </w:r>
          </w:p>
        </w:tc>
      </w:tr>
      <w:tr>
        <w:tc>
          <w:tcPr>
            <w:tcW w:type="dxa" w:w="23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bCs/>
                <w:color w:val="1C3A52"/>
                <w:sz w:val="17"/>
                <w:szCs w:val="17"/>
              </w:rPr>
              <w:t xml:space="preserve">Social / Digital Selling</w:t>
            </w:r>
          </w:p>
        </w:tc>
        <w:tc>
          <w:tcPr>
            <w:tcW w:type="dxa" w:w="300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Presence before the deal</w:t>
            </w:r>
          </w:p>
        </w:tc>
        <w:tc>
          <w:tcPr>
            <w:tcW w:type="dxa" w:w="4060"/>
            <w:tcBorders>
              <w:top w:val="single" w:color="D7D1C2" w:sz="1"/>
              <w:left w:val="single" w:color="D7D1C2" w:sz="1"/>
              <w:bottom w:val="single" w:color="D7D1C2" w:sz="1"/>
              <w:right w:val="single" w:color="D7D1C2" w:sz="1"/>
            </w:tcBorders>
            <w:shd w:fill="EEEADD"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Be the known voice on T+1 readiness.</w:t>
            </w:r>
          </w:p>
        </w:tc>
      </w:tr>
      <w:tr>
        <w:tc>
          <w:tcPr>
            <w:tcW w:type="dxa" w:w="23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bCs/>
                <w:color w:val="1C3A52"/>
                <w:sz w:val="17"/>
                <w:szCs w:val="17"/>
              </w:rPr>
              <w:t xml:space="preserve">The Timing Layer</w:t>
            </w:r>
          </w:p>
        </w:tc>
        <w:tc>
          <w:tcPr>
            <w:tcW w:type="dxa" w:w="300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Choosing the moment</w:t>
            </w:r>
          </w:p>
        </w:tc>
        <w:tc>
          <w:tcPr>
            <w:tcW w:type="dxa" w:w="4060"/>
            <w:tcBorders>
              <w:top w:val="single" w:color="D7D1C2" w:sz="1"/>
              <w:left w:val="single" w:color="D7D1C2" w:sz="1"/>
              <w:bottom w:val="single" w:color="D7D1C2" w:sz="1"/>
              <w:right w:val="single" w:color="D7D1C2" w:sz="1"/>
            </w:tcBorders>
            <w:shd w:fill="FFFFFF" w:val="clear"/>
            <w:tcMar>
              <w:top w:type="dxa" w:w="70"/>
              <w:left w:type="dxa" w:w="130"/>
              <w:bottom w:type="dxa" w:w="70"/>
              <w:right w:type="dxa" w:w="130"/>
            </w:tcMar>
          </w:tcPr>
          <w:p>
            <w:r>
              <w:rPr>
                <w:rFonts w:ascii="Calibri" w:cs="Calibri" w:eastAsia="Calibri" w:hAnsi="Calibri"/>
                <w:b w:val="false"/>
                <w:bCs w:val="false"/>
                <w:color w:val="33312B"/>
                <w:sz w:val="17"/>
                <w:szCs w:val="17"/>
              </w:rPr>
              <w:t xml:space="preserve">Watch the catalysts; arrive before the RFP.</w:t>
            </w:r>
          </w:p>
        </w:tc>
      </w:tr>
    </w:tbl>
    <w:p>
      <w:pPr>
        <w:pageBreakBefore/>
        <w:spacing w:after="0" w:before="0"/>
      </w:pPr>
      <w:r>
        <w:rPr>
          <w:rFonts w:ascii="Calibri" w:cs="Calibri" w:eastAsia="Calibri" w:hAnsi="Calibri"/>
          <w:b/>
          <w:bCs/>
          <w:color w:val="8F7647"/>
          <w:spacing w:val="30"/>
          <w:sz w:val="18"/>
          <w:szCs w:val="18"/>
        </w:rPr>
        <w:t xml:space="preserve">CAPITAL-MARKETS TERMS</w:t>
      </w:r>
    </w:p>
    <w:p>
      <w:pPr>
        <w:pStyle w:val="Heading1"/>
        <w:spacing w:after="150" w:before="40"/>
      </w:pPr>
      <w:r>
        <w:t xml:space="preserve">Appendix B — Glossary</w:t>
      </w:r>
    </w:p>
    <w:p>
      <w:pPr>
        <w:spacing w:after="150" w:line="296"/>
        <w:jc w:val="both"/>
      </w:pPr>
      <w:r>
        <w:rPr>
          <w:rFonts w:ascii="Calibri" w:cs="Calibri" w:eastAsia="Calibri" w:hAnsi="Calibri"/>
          <w:color w:val="33312B"/>
          <w:sz w:val="22"/>
          <w:szCs w:val="22"/>
        </w:rPr>
        <w:t xml:space="preserve">A working glossary for the seller who must speak credibly to traders, quants, architects, risk and operations. Fluency in this language is itself a weapon.</w:t>
      </w:r>
    </w:p>
    <w:p>
      <w:pPr>
        <w:spacing w:after="90" w:line="288"/>
      </w:pPr>
      <w:r>
        <w:rPr>
          <w:rFonts w:ascii="Calibri" w:cs="Calibri" w:eastAsia="Calibri" w:hAnsi="Calibri"/>
          <w:b/>
          <w:bCs/>
          <w:color w:val="1C3A52"/>
          <w:sz w:val="21"/>
          <w:szCs w:val="21"/>
        </w:rPr>
        <w:t xml:space="preserve">OMS / EMS / OEMS  —  </w:t>
      </w:r>
      <w:r>
        <w:rPr>
          <w:rFonts w:ascii="Calibri" w:cs="Calibri" w:eastAsia="Calibri" w:hAnsi="Calibri"/>
          <w:color w:val="33312B"/>
          <w:sz w:val="21"/>
          <w:szCs w:val="21"/>
        </w:rPr>
        <w:t xml:space="preserve">Order, execution, and combined order-execution management systems — the software through which trades are routed, managed and executed.</w:t>
      </w:r>
    </w:p>
    <w:p>
      <w:pPr>
        <w:spacing w:after="90" w:line="288"/>
      </w:pPr>
      <w:r>
        <w:rPr>
          <w:rFonts w:ascii="Calibri" w:cs="Calibri" w:eastAsia="Calibri" w:hAnsi="Calibri"/>
          <w:b/>
          <w:bCs/>
          <w:color w:val="1C3A52"/>
          <w:sz w:val="21"/>
          <w:szCs w:val="21"/>
        </w:rPr>
        <w:t xml:space="preserve">FIX  —  </w:t>
      </w:r>
      <w:r>
        <w:rPr>
          <w:rFonts w:ascii="Calibri" w:cs="Calibri" w:eastAsia="Calibri" w:hAnsi="Calibri"/>
          <w:color w:val="33312B"/>
          <w:sz w:val="21"/>
          <w:szCs w:val="21"/>
        </w:rPr>
        <w:t xml:space="preserve">The Financial Information eXchange protocol; the messaging standard connecting trading counterparties and venues.</w:t>
      </w:r>
    </w:p>
    <w:p>
      <w:pPr>
        <w:spacing w:after="90" w:line="288"/>
      </w:pPr>
      <w:r>
        <w:rPr>
          <w:rFonts w:ascii="Calibri" w:cs="Calibri" w:eastAsia="Calibri" w:hAnsi="Calibri"/>
          <w:b/>
          <w:bCs/>
          <w:color w:val="1C3A52"/>
          <w:sz w:val="21"/>
          <w:szCs w:val="21"/>
        </w:rPr>
        <w:t xml:space="preserve">Market data  —  </w:t>
      </w:r>
      <w:r>
        <w:rPr>
          <w:rFonts w:ascii="Calibri" w:cs="Calibri" w:eastAsia="Calibri" w:hAnsi="Calibri"/>
          <w:color w:val="33312B"/>
          <w:sz w:val="21"/>
          <w:szCs w:val="21"/>
        </w:rPr>
        <w:t xml:space="preserve">Real-time and historical price and quote feeds; increasingly defined by volatile, bursty intraday volume.</w:t>
      </w:r>
    </w:p>
    <w:p>
      <w:pPr>
        <w:spacing w:after="90" w:line="288"/>
      </w:pPr>
      <w:r>
        <w:rPr>
          <w:rFonts w:ascii="Calibri" w:cs="Calibri" w:eastAsia="Calibri" w:hAnsi="Calibri"/>
          <w:b/>
          <w:bCs/>
          <w:color w:val="1C3A52"/>
          <w:sz w:val="21"/>
          <w:szCs w:val="21"/>
        </w:rPr>
        <w:t xml:space="preserve">Latency / slippage  —  </w:t>
      </w:r>
      <w:r>
        <w:rPr>
          <w:rFonts w:ascii="Calibri" w:cs="Calibri" w:eastAsia="Calibri" w:hAnsi="Calibri"/>
          <w:color w:val="33312B"/>
          <w:sz w:val="21"/>
          <w:szCs w:val="21"/>
        </w:rPr>
        <w:t xml:space="preserve">The delay in processing or execution, and the cost incurred when a trade fills at a worse price than intended.</w:t>
      </w:r>
    </w:p>
    <w:p>
      <w:pPr>
        <w:spacing w:after="90" w:line="288"/>
      </w:pPr>
      <w:r>
        <w:rPr>
          <w:rFonts w:ascii="Calibri" w:cs="Calibri" w:eastAsia="Calibri" w:hAnsi="Calibri"/>
          <w:b/>
          <w:bCs/>
          <w:color w:val="1C3A52"/>
          <w:sz w:val="21"/>
          <w:szCs w:val="21"/>
        </w:rPr>
        <w:t xml:space="preserve">T+2 / T+1 / T+0  —  </w:t>
      </w:r>
      <w:r>
        <w:rPr>
          <w:rFonts w:ascii="Calibri" w:cs="Calibri" w:eastAsia="Calibri" w:hAnsi="Calibri"/>
          <w:color w:val="33312B"/>
          <w:sz w:val="21"/>
          <w:szCs w:val="21"/>
        </w:rPr>
        <w:t xml:space="preserve">Settlement cycles — trade date plus two, one, or zero days. The US moved to T+1 in 2024; the UK, EU and Switzerland follow on 11 October 2027.</w:t>
      </w:r>
    </w:p>
    <w:p>
      <w:pPr>
        <w:spacing w:after="90" w:line="288"/>
      </w:pPr>
      <w:r>
        <w:rPr>
          <w:rFonts w:ascii="Calibri" w:cs="Calibri" w:eastAsia="Calibri" w:hAnsi="Calibri"/>
          <w:b/>
          <w:bCs/>
          <w:color w:val="1C3A52"/>
          <w:sz w:val="21"/>
          <w:szCs w:val="21"/>
        </w:rPr>
        <w:t xml:space="preserve">Allocation / confirmation / affirmation  —  </w:t>
      </w:r>
      <w:r>
        <w:rPr>
          <w:rFonts w:ascii="Calibri" w:cs="Calibri" w:eastAsia="Calibri" w:hAnsi="Calibri"/>
          <w:color w:val="33312B"/>
          <w:sz w:val="21"/>
          <w:szCs w:val="21"/>
        </w:rPr>
        <w:t xml:space="preserve">Post-trade steps assigning a trade to accounts and agreeing its details; mandated on trade date (T+0) ahead of T+1.</w:t>
      </w:r>
    </w:p>
    <w:p>
      <w:pPr>
        <w:spacing w:after="90" w:line="288"/>
      </w:pPr>
      <w:r>
        <w:rPr>
          <w:rFonts w:ascii="Calibri" w:cs="Calibri" w:eastAsia="Calibri" w:hAnsi="Calibri"/>
          <w:b/>
          <w:bCs/>
          <w:color w:val="1C3A52"/>
          <w:sz w:val="21"/>
          <w:szCs w:val="21"/>
        </w:rPr>
        <w:t xml:space="preserve">SSI  —  </w:t>
      </w:r>
      <w:r>
        <w:rPr>
          <w:rFonts w:ascii="Calibri" w:cs="Calibri" w:eastAsia="Calibri" w:hAnsi="Calibri"/>
          <w:color w:val="33312B"/>
          <w:sz w:val="21"/>
          <w:szCs w:val="21"/>
        </w:rPr>
        <w:t xml:space="preserve">Standing Settlement Instructions — the reference data dictating where and how a trade settles; errors are a leading cause of fails.</w:t>
      </w:r>
    </w:p>
    <w:p>
      <w:pPr>
        <w:spacing w:after="90" w:line="288"/>
      </w:pPr>
      <w:r>
        <w:rPr>
          <w:rFonts w:ascii="Calibri" w:cs="Calibri" w:eastAsia="Calibri" w:hAnsi="Calibri"/>
          <w:b/>
          <w:bCs/>
          <w:color w:val="1C3A52"/>
          <w:sz w:val="21"/>
          <w:szCs w:val="21"/>
        </w:rPr>
        <w:t xml:space="preserve">CSD / CCP  —  </w:t>
      </w:r>
      <w:r>
        <w:rPr>
          <w:rFonts w:ascii="Calibri" w:cs="Calibri" w:eastAsia="Calibri" w:hAnsi="Calibri"/>
          <w:color w:val="33312B"/>
          <w:sz w:val="21"/>
          <w:szCs w:val="21"/>
        </w:rPr>
        <w:t xml:space="preserve">Central Securities Depository and Central Counterparty — core post-trade market infrastructure for settlement and clearing.</w:t>
      </w:r>
    </w:p>
    <w:p>
      <w:pPr>
        <w:spacing w:after="90" w:line="288"/>
      </w:pPr>
      <w:r>
        <w:rPr>
          <w:rFonts w:ascii="Calibri" w:cs="Calibri" w:eastAsia="Calibri" w:hAnsi="Calibri"/>
          <w:b/>
          <w:bCs/>
          <w:color w:val="1C3A52"/>
          <w:sz w:val="21"/>
          <w:szCs w:val="21"/>
        </w:rPr>
        <w:t xml:space="preserve">CSDR penalties  —  </w:t>
      </w:r>
      <w:r>
        <w:rPr>
          <w:rFonts w:ascii="Calibri" w:cs="Calibri" w:eastAsia="Calibri" w:hAnsi="Calibri"/>
          <w:color w:val="33312B"/>
          <w:sz w:val="21"/>
          <w:szCs w:val="21"/>
        </w:rPr>
        <w:t xml:space="preserve">Charges under the EU Central Securities Depositories Regulation for settlement fails — a direct cost of post-trade friction.</w:t>
      </w:r>
    </w:p>
    <w:p>
      <w:pPr>
        <w:spacing w:after="90" w:line="288"/>
      </w:pPr>
      <w:r>
        <w:rPr>
          <w:rFonts w:ascii="Calibri" w:cs="Calibri" w:eastAsia="Calibri" w:hAnsi="Calibri"/>
          <w:b/>
          <w:bCs/>
          <w:color w:val="1C3A52"/>
          <w:sz w:val="21"/>
          <w:szCs w:val="21"/>
        </w:rPr>
        <w:t xml:space="preserve">Collateral mobility  —  </w:t>
      </w:r>
      <w:r>
        <w:rPr>
          <w:rFonts w:ascii="Calibri" w:cs="Calibri" w:eastAsia="Calibri" w:hAnsi="Calibri"/>
          <w:color w:val="33312B"/>
          <w:sz w:val="21"/>
          <w:szCs w:val="21"/>
        </w:rPr>
        <w:t xml:space="preserve">The ability to move and re-use collateral in real time; critical to capital efficiency under compressed settlement.</w:t>
      </w:r>
    </w:p>
    <w:p>
      <w:pPr>
        <w:spacing w:after="90" w:line="288"/>
      </w:pPr>
      <w:r>
        <w:rPr>
          <w:rFonts w:ascii="Calibri" w:cs="Calibri" w:eastAsia="Calibri" w:hAnsi="Calibri"/>
          <w:b/>
          <w:bCs/>
          <w:color w:val="1C3A52"/>
          <w:sz w:val="21"/>
          <w:szCs w:val="21"/>
        </w:rPr>
        <w:t xml:space="preserve">Straight-through processing (STP)  —  </w:t>
      </w:r>
      <w:r>
        <w:rPr>
          <w:rFonts w:ascii="Calibri" w:cs="Calibri" w:eastAsia="Calibri" w:hAnsi="Calibri"/>
          <w:color w:val="33312B"/>
          <w:sz w:val="21"/>
          <w:szCs w:val="21"/>
        </w:rPr>
        <w:t xml:space="preserve">Automated end-to-end trade processing with no manual intervention — the cornerstone of T+1 readiness.</w:t>
      </w:r>
    </w:p>
    <w:p>
      <w:pPr>
        <w:spacing w:after="90" w:line="288"/>
      </w:pPr>
      <w:r>
        <w:rPr>
          <w:rFonts w:ascii="Calibri" w:cs="Calibri" w:eastAsia="Calibri" w:hAnsi="Calibri"/>
          <w:b/>
          <w:bCs/>
          <w:color w:val="1C3A52"/>
          <w:sz w:val="21"/>
          <w:szCs w:val="21"/>
        </w:rPr>
        <w:t xml:space="preserve">Surveillance  —  </w:t>
      </w:r>
      <w:r>
        <w:rPr>
          <w:rFonts w:ascii="Calibri" w:cs="Calibri" w:eastAsia="Calibri" w:hAnsi="Calibri"/>
          <w:color w:val="33312B"/>
          <w:sz w:val="21"/>
          <w:szCs w:val="21"/>
        </w:rPr>
        <w:t xml:space="preserve">Systems that monitor trading for market abuse and ensure regulatory compliance.</w:t>
      </w:r>
    </w:p>
    <w:p>
      <w:pPr>
        <w:spacing w:after="90" w:line="288"/>
      </w:pPr>
      <w:r>
        <w:rPr>
          <w:rFonts w:ascii="Calibri" w:cs="Calibri" w:eastAsia="Calibri" w:hAnsi="Calibri"/>
          <w:b/>
          <w:bCs/>
          <w:color w:val="1C3A52"/>
          <w:sz w:val="21"/>
          <w:szCs w:val="21"/>
        </w:rPr>
        <w:t xml:space="preserve">23/5 and 24/7 trading  —  </w:t>
      </w:r>
      <w:r>
        <w:rPr>
          <w:rFonts w:ascii="Calibri" w:cs="Calibri" w:eastAsia="Calibri" w:hAnsi="Calibri"/>
          <w:color w:val="33312B"/>
          <w:sz w:val="21"/>
          <w:szCs w:val="21"/>
        </w:rPr>
        <w:t xml:space="preserve">Extended and continuous trading hours; a 2026 structural shift, with tokenised securities trading around the clock.</w:t>
      </w:r>
    </w:p>
    <w:p>
      <w:pPr>
        <w:spacing w:after="90" w:line="288"/>
      </w:pPr>
      <w:r>
        <w:rPr>
          <w:rFonts w:ascii="Calibri" w:cs="Calibri" w:eastAsia="Calibri" w:hAnsi="Calibri"/>
          <w:b/>
          <w:bCs/>
          <w:color w:val="1C3A52"/>
          <w:sz w:val="21"/>
          <w:szCs w:val="21"/>
        </w:rPr>
        <w:t xml:space="preserve">Tokenisation / DLT  —  </w:t>
      </w:r>
      <w:r>
        <w:rPr>
          <w:rFonts w:ascii="Calibri" w:cs="Calibri" w:eastAsia="Calibri" w:hAnsi="Calibri"/>
          <w:color w:val="33312B"/>
          <w:sz w:val="21"/>
          <w:szCs w:val="21"/>
        </w:rPr>
        <w:t xml:space="preserve">Representing securities on distributed-ledger rails, enabling fractional ownership and continuous settlement.</w:t>
      </w:r>
    </w:p>
    <w:p>
      <w:pPr>
        <w:spacing w:after="90" w:line="288"/>
      </w:pPr>
      <w:r>
        <w:rPr>
          <w:rFonts w:ascii="Calibri" w:cs="Calibri" w:eastAsia="Calibri" w:hAnsi="Calibri"/>
          <w:b/>
          <w:bCs/>
          <w:color w:val="1C3A52"/>
          <w:sz w:val="21"/>
          <w:szCs w:val="21"/>
        </w:rPr>
        <w:t xml:space="preserve">Data lineage  —  </w:t>
      </w:r>
      <w:r>
        <w:rPr>
          <w:rFonts w:ascii="Calibri" w:cs="Calibri" w:eastAsia="Calibri" w:hAnsi="Calibri"/>
          <w:color w:val="33312B"/>
          <w:sz w:val="21"/>
          <w:szCs w:val="21"/>
        </w:rPr>
        <w:t xml:space="preserve">The traceable origin and transformation history of data — a prerequisite for trustworthy AI and a frequent gatekeeper demand.</w:t>
      </w:r>
    </w:p>
    <w:p>
      <w:pPr>
        <w:spacing w:after="90" w:line="288"/>
      </w:pPr>
      <w:r>
        <w:rPr>
          <w:rFonts w:ascii="Calibri" w:cs="Calibri" w:eastAsia="Calibri" w:hAnsi="Calibri"/>
          <w:b/>
          <w:bCs/>
          <w:color w:val="1C3A52"/>
          <w:sz w:val="21"/>
          <w:szCs w:val="21"/>
        </w:rPr>
        <w:t xml:space="preserve">SOC 2  —  </w:t>
      </w:r>
      <w:r>
        <w:rPr>
          <w:rFonts w:ascii="Calibri" w:cs="Calibri" w:eastAsia="Calibri" w:hAnsi="Calibri"/>
          <w:color w:val="33312B"/>
          <w:sz w:val="21"/>
          <w:szCs w:val="21"/>
        </w:rPr>
        <w:t xml:space="preserve">An attestation of security and data-handling controls; standard evidence demanded by a CISO.</w:t>
      </w:r>
    </w:p>
    <w:p>
      <w:pPr>
        <w:spacing w:after="90" w:line="288"/>
      </w:pPr>
      <w:r>
        <w:rPr>
          <w:rFonts w:ascii="Calibri" w:cs="Calibri" w:eastAsia="Calibri" w:hAnsi="Calibri"/>
          <w:b/>
          <w:bCs/>
          <w:color w:val="1C3A52"/>
          <w:sz w:val="21"/>
          <w:szCs w:val="21"/>
        </w:rPr>
        <w:t xml:space="preserve">EU AI Act  —  </w:t>
      </w:r>
      <w:r>
        <w:rPr>
          <w:rFonts w:ascii="Calibri" w:cs="Calibri" w:eastAsia="Calibri" w:hAnsi="Calibri"/>
          <w:color w:val="33312B"/>
          <w:sz w:val="21"/>
          <w:szCs w:val="21"/>
        </w:rPr>
        <w:t xml:space="preserve">EU regulation governing AI systems, with obligations beginning to apply from August 2026.</w:t>
      </w:r>
    </w:p>
    <w:p>
      <w:pPr>
        <w:spacing w:after="90" w:line="288"/>
      </w:pPr>
      <w:r>
        <w:rPr>
          <w:rFonts w:ascii="Calibri" w:cs="Calibri" w:eastAsia="Calibri" w:hAnsi="Calibri"/>
          <w:b/>
          <w:bCs/>
          <w:color w:val="1C3A52"/>
          <w:sz w:val="21"/>
          <w:szCs w:val="21"/>
        </w:rPr>
        <w:t xml:space="preserve">Strangler gateway  —  </w:t>
      </w:r>
      <w:r>
        <w:rPr>
          <w:rFonts w:ascii="Calibri" w:cs="Calibri" w:eastAsia="Calibri" w:hAnsi="Calibri"/>
          <w:color w:val="33312B"/>
          <w:sz w:val="21"/>
          <w:szCs w:val="21"/>
        </w:rPr>
        <w:t xml:space="preserve">An incremental modernisation pattern: wrap a legacy core behind a clean interface and replace it progressively, without a risky 'big bang'.</w:t>
      </w:r>
    </w:p>
    <w:p>
      <w:pPr>
        <w:spacing w:after="90" w:line="288"/>
      </w:pPr>
      <w:r>
        <w:rPr>
          <w:rFonts w:ascii="Calibri" w:cs="Calibri" w:eastAsia="Calibri" w:hAnsi="Calibri"/>
          <w:b/>
          <w:bCs/>
          <w:color w:val="1C3A52"/>
          <w:sz w:val="21"/>
          <w:szCs w:val="21"/>
        </w:rPr>
        <w:t xml:space="preserve">Buying committee  —  </w:t>
      </w:r>
      <w:r>
        <w:rPr>
          <w:rFonts w:ascii="Calibri" w:cs="Calibri" w:eastAsia="Calibri" w:hAnsi="Calibri"/>
          <w:color w:val="33312B"/>
          <w:sz w:val="21"/>
          <w:szCs w:val="21"/>
        </w:rPr>
        <w:t xml:space="preserve">The group of stakeholders — trading, quant, architecture, risk, compliance, procurement — who jointly decide an enterprise purchase.</w:t>
      </w:r>
    </w:p>
    <w:p>
      <w:pPr>
        <w:spacing w:after="90" w:line="288"/>
      </w:pPr>
      <w:r>
        <w:rPr>
          <w:rFonts w:ascii="Calibri" w:cs="Calibri" w:eastAsia="Calibri" w:hAnsi="Calibri"/>
          <w:b/>
          <w:bCs/>
          <w:color w:val="1C3A52"/>
          <w:sz w:val="21"/>
          <w:szCs w:val="21"/>
        </w:rPr>
        <w:t xml:space="preserve">Economic buyer  —  </w:t>
      </w:r>
      <w:r>
        <w:rPr>
          <w:rFonts w:ascii="Calibri" w:cs="Calibri" w:eastAsia="Calibri" w:hAnsi="Calibri"/>
          <w:color w:val="33312B"/>
          <w:sz w:val="21"/>
          <w:szCs w:val="21"/>
        </w:rPr>
        <w:t xml:space="preserve">The individual with the authority and budget to approve the purchase; the single most important person to reach.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1C2" w:sz="4" w:space="8"/>
      </w:pBdr>
      <w:tabs>
        <w:tab w:val="right" w:pos="9360"/>
      </w:tabs>
    </w:pPr>
    <w:r>
      <w:rPr>
        <w:rFonts w:ascii="Calibri" w:cs="Calibri" w:eastAsia="Calibri" w:hAnsi="Calibri"/>
        <w:color w:val="6E6A60"/>
        <w:sz w:val="16"/>
        <w:szCs w:val="16"/>
      </w:rPr>
      <w:t xml:space="preserve">Bruntsfield Capital  ·  Advisory  —  The Sales Egoist</w:t>
    </w:r>
    <w:r>
      <w:rPr>
        <w:rFonts w:ascii="Calibri" w:cs="Calibri" w:eastAsia="Calibri" w:hAnsi="Calibri"/>
        <w:sz w:val="16"/>
        <w:szCs w:val="16"/>
      </w:rPr>
      <w:t xml:space="preserve">	</w:t>
    </w:r>
    <w:r>
      <w:rPr>
        <w:rFonts w:ascii="Calibri" w:cs="Calibri" w:eastAsia="Calibri" w:hAnsi="Calibri"/>
        <w:color w:val="6E6A6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F7647"/>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1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40"/>
      <w:outlineLvl w:val="0"/>
    </w:pPr>
    <w:rPr>
      <w:rFonts w:ascii="Cambria" w:cs="Cambria" w:eastAsia="Cambria" w:hAnsi="Cambria"/>
      <w:b/>
      <w:bCs/>
      <w:color w:val="1C3A52"/>
      <w:sz w:val="38"/>
      <w:szCs w:val="38"/>
    </w:rPr>
  </w:style>
  <w:style w:type="paragraph" w:styleId="Heading2">
    <w:name w:val="Heading 2"/>
    <w:basedOn w:val="Normal"/>
    <w:next w:val="Normal"/>
    <w:qFormat/>
    <w:pPr>
      <w:spacing w:after="90" w:before="240"/>
      <w:outlineLvl w:val="1"/>
    </w:pPr>
    <w:rPr>
      <w:rFonts w:ascii="Cambria" w:cs="Cambria" w:eastAsia="Cambria" w:hAnsi="Cambria"/>
      <w:b/>
      <w:bCs/>
      <w:color w:val="1C3A52"/>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8F76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2026-06-23T03:37:05.219Z</dcterms:created>
  <dcterms:modified xsi:type="dcterms:W3CDTF">2026-06-23T03:37:05.236Z</dcterms:modified>
</cp:coreProperties>
</file>

<file path=docProps/custom.xml><?xml version="1.0" encoding="utf-8"?>
<Properties xmlns="http://schemas.openxmlformats.org/officeDocument/2006/custom-properties" xmlns:vt="http://schemas.openxmlformats.org/officeDocument/2006/docPropsVTypes"/>
</file>