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00"/>
        <w:jc w:val="center"/>
      </w:pPr>
      <w:r>
        <w:rPr>
          <w:rFonts w:ascii="Arial" w:cs="Arial" w:eastAsia="Arial" w:hAnsi="Arial"/>
          <w:b/>
          <w:bCs/>
          <w:color w:val="1B3A5C"/>
          <w:sz w:val="48"/>
          <w:szCs w:val="48"/>
        </w:rPr>
        <w:t xml:space="preserve">BRUNTSFIELD CAPITAL</w:t>
      </w:r>
    </w:p>
    <w:p>
      <w:pPr>
        <w:spacing w:after="40"/>
        <w:jc w:val="center"/>
      </w:pPr>
      <w:r>
        <w:rPr>
          <w:rFonts w:ascii="Arial" w:cs="Arial" w:eastAsia="Arial" w:hAnsi="Arial"/>
          <w:color w:val="2E75B6"/>
          <w:sz w:val="36"/>
          <w:szCs w:val="36"/>
        </w:rPr>
        <w:t xml:space="preserve">ADVISORY</w:t>
      </w:r>
    </w:p>
    <w:p>
      <w:pPr>
        <w:spacing w:after="80"/>
      </w:pPr>
    </w:p>
    <w:p>
      <w:pPr>
        <w:spacing w:after="80"/>
      </w:pPr>
    </w:p>
    <w:p>
      <w:pPr>
        <w:pBdr>
          <w:top w:val="single" w:color="2E75B6" w:sz="4" w:space="8"/>
          <w:bottom w:val="single" w:color="2E75B6" w:sz="4" w:space="8"/>
        </w:pBdr>
        <w:spacing w:after="200"/>
        <w:jc w:val="center"/>
      </w:pPr>
      <w:r>
        <w:rPr>
          <w:rFonts w:ascii="Arial" w:cs="Arial" w:eastAsia="Arial" w:hAnsi="Arial"/>
          <w:b/>
          <w:bCs/>
          <w:color w:val="333333"/>
          <w:sz w:val="32"/>
          <w:szCs w:val="32"/>
        </w:rPr>
        <w:t xml:space="preserve">OpenBB Exchange Terminal Programme</w:t>
      </w:r>
    </w:p>
    <w:p>
      <w:pPr>
        <w:spacing w:after="60"/>
        <w:jc w:val="center"/>
      </w:pPr>
      <w:r>
        <w:rPr>
          <w:rFonts w:ascii="Arial" w:cs="Arial" w:eastAsia="Arial" w:hAnsi="Arial"/>
          <w:color w:val="595959"/>
          <w:sz w:val="24"/>
          <w:szCs w:val="24"/>
        </w:rPr>
        <w:t xml:space="preserve">Strategy &amp; Execution Plan</w:t>
      </w:r>
    </w:p>
    <w:p>
      <w:pPr>
        <w:spacing w:after="60"/>
        <w:jc w:val="center"/>
      </w:pPr>
      <w:r>
        <w:rPr>
          <w:rFonts w:ascii="Arial" w:cs="Arial" w:eastAsia="Arial" w:hAnsi="Arial"/>
          <w:color w:val="595959"/>
          <w:sz w:val="20"/>
          <w:szCs w:val="20"/>
        </w:rPr>
        <w:t xml:space="preserve">Prepared by John Gallagher  |  March 2026</w:t>
      </w:r>
    </w:p>
    <w:p>
      <w:pPr>
        <w:jc w:val="center"/>
      </w:pPr>
      <w:r>
        <w:rPr>
          <w:rFonts w:ascii="Arial" w:cs="Arial" w:eastAsia="Arial" w:hAnsi="Arial"/>
          <w:i/>
          <w:iCs/>
          <w:color w:val="999999"/>
          <w:sz w:val="20"/>
          <w:szCs w:val="20"/>
        </w:rPr>
        <w:t xml:space="preserve">DRAFT v0.1  —  For internal discussion with OpenBB</w:t>
      </w:r>
    </w:p>
    <w:p>
      <w:r>
        <w:br w:type="page"/>
      </w:r>
    </w:p>
    <w:p>
      <w:pPr>
        <w:pStyle w:val="Heading1"/>
      </w:pPr>
      <w:r>
        <w:rPr>
          <w:rFonts w:ascii="Arial" w:cs="Arial" w:eastAsia="Arial" w:hAnsi="Arial"/>
        </w:rPr>
        <w:t xml:space="preserve">1. Executive Summary</w:t>
      </w:r>
    </w:p>
    <w:p>
      <w:pPr>
        <w:spacing w:after="120"/>
      </w:pPr>
      <w:r>
        <w:rPr>
          <w:rFonts w:ascii="Arial" w:cs="Arial" w:eastAsia="Arial" w:hAnsi="Arial"/>
          <w:color w:val="000000"/>
          <w:sz w:val="20"/>
          <w:szCs w:val="20"/>
        </w:rPr>
        <w:t xml:space="preserve">Bruntsfield Capital Advisory proposes a strategic partnership with OpenBB to position the OpenBB Workspace as a white-label terminal product for stock exchanges and financial data suppliers in emerging and growth markets.</w:t>
      </w:r>
    </w:p>
    <w:p>
      <w:pPr>
        <w:spacing w:after="120"/>
      </w:pPr>
      <w:r>
        <w:rPr>
          <w:rFonts w:ascii="Arial" w:cs="Arial" w:eastAsia="Arial" w:hAnsi="Arial"/>
          <w:color w:val="000000"/>
          <w:sz w:val="20"/>
          <w:szCs w:val="20"/>
        </w:rPr>
        <w:t xml:space="preserve">The opportunity rests on a structural gap in global capital markets: exchanges sit on valuable proprietary data but lack the technology to deliver it as a consumer-grade terminal experience. The market is a barbell — Bloomberg and LSEG Workspace serve institutional clients at $20,000–25,000 per seat, while regional low-cost terminals (AAStocks in Hong Kong, QUICK in Japan, CHECK by Koscom in Korea) serve domestic retail professionals. Between these poles, dozens of exchanges in high-growth markets have no credible terminal offering at all.</w:t>
      </w:r>
    </w:p>
    <w:p>
      <w:pPr>
        <w:spacing w:after="120"/>
      </w:pPr>
      <w:r>
        <w:rPr>
          <w:rFonts w:ascii="Arial" w:cs="Arial" w:eastAsia="Arial" w:hAnsi="Arial"/>
          <w:color w:val="000000"/>
          <w:sz w:val="20"/>
          <w:szCs w:val="20"/>
        </w:rPr>
        <w:t xml:space="preserve">We propose that Bruntsfield Advisory serves as the go-to-market channel, professional services wrapper, and strategic advisor to bring the OpenBB Workspace to these exchanges. The engagement generates revenue across four streams: a one-time advisory retainer from OpenBB, commission on terminal sales, direct consulting fees from exchanges for API modernisation and web property upgrades, and equity participation in OpenBB.</w:t>
      </w:r>
    </w:p>
    <w:p>
      <w:pPr>
        <w:pStyle w:val="Heading2"/>
      </w:pPr>
      <w:r>
        <w:rPr>
          <w:rFonts w:ascii="Arial" w:cs="Arial" w:eastAsia="Arial" w:hAnsi="Arial"/>
        </w:rPr>
        <w:t xml:space="preserve">1.1 Why Now</w:t>
      </w:r>
    </w:p>
    <w:p>
      <w:pPr>
        <w:pStyle w:val="ListParagraph"/>
        <w:numPr>
          <w:ilvl w:val="0"/>
          <w:numId w:val="2"/>
        </w:numPr>
        <w:spacing w:after="60"/>
      </w:pPr>
      <w:r>
        <w:rPr>
          <w:rFonts w:ascii="Arial" w:cs="Arial" w:eastAsia="Arial" w:hAnsi="Arial"/>
          <w:sz w:val="20"/>
          <w:szCs w:val="20"/>
        </w:rPr>
        <w:t xml:space="preserve">Exchanges globally are under pressure from regulators and governments to grow retail participation, build local capital markets relevance, and reduce dependence on foreign data infrastructure.</w:t>
      </w:r>
    </w:p>
    <w:p>
      <w:pPr>
        <w:pStyle w:val="ListParagraph"/>
        <w:numPr>
          <w:ilvl w:val="0"/>
          <w:numId w:val="2"/>
        </w:numPr>
        <w:spacing w:after="60"/>
      </w:pPr>
      <w:r>
        <w:rPr>
          <w:rFonts w:ascii="Arial" w:cs="Arial" w:eastAsia="Arial" w:hAnsi="Arial"/>
          <w:sz w:val="20"/>
          <w:szCs w:val="20"/>
        </w:rPr>
        <w:t xml:space="preserve">The M&amp;A pattern is clear: LSEG acquired Refinitiv for $27B, ICE acquired NYSE for $8.2B — because the terminal and data layer is where the margin lives. Mid-tier exchanges see this but cannot build it alone.</w:t>
      </w:r>
    </w:p>
    <w:p>
      <w:pPr>
        <w:pStyle w:val="ListParagraph"/>
        <w:numPr>
          <w:ilvl w:val="0"/>
          <w:numId w:val="2"/>
        </w:numPr>
        <w:spacing w:after="60"/>
      </w:pPr>
      <w:r>
        <w:rPr>
          <w:rFonts w:ascii="Arial" w:cs="Arial" w:eastAsia="Arial" w:hAnsi="Arial"/>
          <w:sz w:val="20"/>
          <w:szCs w:val="20"/>
        </w:rPr>
        <w:t xml:space="preserve">OpenBB’s open-source, modular, AI-native architecture makes white-labelling feasible in a way that was not possible with legacy terminal technology.</w:t>
      </w:r>
    </w:p>
    <w:p>
      <w:pPr>
        <w:pStyle w:val="ListParagraph"/>
        <w:numPr>
          <w:ilvl w:val="0"/>
          <w:numId w:val="2"/>
        </w:numPr>
        <w:spacing w:after="60"/>
      </w:pPr>
      <w:r>
        <w:rPr>
          <w:rFonts w:ascii="Arial" w:cs="Arial" w:eastAsia="Arial" w:hAnsi="Arial"/>
          <w:sz w:val="20"/>
          <w:szCs w:val="20"/>
        </w:rPr>
        <w:t xml:space="preserve">OpenBB achieved enterprise readiness in 2025 (SOC 2 Type II, VPC/on-prem deployment, SSO, role-based access) — the product is now credible for regulated environments.</w:t>
      </w:r>
    </w:p>
    <w:p>
      <w:pPr>
        <w:pStyle w:val="Heading2"/>
      </w:pPr>
      <w:r>
        <w:rPr>
          <w:rFonts w:ascii="Arial" w:cs="Arial" w:eastAsia="Arial" w:hAnsi="Arial"/>
        </w:rPr>
        <w:t xml:space="preserve">1.2 The Core Proposition</w:t>
      </w:r>
    </w:p>
    <w:p>
      <w:pPr>
        <w:spacing w:after="120"/>
      </w:pPr>
      <w:r>
        <w:rPr>
          <w:rFonts w:ascii="Arial" w:cs="Arial" w:eastAsia="Arial" w:hAnsi="Arial"/>
          <w:color w:val="000000"/>
          <w:sz w:val="20"/>
          <w:szCs w:val="20"/>
        </w:rPr>
        <w:t xml:space="preserve">For exchanges: “Your exchange, your data, your brand — delivered through a modern AI-powered terminal that your subscribers and brokers actually want to use. Integrated with local OMS providers so users can research, analyse, and trade in a single workspace.”</w:t>
      </w:r>
    </w:p>
    <w:p>
      <w:pPr>
        <w:spacing w:after="120"/>
      </w:pPr>
      <w:r>
        <w:rPr>
          <w:rFonts w:ascii="Arial" w:cs="Arial" w:eastAsia="Arial" w:hAnsi="Arial"/>
          <w:color w:val="000000"/>
          <w:sz w:val="20"/>
          <w:szCs w:val="20"/>
        </w:rPr>
        <w:t xml:space="preserve">For OpenBB: “A dedicated channel partner with deep domain expertise in financial market infrastructure, existing exchange contacts across 124 exchanges globally, and the professional services capability to handle the pre-sales consulting, API modernisation, and integration work that OpenBB should not be building internally.”</w:t>
      </w:r>
    </w:p>
    <w:p>
      <w:r>
        <w:br w:type="page"/>
      </w:r>
    </w:p>
    <w:p>
      <w:pPr>
        <w:pStyle w:val="Heading1"/>
      </w:pPr>
      <w:r>
        <w:rPr>
          <w:rFonts w:ascii="Arial" w:cs="Arial" w:eastAsia="Arial" w:hAnsi="Arial"/>
        </w:rPr>
        <w:t xml:space="preserve">2. The Market Opportunity</w:t>
      </w:r>
    </w:p>
    <w:p>
      <w:pPr>
        <w:pStyle w:val="Heading2"/>
      </w:pPr>
      <w:r>
        <w:rPr>
          <w:rFonts w:ascii="Arial" w:cs="Arial" w:eastAsia="Arial" w:hAnsi="Arial"/>
        </w:rPr>
        <w:t xml:space="preserve">2.1 The Terminal Barbell</w:t>
      </w:r>
    </w:p>
    <w:p>
      <w:pPr>
        <w:spacing w:after="120"/>
      </w:pPr>
      <w:r>
        <w:rPr>
          <w:rFonts w:ascii="Arial" w:cs="Arial" w:eastAsia="Arial" w:hAnsi="Arial"/>
          <w:color w:val="000000"/>
          <w:sz w:val="20"/>
          <w:szCs w:val="20"/>
        </w:rPr>
        <w:t xml:space="preserve">The global financial terminal market is a barbell with a hollow middle: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Tier</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Examples</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Price/Seat/Year</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Users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Institutional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Bloomberg, LSEG Workspace, CapIQ</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$12,000–$25,000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~350K Bloomberg, ~400K LSEG</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2E75B6"/>
                <w:sz w:val="18"/>
                <w:szCs w:val="18"/>
              </w:rPr>
              <w:t xml:space="preserve">THE GAP</w:t>
            </w:r>
          </w:p>
        </w:tc>
        <w:tc>
          <w:tcPr>
            <w:tcW w:type="dxa" w:w="25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18"/>
                <w:szCs w:val="18"/>
              </w:rPr>
              <w:t xml:space="preserve">No credible product exists</w:t>
            </w:r>
          </w:p>
        </w:tc>
        <w:tc>
          <w:tcPr>
            <w:tcW w:type="dxa" w:w="25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18"/>
                <w:szCs w:val="18"/>
              </w:rPr>
              <w:t xml:space="preserve">$1,000–$5,000</w:t>
            </w:r>
          </w:p>
        </w:tc>
        <w:tc>
          <w:tcPr>
            <w:tcW w:type="dxa" w:w="2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18"/>
                <w:szCs w:val="18"/>
              </w:rPr>
              <w:t xml:space="preserve">Millions of underserved professionals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Regional / Retail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AAStocks, QUICK, CHECK, Koyfin, TradingView</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$0–$2,400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840K+ (AAStocks alone)</w:t>
            </w:r>
          </w:p>
        </w:tc>
      </w:tr>
    </w:tbl>
    <w:p>
      <w:pPr>
        <w:spacing w:after="80"/>
      </w:pPr>
    </w:p>
    <w:p>
      <w:pPr>
        <w:spacing w:after="120"/>
      </w:pPr>
      <w:r>
        <w:rPr>
          <w:rFonts w:ascii="Arial" w:cs="Arial" w:eastAsia="Arial" w:hAnsi="Arial"/>
          <w:color w:val="000000"/>
          <w:sz w:val="20"/>
          <w:szCs w:val="20"/>
        </w:rPr>
        <w:t xml:space="preserve">The gap in the middle is where exchange-branded terminals belong. A remisier in Manila, a wealth manager in Riyadh, a stockbroker in Lagos — they cannot afford Bloomberg, their local exchange has no terminal, and TradingView does not connect to their OMS or show their domestic fixed income data. This is the opportunity.</w:t>
      </w:r>
    </w:p>
    <w:p>
      <w:pPr>
        <w:pStyle w:val="Heading2"/>
      </w:pPr>
      <w:r>
        <w:rPr>
          <w:rFonts w:ascii="Arial" w:cs="Arial" w:eastAsia="Arial" w:hAnsi="Arial"/>
        </w:rPr>
        <w:t xml:space="preserve">2.2 What Exchanges Want</w:t>
      </w:r>
    </w:p>
    <w:p>
      <w:pPr>
        <w:spacing w:after="120"/>
      </w:pPr>
      <w:r>
        <w:rPr>
          <w:rFonts w:ascii="Arial" w:cs="Arial" w:eastAsia="Arial" w:hAnsi="Arial"/>
          <w:color w:val="000000"/>
          <w:sz w:val="20"/>
          <w:szCs w:val="20"/>
        </w:rPr>
        <w:t xml:space="preserve">Based on our direct experience working with exchanges and data vendors, the internal champions at exchanges are motivated by:</w:t>
      </w:r>
    </w:p>
    <w:p>
      <w:pPr>
        <w:spacing w:after="120"/>
      </w:pPr>
      <w:r>
        <w:rPr>
          <w:rFonts w:ascii="Arial" w:cs="Arial" w:eastAsia="Arial" w:hAnsi="Arial"/>
          <w:b/>
          <w:bCs/>
          <w:sz w:val="20"/>
          <w:szCs w:val="20"/>
        </w:rPr>
        <w:t xml:space="preserve">Sales teams: </w:t>
      </w:r>
      <w:r>
        <w:rPr>
          <w:rFonts w:ascii="Arial" w:cs="Arial" w:eastAsia="Arial" w:hAnsi="Arial"/>
          <w:sz w:val="20"/>
          <w:szCs w:val="20"/>
        </w:rPr>
        <w:t xml:space="preserve">Something new to sell. Exchange data sales teams are under constant pressure to grow revenue. A branded terminal gives them a product to offer subscribers beyond raw data feeds — a bundled workspace experience at a higher price point.</w:t>
      </w:r>
    </w:p>
    <w:p>
      <w:pPr>
        <w:spacing w:after="120"/>
      </w:pPr>
      <w:r>
        <w:rPr>
          <w:rFonts w:ascii="Arial" w:cs="Arial" w:eastAsia="Arial" w:hAnsi="Arial"/>
          <w:b/>
          <w:bCs/>
          <w:sz w:val="20"/>
          <w:szCs w:val="20"/>
        </w:rPr>
        <w:t xml:space="preserve">Government Relations: </w:t>
      </w:r>
      <w:r>
        <w:rPr>
          <w:rFonts w:ascii="Arial" w:cs="Arial" w:eastAsia="Arial" w:hAnsi="Arial"/>
          <w:sz w:val="20"/>
          <w:szCs w:val="20"/>
        </w:rPr>
        <w:t xml:space="preserve">Sovereignty and narrative. Exchanges in the Gulf, ASEAN, and Africa are under pressure from regulators and government to demonstrate capital markets relevance, reduce reliance on foreign platforms, and build local financial infrastructure. An exchange-branded terminal, deployable on-premise, tells a powerful story to a Ministry of Finance.</w:t>
      </w:r>
    </w:p>
    <w:p>
      <w:pPr>
        <w:spacing w:after="120"/>
      </w:pPr>
      <w:r>
        <w:rPr>
          <w:rFonts w:ascii="Arial" w:cs="Arial" w:eastAsia="Arial" w:hAnsi="Arial"/>
          <w:b/>
          <w:bCs/>
          <w:sz w:val="20"/>
          <w:szCs w:val="20"/>
        </w:rPr>
        <w:t xml:space="preserve">What they do NOT want: </w:t>
      </w:r>
      <w:r>
        <w:rPr>
          <w:rFonts w:ascii="Arial" w:cs="Arial" w:eastAsia="Arial" w:hAnsi="Arial"/>
          <w:sz w:val="20"/>
          <w:szCs w:val="20"/>
        </w:rPr>
        <w:t xml:space="preserve">Technology projects. Exchange technology teams will either try to build it themselves (and fail, slowly) or resist the maintenance burden. The pitch must bypass technology and land with Sales and Government Relations as internal champions who can drive adoption from the business side.</w:t>
      </w:r>
    </w:p>
    <w:p>
      <w:pPr>
        <w:pStyle w:val="Heading2"/>
      </w:pPr>
      <w:r>
        <w:rPr>
          <w:rFonts w:ascii="Arial" w:cs="Arial" w:eastAsia="Arial" w:hAnsi="Arial"/>
        </w:rPr>
        <w:t xml:space="preserve">2.3 Addressable Market from Supplier Data</w:t>
      </w:r>
    </w:p>
    <w:p>
      <w:pPr>
        <w:spacing w:after="120"/>
      </w:pPr>
      <w:r>
        <w:rPr>
          <w:rFonts w:ascii="Arial" w:cs="Arial" w:eastAsia="Arial" w:hAnsi="Arial"/>
          <w:color w:val="000000"/>
          <w:sz w:val="20"/>
          <w:szCs w:val="20"/>
        </w:rPr>
        <w:t xml:space="preserve">We have compiled and audited a database of 316 financial data suppliers and 124 stock exchanges globally, with named contacts, email addresses, and URLs. This forms the basis of our target list. Of these 124 exchanges, we have identified 15 priority targets across two tiers based on market size, government modernisation agenda, absence of a competing local terminal, and our ability to reach decision-makers.</w:t>
      </w:r>
    </w:p>
    <w:p>
      <w:r>
        <w:br w:type="page"/>
      </w:r>
    </w:p>
    <w:p>
      <w:pPr>
        <w:pStyle w:val="Heading1"/>
      </w:pPr>
      <w:r>
        <w:rPr>
          <w:rFonts w:ascii="Arial" w:cs="Arial" w:eastAsia="Arial" w:hAnsi="Arial"/>
        </w:rPr>
        <w:t xml:space="preserve">3. The Bruntsfield Advisory Model</w:t>
      </w:r>
    </w:p>
    <w:p>
      <w:pPr>
        <w:pStyle w:val="Heading2"/>
      </w:pPr>
      <w:r>
        <w:rPr>
          <w:rFonts w:ascii="Arial" w:cs="Arial" w:eastAsia="Arial" w:hAnsi="Arial"/>
        </w:rPr>
        <w:t xml:space="preserve">3.1 The Entry Point: ATLAS Assessment (7 Powers Framework)</w:t>
      </w:r>
    </w:p>
    <w:p>
      <w:pPr>
        <w:spacing w:after="120"/>
      </w:pPr>
      <w:r>
        <w:rPr>
          <w:rFonts w:ascii="Arial" w:cs="Arial" w:eastAsia="Arial" w:hAnsi="Arial"/>
          <w:color w:val="000000"/>
          <w:sz w:val="20"/>
          <w:szCs w:val="20"/>
        </w:rPr>
        <w:t xml:space="preserve">Bruntsfield Advisory uses a proprietary assessment framework called ATLAS, adapted from Hamilton Helmer’s 7 Powers strategic framework. The assessment evaluates an exchange’s competitive position across seven dimensions:</w:t>
      </w:r>
    </w:p>
    <w:p>
      <w:pPr>
        <w:pStyle w:val="ListParagraph"/>
        <w:numPr>
          <w:ilvl w:val="0"/>
          <w:numId w:val="3"/>
        </w:numPr>
        <w:spacing w:after="60"/>
      </w:pPr>
      <w:r>
        <w:rPr>
          <w:rFonts w:ascii="Arial" w:cs="Arial" w:eastAsia="Arial" w:hAnsi="Arial"/>
          <w:sz w:val="20"/>
          <w:szCs w:val="20"/>
        </w:rPr>
        <w:t xml:space="preserve">Scale Economies — Does the exchange’s data business benefit from scale? How does per-unit cost of data delivery change with subscriber growth?</w:t>
      </w:r>
    </w:p>
    <w:p>
      <w:pPr>
        <w:pStyle w:val="ListParagraph"/>
        <w:numPr>
          <w:ilvl w:val="0"/>
          <w:numId w:val="3"/>
        </w:numPr>
        <w:spacing w:after="60"/>
      </w:pPr>
      <w:r>
        <w:rPr>
          <w:rFonts w:ascii="Arial" w:cs="Arial" w:eastAsia="Arial" w:hAnsi="Arial"/>
          <w:sz w:val="20"/>
          <w:szCs w:val="20"/>
        </w:rPr>
        <w:t xml:space="preserve">Network Effects — Does the exchange’s platform become more valuable as more participants use it? Is there a community or ecosystem effect?</w:t>
      </w:r>
    </w:p>
    <w:p>
      <w:pPr>
        <w:pStyle w:val="ListParagraph"/>
        <w:numPr>
          <w:ilvl w:val="0"/>
          <w:numId w:val="3"/>
        </w:numPr>
        <w:spacing w:after="60"/>
      </w:pPr>
      <w:r>
        <w:rPr>
          <w:rFonts w:ascii="Arial" w:cs="Arial" w:eastAsia="Arial" w:hAnsi="Arial"/>
          <w:sz w:val="20"/>
          <w:szCs w:val="20"/>
        </w:rPr>
        <w:t xml:space="preserve">Counter-Positioning — Can the exchange offer something that Bloomberg or LSEG cannot credibly replicate? (Local data depth, regulatory alignment, sovereign hosting.)</w:t>
      </w:r>
    </w:p>
    <w:p>
      <w:pPr>
        <w:pStyle w:val="ListParagraph"/>
        <w:numPr>
          <w:ilvl w:val="0"/>
          <w:numId w:val="3"/>
        </w:numPr>
        <w:spacing w:after="60"/>
      </w:pPr>
      <w:r>
        <w:rPr>
          <w:rFonts w:ascii="Arial" w:cs="Arial" w:eastAsia="Arial" w:hAnsi="Arial"/>
          <w:sz w:val="20"/>
          <w:szCs w:val="20"/>
        </w:rPr>
        <w:t xml:space="preserve">Switching Costs — Once a broker or wealth manager adopts the exchange’s terminal, how sticky is it? OMS integration creates high switching costs.</w:t>
      </w:r>
    </w:p>
    <w:p>
      <w:pPr>
        <w:pStyle w:val="ListParagraph"/>
        <w:numPr>
          <w:ilvl w:val="0"/>
          <w:numId w:val="3"/>
        </w:numPr>
        <w:spacing w:after="60"/>
      </w:pPr>
      <w:r>
        <w:rPr>
          <w:rFonts w:ascii="Arial" w:cs="Arial" w:eastAsia="Arial" w:hAnsi="Arial"/>
          <w:sz w:val="20"/>
          <w:szCs w:val="20"/>
        </w:rPr>
        <w:t xml:space="preserve">Branding — Does the exchange have trusted brand equity that can be extended into a terminal product?</w:t>
      </w:r>
    </w:p>
    <w:p>
      <w:pPr>
        <w:pStyle w:val="ListParagraph"/>
        <w:numPr>
          <w:ilvl w:val="0"/>
          <w:numId w:val="3"/>
        </w:numPr>
        <w:spacing w:after="60"/>
      </w:pPr>
      <w:r>
        <w:rPr>
          <w:rFonts w:ascii="Arial" w:cs="Arial" w:eastAsia="Arial" w:hAnsi="Arial"/>
          <w:sz w:val="20"/>
          <w:szCs w:val="20"/>
        </w:rPr>
        <w:t xml:space="preserve">Cornered Resource — Does the exchange control unique data (listings, order book, corporate actions) that cannot be obtained elsewhere?</w:t>
      </w:r>
    </w:p>
    <w:p>
      <w:pPr>
        <w:pStyle w:val="ListParagraph"/>
        <w:numPr>
          <w:ilvl w:val="0"/>
          <w:numId w:val="3"/>
        </w:numPr>
        <w:spacing w:after="60"/>
      </w:pPr>
      <w:r>
        <w:rPr>
          <w:rFonts w:ascii="Arial" w:cs="Arial" w:eastAsia="Arial" w:hAnsi="Arial"/>
          <w:sz w:val="20"/>
          <w:szCs w:val="20"/>
        </w:rPr>
        <w:t xml:space="preserve">Process Power — Does the exchange have embedded workflows and operational knowledge that create defensible advantage?</w:t>
      </w:r>
    </w:p>
    <w:p>
      <w:pPr>
        <w:spacing w:after="80"/>
      </w:pPr>
    </w:p>
    <w:p>
      <w:pPr>
        <w:spacing w:after="120"/>
      </w:pPr>
      <w:r>
        <w:rPr>
          <w:rFonts w:ascii="Arial" w:cs="Arial" w:eastAsia="Arial" w:hAnsi="Arial"/>
          <w:b/>
          <w:bCs/>
          <w:sz w:val="20"/>
          <w:szCs w:val="20"/>
        </w:rPr>
        <w:t xml:space="preserve">The assessment is offered free of charge</w:t>
      </w:r>
      <w:r>
        <w:rPr>
          <w:rFonts w:ascii="Arial" w:cs="Arial" w:eastAsia="Arial" w:hAnsi="Arial"/>
          <w:sz w:val="20"/>
          <w:szCs w:val="20"/>
        </w:rPr>
        <w:t xml:space="preserve"> to qualified exchanges as a value-add. It produces a scored report that identifies the exchange’s strategic strengths and infrastructure gaps — and naturally surfaces the upsell opportunities: API modernisation, terminal deployment, web property upgrades, and OMS integration consulting.</w:t>
      </w:r>
    </w:p>
    <w:p>
      <w:pPr>
        <w:pStyle w:val="Heading2"/>
      </w:pPr>
      <w:r>
        <w:rPr>
          <w:rFonts w:ascii="Arial" w:cs="Arial" w:eastAsia="Arial" w:hAnsi="Arial"/>
        </w:rPr>
        <w:t xml:space="preserve">3.2 Revenue Streams for Bruntsfield</w:t>
      </w:r>
    </w:p>
    <w:p>
      <w:pPr>
        <w:spacing w:after="120"/>
      </w:pPr>
      <w:r>
        <w:rPr>
          <w:rFonts w:ascii="Arial" w:cs="Arial" w:eastAsia="Arial" w:hAnsi="Arial"/>
          <w:color w:val="000000"/>
          <w:sz w:val="20"/>
          <w:szCs w:val="20"/>
        </w:rPr>
        <w:t xml:space="preserve">Each exchange engagement generates revenue across four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1700"/>
        <w:gridCol w:w="16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Stream</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Indicative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 ATLAS Assessment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Free 7 Powers strategic assessment — door-opener and trust-builder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Free (lead gen)</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2. API Modernisation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Consulting to upgrade exchange data APIs (SOAP to REST, FIX gateway, real-time feeds) so OpenBB can consume them cleanly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Project + retainer</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$50K–$200K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3. OpenBB Terminal</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Commission on OpenBB Workspace licence fees paid by the exchange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of licence fee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15–25% ongoing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4. Web &amp; Widget Consulting</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Upgrading exchange web properties: company pages (via Brandfetch API), market data widgets, improved listed security profiles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Project + retainer</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$30K–$100K</w:t>
            </w:r>
          </w:p>
        </w:tc>
      </w:tr>
    </w:tbl>
    <w:p>
      <w:pPr>
        <w:spacing w:after="80"/>
      </w:pPr>
    </w:p>
    <w:p>
      <w:pPr>
        <w:spacing w:after="120"/>
      </w:pPr>
      <w:r>
        <w:rPr>
          <w:rFonts w:ascii="Arial" w:cs="Arial" w:eastAsia="Arial" w:hAnsi="Arial"/>
          <w:color w:val="000000"/>
          <w:sz w:val="20"/>
          <w:szCs w:val="20"/>
        </w:rPr>
        <w:t xml:space="preserve">Streams 2 and 4 are billed directly to the exchange. Stream 3 is a commission from OpenBB. The ATLAS assessment (Stream 1) is the top-of-funnel that opens the door to all other streams.</w:t>
      </w:r>
    </w:p>
    <w:p>
      <w:pPr>
        <w:pStyle w:val="Heading2"/>
      </w:pPr>
      <w:r>
        <w:rPr>
          <w:rFonts w:ascii="Arial" w:cs="Arial" w:eastAsia="Arial" w:hAnsi="Arial"/>
        </w:rPr>
        <w:t xml:space="preserve">3.3 The Full Engagement Lifecycle</w:t>
      </w:r>
    </w:p>
    <w:p>
      <w:pPr>
        <w:spacing w:after="120"/>
      </w:pPr>
      <w:r>
        <w:rPr>
          <w:rFonts w:ascii="Arial" w:cs="Arial" w:eastAsia="Arial" w:hAnsi="Arial"/>
          <w:b/>
          <w:bCs/>
          <w:sz w:val="20"/>
          <w:szCs w:val="20"/>
        </w:rPr>
        <w:t xml:space="preserve">Phase 1 — Assessment (Weeks 1–4): </w:t>
      </w:r>
      <w:r>
        <w:rPr>
          <w:rFonts w:ascii="Arial" w:cs="Arial" w:eastAsia="Arial" w:hAnsi="Arial"/>
          <w:sz w:val="20"/>
          <w:szCs w:val="20"/>
        </w:rPr>
        <w:t xml:space="preserve">Deliver the free ATLAS 7 Powers assessment. Produce a scored report identifying the exchange’s strategic position, data infrastructure gaps, and terminal opportunity. Build trust and identify the internal champion (Sales or GR).</w:t>
      </w:r>
    </w:p>
    <w:p>
      <w:pPr>
        <w:spacing w:after="120"/>
      </w:pPr>
      <w:r>
        <w:rPr>
          <w:rFonts w:ascii="Arial" w:cs="Arial" w:eastAsia="Arial" w:hAnsi="Arial"/>
          <w:b/>
          <w:bCs/>
          <w:sz w:val="20"/>
          <w:szCs w:val="20"/>
        </w:rPr>
        <w:t xml:space="preserve">Phase 2 — API Readiness (Weeks 5–16): </w:t>
      </w:r>
      <w:r>
        <w:rPr>
          <w:rFonts w:ascii="Arial" w:cs="Arial" w:eastAsia="Arial" w:hAnsi="Arial"/>
          <w:sz w:val="20"/>
          <w:szCs w:val="20"/>
        </w:rPr>
        <w:t xml:space="preserve">Consulting engagement to modernise the exchange’s data APIs to REST/WebSocket standards. This is delivered by Bruntsfield Advisory using proprietary modernisation tooling. A maintenance retainer follows for ongoing support.</w:t>
      </w:r>
    </w:p>
    <w:p>
      <w:pPr>
        <w:spacing w:after="120"/>
      </w:pPr>
      <w:r>
        <w:rPr>
          <w:rFonts w:ascii="Arial" w:cs="Arial" w:eastAsia="Arial" w:hAnsi="Arial"/>
          <w:b/>
          <w:bCs/>
          <w:sz w:val="20"/>
          <w:szCs w:val="20"/>
        </w:rPr>
        <w:t xml:space="preserve">Phase 3 — Terminal Deployment (Weeks 12–20): </w:t>
      </w:r>
      <w:r>
        <w:rPr>
          <w:rFonts w:ascii="Arial" w:cs="Arial" w:eastAsia="Arial" w:hAnsi="Arial"/>
          <w:sz w:val="20"/>
          <w:szCs w:val="20"/>
        </w:rPr>
        <w:t xml:space="preserve">Deploy OpenBB Workspace as a white-label terminal, branded to the exchange. Integrate with the modernised APIs from Phase 2. Connect to local OMS providers (critical for adoption — users must be able to trade, not just monitor). Integrate Symphony for compliant messaging.</w:t>
      </w:r>
    </w:p>
    <w:p>
      <w:pPr>
        <w:spacing w:after="120"/>
      </w:pPr>
      <w:r>
        <w:rPr>
          <w:rFonts w:ascii="Arial" w:cs="Arial" w:eastAsia="Arial" w:hAnsi="Arial"/>
          <w:b/>
          <w:bCs/>
          <w:sz w:val="20"/>
          <w:szCs w:val="20"/>
        </w:rPr>
        <w:t xml:space="preserve">Phase 4 — Web Property Upgrades (Weeks 16–24): </w:t>
      </w:r>
      <w:r>
        <w:rPr>
          <w:rFonts w:ascii="Arial" w:cs="Arial" w:eastAsia="Arial" w:hAnsi="Arial"/>
          <w:sz w:val="20"/>
          <w:szCs w:val="20"/>
        </w:rPr>
        <w:t xml:space="preserve">Upgrade the exchange’s public-facing web properties. Introduce Brandfetch-powered company pages for listed securities. Deploy market data widgets on the exchange homepage. This drives retail traffic and positions the terminal as the next step for engaged users.</w:t>
      </w:r>
    </w:p>
    <w:p>
      <w:pPr>
        <w:spacing w:after="120"/>
      </w:pPr>
      <w:r>
        <w:rPr>
          <w:rFonts w:ascii="Arial" w:cs="Arial" w:eastAsia="Arial" w:hAnsi="Arial"/>
          <w:b/>
          <w:bCs/>
          <w:sz w:val="20"/>
          <w:szCs w:val="20"/>
        </w:rPr>
        <w:t xml:space="preserve">Phase 5 — Growth &amp; Maintenance (Ongoing): </w:t>
      </w:r>
      <w:r>
        <w:rPr>
          <w:rFonts w:ascii="Arial" w:cs="Arial" w:eastAsia="Arial" w:hAnsi="Arial"/>
          <w:sz w:val="20"/>
          <w:szCs w:val="20"/>
        </w:rPr>
        <w:t xml:space="preserve">Retainer-based support for API maintenance, terminal customisation, and widget library expansion. This is the recurring revenue base that funds Bruntsfield’s ongoing relationship with the exchange.</w:t>
      </w:r>
    </w:p>
    <w:p>
      <w:pPr>
        <w:pStyle w:val="Heading2"/>
      </w:pPr>
      <w:r>
        <w:rPr>
          <w:rFonts w:ascii="Arial" w:cs="Arial" w:eastAsia="Arial" w:hAnsi="Arial"/>
        </w:rPr>
        <w:t xml:space="preserve">3.4 The Spin-Out Thesis</w:t>
      </w:r>
    </w:p>
    <w:p>
      <w:pPr>
        <w:spacing w:after="120"/>
      </w:pPr>
      <w:r>
        <w:rPr>
          <w:rFonts w:ascii="Arial" w:cs="Arial" w:eastAsia="Arial" w:hAnsi="Arial"/>
          <w:color w:val="000000"/>
          <w:sz w:val="20"/>
          <w:szCs w:val="20"/>
        </w:rPr>
        <w:t xml:space="preserve">The API modernisation work (Phase 2) is delivered using Bruntsfield’s proprietary Modernisation Engine (“Sphinx”). As the volume of exchange API modernisation engagements grows, this capability will be spun out as a standalone company under the Bruntsfield Foundry arm — a dedicated firm focused on financial market API modernisation-as-a-service. This protects the proprietary technology while creating a scalable, venture-backable business.</w:t>
      </w:r>
    </w:p>
    <w:p>
      <w:r>
        <w:br w:type="page"/>
      </w:r>
    </w:p>
    <w:p>
      <w:pPr>
        <w:pStyle w:val="Heading1"/>
      </w:pPr>
      <w:r>
        <w:rPr>
          <w:rFonts w:ascii="Arial" w:cs="Arial" w:eastAsia="Arial" w:hAnsi="Arial"/>
        </w:rPr>
        <w:t xml:space="preserve">4. Proposed Deal Structure with OpenBB</w:t>
      </w:r>
    </w:p>
    <w:p>
      <w:pPr>
        <w:pStyle w:val="Heading2"/>
      </w:pPr>
      <w:r>
        <w:rPr>
          <w:rFonts w:ascii="Arial" w:cs="Arial" w:eastAsia="Arial" w:hAnsi="Arial"/>
        </w:rPr>
        <w:t xml:space="preserve">4.1 What Bruntsfield Brings</w:t>
      </w:r>
    </w:p>
    <w:p>
      <w:pPr>
        <w:pStyle w:val="ListParagraph"/>
        <w:numPr>
          <w:ilvl w:val="0"/>
          <w:numId w:val="2"/>
        </w:numPr>
        <w:spacing w:after="60"/>
      </w:pPr>
      <w:r>
        <w:rPr>
          <w:rFonts w:ascii="Arial" w:cs="Arial" w:eastAsia="Arial" w:hAnsi="Arial"/>
          <w:sz w:val="20"/>
          <w:szCs w:val="20"/>
        </w:rPr>
        <w:t xml:space="preserve">A curated, audited database of 316 data suppliers and 124 exchanges with named contacts and verified email addresses.</w:t>
      </w:r>
    </w:p>
    <w:p>
      <w:pPr>
        <w:pStyle w:val="ListParagraph"/>
        <w:numPr>
          <w:ilvl w:val="0"/>
          <w:numId w:val="2"/>
        </w:numPr>
        <w:spacing w:after="60"/>
      </w:pPr>
      <w:r>
        <w:rPr>
          <w:rFonts w:ascii="Arial" w:cs="Arial" w:eastAsia="Arial" w:hAnsi="Arial"/>
          <w:sz w:val="20"/>
          <w:szCs w:val="20"/>
        </w:rPr>
        <w:t xml:space="preserve">Deep domain expertise in financial market data infrastructure, exchange operations, and vendor licensing — built over years of operating WealthCX inside this ecosystem.</w:t>
      </w:r>
    </w:p>
    <w:p>
      <w:pPr>
        <w:pStyle w:val="ListParagraph"/>
        <w:numPr>
          <w:ilvl w:val="0"/>
          <w:numId w:val="2"/>
        </w:numPr>
        <w:spacing w:after="60"/>
      </w:pPr>
      <w:r>
        <w:rPr>
          <w:rFonts w:ascii="Arial" w:cs="Arial" w:eastAsia="Arial" w:hAnsi="Arial"/>
          <w:sz w:val="20"/>
          <w:szCs w:val="20"/>
        </w:rPr>
        <w:t xml:space="preserve">The ATLAS assessment framework as a free-to-exchange, high-value door-opener that generates qualified pipeline for OpenBB.</w:t>
      </w:r>
    </w:p>
    <w:p>
      <w:pPr>
        <w:pStyle w:val="ListParagraph"/>
        <w:numPr>
          <w:ilvl w:val="0"/>
          <w:numId w:val="2"/>
        </w:numPr>
        <w:spacing w:after="60"/>
      </w:pPr>
      <w:r>
        <w:rPr>
          <w:rFonts w:ascii="Arial" w:cs="Arial" w:eastAsia="Arial" w:hAnsi="Arial"/>
          <w:sz w:val="20"/>
          <w:szCs w:val="20"/>
        </w:rPr>
        <w:t xml:space="preserve">Professional services capability to handle API modernisation, OMS integration scoping, and exchange web property consulting — work that OpenBB should not and does not want to do internally.</w:t>
      </w:r>
    </w:p>
    <w:p>
      <w:pPr>
        <w:pStyle w:val="ListParagraph"/>
        <w:numPr>
          <w:ilvl w:val="0"/>
          <w:numId w:val="2"/>
        </w:numPr>
        <w:spacing w:after="60"/>
      </w:pPr>
      <w:r>
        <w:rPr>
          <w:rFonts w:ascii="Arial" w:cs="Arial" w:eastAsia="Arial" w:hAnsi="Arial"/>
          <w:sz w:val="20"/>
          <w:szCs w:val="20"/>
        </w:rPr>
        <w:t xml:space="preserve">Relationships and credibility in the financial data industry, particularly across APAC and emerging markets.</w:t>
      </w:r>
    </w:p>
    <w:p>
      <w:pPr>
        <w:pStyle w:val="Heading2"/>
      </w:pPr>
      <w:r>
        <w:rPr>
          <w:rFonts w:ascii="Arial" w:cs="Arial" w:eastAsia="Arial" w:hAnsi="Arial"/>
        </w:rPr>
        <w:t xml:space="preserve">4.2 What OpenBB Brings</w:t>
      </w:r>
    </w:p>
    <w:p>
      <w:pPr>
        <w:pStyle w:val="ListParagraph"/>
        <w:numPr>
          <w:ilvl w:val="0"/>
          <w:numId w:val="2"/>
        </w:numPr>
        <w:spacing w:after="60"/>
      </w:pPr>
      <w:r>
        <w:rPr>
          <w:rFonts w:ascii="Arial" w:cs="Arial" w:eastAsia="Arial" w:hAnsi="Arial"/>
          <w:sz w:val="20"/>
          <w:szCs w:val="20"/>
        </w:rPr>
        <w:t xml:space="preserve">The product: an enterprise-ready, SOC 2 compliant, white-labelable AI workspace with 100+ data provider integrations.</w:t>
      </w:r>
    </w:p>
    <w:p>
      <w:pPr>
        <w:pStyle w:val="ListParagraph"/>
        <w:numPr>
          <w:ilvl w:val="0"/>
          <w:numId w:val="2"/>
        </w:numPr>
        <w:spacing w:after="60"/>
      </w:pPr>
      <w:r>
        <w:rPr>
          <w:rFonts w:ascii="Arial" w:cs="Arial" w:eastAsia="Arial" w:hAnsi="Arial"/>
          <w:sz w:val="20"/>
          <w:szCs w:val="20"/>
        </w:rPr>
        <w:t xml:space="preserve">Engineering resources for custom integrations, OMS connectors, and exchange-specific data provider extensions.</w:t>
      </w:r>
    </w:p>
    <w:p>
      <w:pPr>
        <w:pStyle w:val="ListParagraph"/>
        <w:numPr>
          <w:ilvl w:val="0"/>
          <w:numId w:val="2"/>
        </w:numPr>
        <w:spacing w:after="60"/>
      </w:pPr>
      <w:r>
        <w:rPr>
          <w:rFonts w:ascii="Arial" w:cs="Arial" w:eastAsia="Arial" w:hAnsi="Arial"/>
          <w:sz w:val="20"/>
          <w:szCs w:val="20"/>
        </w:rPr>
        <w:t xml:space="preserve">Brand credibility in the open-source financial technology community (17K+ GitHub stars, active developer community).</w:t>
      </w:r>
    </w:p>
    <w:p>
      <w:pPr>
        <w:pStyle w:val="Heading2"/>
      </w:pPr>
      <w:r>
        <w:rPr>
          <w:rFonts w:ascii="Arial" w:cs="Arial" w:eastAsia="Arial" w:hAnsi="Arial"/>
        </w:rPr>
        <w:t xml:space="preserve">4.3 Proposed Commercial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6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Proposed Terms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Upfront Retainer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One-time fee payable to Bruntsfield Advisory on execution of the partnership agreement. Covers the cost of market research, target list development, ATLAS framework adaptation for exchanges, and initial outreach. Signals mutual commitment.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Sales Commission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Ongoing percentage of all OpenBB licence revenue generated through Bruntsfield-originated exchange deals. Paid quarterly in arrears based on trust-based reporting. Proposed range: 15–25% of net licence fees.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Equity Participation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 minority equity stake in OpenBB, vesting over 24–36 months, reflecting the long-term strategic value of the exchange channel. This aligns Bruntsfield’s incentives with OpenBB’s overall growth, not just individual deal commissions.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Exclusivity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Bruntsfield as the exclusive channel partner for exchange terminal sales in agreed target markets (MENA, ASEAN, Africa, LatAm) for an initial 18-month period, renewable based on pipeline performance.</w:t>
            </w:r>
          </w:p>
        </w:tc>
      </w:tr>
    </w:tbl>
    <w:p>
      <w:pPr>
        <w:spacing w:after="80"/>
      </w:pPr>
    </w:p>
    <w:p>
      <w:pPr>
        <w:spacing w:after="120"/>
      </w:pPr>
      <w:r>
        <w:rPr>
          <w:rFonts w:ascii="Arial" w:cs="Arial" w:eastAsia="Arial" w:hAnsi="Arial"/>
          <w:color w:val="000000"/>
          <w:sz w:val="20"/>
          <w:szCs w:val="20"/>
        </w:rPr>
        <w:t xml:space="preserve">The exchange itself pays OpenBB a licence fee (opex model — per-terminal-seat, monthly or annual). A minimal upfront development fee covers any exchange-specific customisation. The per-seat revenue grows as the exchange onboards more brokers and subscribers onto the terminal — all parties grow together.</w:t>
      </w:r>
    </w:p>
    <w:p>
      <w:r>
        <w:br w:type="page"/>
      </w:r>
    </w:p>
    <w:p>
      <w:pPr>
        <w:pStyle w:val="Heading1"/>
      </w:pPr>
      <w:r>
        <w:rPr>
          <w:rFonts w:ascii="Arial" w:cs="Arial" w:eastAsia="Arial" w:hAnsi="Arial"/>
        </w:rPr>
        <w:t xml:space="preserve">5. Product Requirements: What the Exchange Terminal Must Do</w:t>
      </w:r>
    </w:p>
    <w:p>
      <w:pPr>
        <w:spacing w:after="120"/>
      </w:pPr>
      <w:r>
        <w:rPr>
          <w:rFonts w:ascii="Arial" w:cs="Arial" w:eastAsia="Arial" w:hAnsi="Arial"/>
          <w:color w:val="000000"/>
          <w:sz w:val="20"/>
          <w:szCs w:val="20"/>
        </w:rPr>
        <w:t xml:space="preserve">To succeed, the exchange-branded OpenBB terminal cannot be an upgraded Yahoo Finance. It must be a daily-use professional workspace. This requires four integration layers:</w:t>
      </w:r>
    </w:p>
    <w:p>
      <w:pPr>
        <w:pStyle w:val="Heading2"/>
      </w:pPr>
      <w:r>
        <w:rPr>
          <w:rFonts w:ascii="Arial" w:cs="Arial" w:eastAsia="Arial" w:hAnsi="Arial"/>
        </w:rPr>
        <w:t xml:space="preserve">5.1 Data Layer (Exchange Data)</w:t>
      </w:r>
    </w:p>
    <w:p>
      <w:pPr>
        <w:spacing w:after="120"/>
      </w:pPr>
      <w:r>
        <w:rPr>
          <w:rFonts w:ascii="Arial" w:cs="Arial" w:eastAsia="Arial" w:hAnsi="Arial"/>
          <w:color w:val="000000"/>
          <w:sz w:val="20"/>
          <w:szCs w:val="20"/>
        </w:rPr>
        <w:t xml:space="preserve">The terminal must surface the exchange’s own proprietary data: real-time quotes, order book depth, corporate actions, listings data, fixed income yields, and index values. This is the exchange’s cornered resource — the data that Bloomberg has to license from them. In the exchange’s own terminal, it’s free and first-party.</w:t>
      </w:r>
    </w:p>
    <w:p>
      <w:pPr>
        <w:pStyle w:val="Heading2"/>
      </w:pPr>
      <w:r>
        <w:rPr>
          <w:rFonts w:ascii="Arial" w:cs="Arial" w:eastAsia="Arial" w:hAnsi="Arial"/>
        </w:rPr>
        <w:t xml:space="preserve">5.2 Execution Layer (OMS Integration)</w:t>
      </w:r>
    </w:p>
    <w:p>
      <w:pPr>
        <w:spacing w:after="120"/>
      </w:pPr>
      <w:r>
        <w:rPr>
          <w:rFonts w:ascii="Arial" w:cs="Arial" w:eastAsia="Arial" w:hAnsi="Arial"/>
          <w:color w:val="000000"/>
          <w:sz w:val="20"/>
          <w:szCs w:val="20"/>
        </w:rPr>
        <w:t xml:space="preserve">This is the critical differentiator. Users must be able to place orders through the terminal via integration with local OMS/EMS providers. Without execution capability, the terminal is a monitoring tool that users open once and forget. With execution, it becomes the daily workflow.</w:t>
      </w:r>
    </w:p>
    <w:p>
      <w:pPr>
        <w:spacing w:after="120"/>
      </w:pPr>
      <w:r>
        <w:rPr>
          <w:rFonts w:ascii="Arial" w:cs="Arial" w:eastAsia="Arial" w:hAnsi="Arial"/>
          <w:color w:val="000000"/>
          <w:sz w:val="20"/>
          <w:szCs w:val="20"/>
        </w:rPr>
        <w:t xml:space="preserve">Target OMS integrations per market: Quod Financial (multi-market), local broker-provided OMS platforms, and exchange-native matching engines where direct access is available.</w:t>
      </w:r>
    </w:p>
    <w:p>
      <w:pPr>
        <w:pStyle w:val="Heading2"/>
      </w:pPr>
      <w:r>
        <w:rPr>
          <w:rFonts w:ascii="Arial" w:cs="Arial" w:eastAsia="Arial" w:hAnsi="Arial"/>
        </w:rPr>
        <w:t xml:space="preserve">5.3 Communication Layer (Symphony)</w:t>
      </w:r>
    </w:p>
    <w:p>
      <w:pPr>
        <w:spacing w:after="120"/>
      </w:pPr>
      <w:r>
        <w:rPr>
          <w:rFonts w:ascii="Arial" w:cs="Arial" w:eastAsia="Arial" w:hAnsi="Arial"/>
          <w:color w:val="000000"/>
          <w:sz w:val="20"/>
          <w:szCs w:val="20"/>
        </w:rPr>
        <w:t xml:space="preserve">Symphony’s compliant messaging platform (1,300+ institutions, 600K+ users) provides the collaboration layer. Integrating Symphony into the terminal allows brokers to communicate with clients, share research, and coordinate trades — all within a compliance-captured environment. This is what Bloomberg chat does for institutional users; the exchange terminal needs an equivalent for the mid-market.</w:t>
      </w:r>
    </w:p>
    <w:p>
      <w:pPr>
        <w:pStyle w:val="Heading2"/>
      </w:pPr>
      <w:r>
        <w:rPr>
          <w:rFonts w:ascii="Arial" w:cs="Arial" w:eastAsia="Arial" w:hAnsi="Arial"/>
        </w:rPr>
        <w:t xml:space="preserve">5.4 Intelligence Layer (AI Copilot)</w:t>
      </w:r>
    </w:p>
    <w:p>
      <w:pPr>
        <w:spacing w:after="120"/>
      </w:pPr>
      <w:r>
        <w:rPr>
          <w:rFonts w:ascii="Arial" w:cs="Arial" w:eastAsia="Arial" w:hAnsi="Arial"/>
          <w:color w:val="000000"/>
          <w:sz w:val="20"/>
          <w:szCs w:val="20"/>
        </w:rPr>
        <w:t xml:space="preserve">OpenBB’s Copilot provides natural-language access to all data in the workspace. A broker can ask “show me the top 10 gainers on the PSE today with volume above 1M” and get an instant answer. This is the feature that makes the terminal feel modern and creates genuine differentiation against legacy regional platforms.</w:t>
      </w:r>
    </w:p>
    <w:p>
      <w:r>
        <w:br w:type="page"/>
      </w:r>
    </w:p>
    <w:p>
      <w:pPr>
        <w:pStyle w:val="Heading1"/>
      </w:pPr>
      <w:r>
        <w:rPr>
          <w:rFonts w:ascii="Arial" w:cs="Arial" w:eastAsia="Arial" w:hAnsi="Arial"/>
        </w:rPr>
        <w:t xml:space="preserve">6. Priority Exchange Target List</w:t>
      </w:r>
    </w:p>
    <w:p>
      <w:pPr>
        <w:spacing w:after="120"/>
      </w:pPr>
      <w:r>
        <w:rPr>
          <w:rFonts w:ascii="Arial" w:cs="Arial" w:eastAsia="Arial" w:hAnsi="Arial"/>
          <w:color w:val="000000"/>
          <w:sz w:val="20"/>
          <w:szCs w:val="20"/>
        </w:rPr>
        <w:t xml:space="preserve">The following exchanges have been selected from our audited database of 124 exchanges based on: market size and growth trajectory, government modernisation agenda, absence of a competing local terminal, strategic fit with the sovereignty/technology narrative, and our ability to reach named contacts.</w:t>
      </w:r>
    </w:p>
    <w:p>
      <w:pPr>
        <w:pStyle w:val="Heading2"/>
      </w:pPr>
      <w:r>
        <w:rPr>
          <w:rFonts w:ascii="Arial" w:cs="Arial" w:eastAsia="Arial" w:hAnsi="Arial"/>
        </w:rPr>
        <w:t xml:space="preserve">6.1 Tier 1 — First Wave (Months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5060"/>
        <w:gridCol w:w="100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Exchange</w:t>
            </w:r>
          </w:p>
        </w:tc>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Region</w:t>
            </w:r>
          </w:p>
        </w:tc>
        <w:tc>
          <w:tcPr>
            <w:tcW w:type="dxa" w:w="50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Strategic Rationale</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Score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Saudi Exchange (Tadawul)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Gulf</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Vision 2030 capital markets push; massive retail investor growth; sovereign tech narrative; well-funded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9.5/10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Nigeria Stock Exchange (NGX)</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Africa</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Fastest-growing capital market in Africa; 200M+ population; no credible terminal; government push for financial inclusion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9.0/10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Borsa Istanbul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EMEA</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14 services on supplier list; government sovereignty narrative; large retail base; tech-ambitious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9.0/10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Indonesia Stock Exchange (IDX)</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ASEAN</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270M population; massive retail investor growth post-COVID; no local terminal; regulatory push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8.5/10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Philippines Stock Exchange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ASEAN</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110M population; underserved market; government financial literacy push; remisier-heavy market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8.5/10</w:t>
            </w:r>
          </w:p>
        </w:tc>
      </w:tr>
    </w:tbl>
    <w:p>
      <w:pPr>
        <w:spacing w:after="80"/>
      </w:pPr>
    </w:p>
    <w:p>
      <w:pPr>
        <w:pStyle w:val="Heading2"/>
      </w:pPr>
      <w:r>
        <w:rPr>
          <w:rFonts w:ascii="Arial" w:cs="Arial" w:eastAsia="Arial" w:hAnsi="Arial"/>
        </w:rPr>
        <w:t xml:space="preserve">6.2 Tier 2 — Second Wave (Months 4–12)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5060"/>
        <w:gridCol w:w="100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Exchange</w:t>
            </w:r>
          </w:p>
        </w:tc>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Region</w:t>
            </w:r>
          </w:p>
        </w:tc>
        <w:tc>
          <w:tcPr>
            <w:tcW w:type="dxa" w:w="50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Strategic Rationale</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Score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Ho Chi Minh Stock Exchange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ASEAN</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Vietnam is fastest-growing frontier market; massive retail participation; no local terminal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8.0/10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Nairobi Securities Exchange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Africa</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East Africa financial hub; Kenya is tech leader (M-Pesa); mobile-first opportunity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8.0/10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Colombo Stock Exchange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Asia</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Post-crisis recovery; keen to attract foreign investment; small but motivated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7.5/10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Egypt Exchange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MENA</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100M+ population; government privatisation programme; growing retail base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7.5/10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Pakistan Stock Exchange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Asia</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230M population; young demographic; government SECP reform agenda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7.5/10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Qatar Exchange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Gulf</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Wealthy market; post-World Cup infrastructure; diversification narrative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7.5/10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Casablanca Stock Exchange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Africa</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Gateway to Francophone Africa; government financial hub ambitions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7.0/10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Dhaka Stock Exchange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Asia</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170M population; under-penetrated; government modernisation agenda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7.0/10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Colombia Stock Exchange (BVC)</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LatAm</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22 services on list; MILA integration; government reform agenda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7.0/10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Bahrain Bourse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Gulf</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Regional fintech hub; small but progressive; government tech-forward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7.0/10</w:t>
            </w:r>
          </w:p>
        </w:tc>
      </w:tr>
    </w:tbl>
    <w:p>
      <w:r>
        <w:br w:type="page"/>
      </w:r>
    </w:p>
    <w:p>
      <w:pPr>
        <w:pStyle w:val="Heading1"/>
      </w:pPr>
      <w:r>
        <w:rPr>
          <w:rFonts w:ascii="Arial" w:cs="Arial" w:eastAsia="Arial" w:hAnsi="Arial"/>
        </w:rPr>
        <w:t xml:space="preserve">7. Go-to-Market Execution Plan</w:t>
      </w:r>
    </w:p>
    <w:p>
      <w:pPr>
        <w:pStyle w:val="Heading2"/>
      </w:pPr>
      <w:r>
        <w:rPr>
          <w:rFonts w:ascii="Arial" w:cs="Arial" w:eastAsia="Arial" w:hAnsi="Arial"/>
        </w:rPr>
        <w:t xml:space="preserve">7.1 Month 1–2: Foundation</w:t>
      </w:r>
    </w:p>
    <w:p>
      <w:pPr>
        <w:pStyle w:val="ListParagraph"/>
        <w:numPr>
          <w:ilvl w:val="0"/>
          <w:numId w:val="2"/>
        </w:numPr>
        <w:spacing w:after="60"/>
      </w:pPr>
      <w:r>
        <w:rPr>
          <w:rFonts w:ascii="Arial" w:cs="Arial" w:eastAsia="Arial" w:hAnsi="Arial"/>
          <w:sz w:val="20"/>
          <w:szCs w:val="20"/>
        </w:rPr>
        <w:t xml:space="preserve">Finalise partnership agreement with OpenBB (retainer, commission, equity terms).</w:t>
      </w:r>
    </w:p>
    <w:p>
      <w:pPr>
        <w:pStyle w:val="ListParagraph"/>
        <w:numPr>
          <w:ilvl w:val="0"/>
          <w:numId w:val="2"/>
        </w:numPr>
        <w:spacing w:after="60"/>
      </w:pPr>
      <w:r>
        <w:rPr>
          <w:rFonts w:ascii="Arial" w:cs="Arial" w:eastAsia="Arial" w:hAnsi="Arial"/>
          <w:sz w:val="20"/>
          <w:szCs w:val="20"/>
        </w:rPr>
        <w:t xml:space="preserve">Adapt the ATLAS 7 Powers assessment specifically for stock exchanges (exchange-specific KPIs, data infrastructure modules, regulatory context).</w:t>
      </w:r>
    </w:p>
    <w:p>
      <w:pPr>
        <w:pStyle w:val="ListParagraph"/>
        <w:numPr>
          <w:ilvl w:val="0"/>
          <w:numId w:val="2"/>
        </w:numPr>
        <w:spacing w:after="60"/>
      </w:pPr>
      <w:r>
        <w:rPr>
          <w:rFonts w:ascii="Arial" w:cs="Arial" w:eastAsia="Arial" w:hAnsi="Arial"/>
          <w:sz w:val="20"/>
          <w:szCs w:val="20"/>
        </w:rPr>
        <w:t xml:space="preserve">Prepare a 2-page executive brief and short video explainer for initial exchange outreach.</w:t>
      </w:r>
    </w:p>
    <w:p>
      <w:pPr>
        <w:pStyle w:val="ListParagraph"/>
        <w:numPr>
          <w:ilvl w:val="0"/>
          <w:numId w:val="2"/>
        </w:numPr>
        <w:spacing w:after="60"/>
      </w:pPr>
      <w:r>
        <w:rPr>
          <w:rFonts w:ascii="Arial" w:cs="Arial" w:eastAsia="Arial" w:hAnsi="Arial"/>
          <w:sz w:val="20"/>
          <w:szCs w:val="20"/>
        </w:rPr>
        <w:t xml:space="preserve">Begin outreach to Tier 1 exchanges: Tadawul, NGX, Borsa Istanbul, IDX, PSE.</w:t>
      </w:r>
    </w:p>
    <w:p>
      <w:pPr>
        <w:pStyle w:val="Heading2"/>
      </w:pPr>
      <w:r>
        <w:rPr>
          <w:rFonts w:ascii="Arial" w:cs="Arial" w:eastAsia="Arial" w:hAnsi="Arial"/>
        </w:rPr>
        <w:t xml:space="preserve">7.2 Month 3–4: First Assessments</w:t>
      </w:r>
    </w:p>
    <w:p>
      <w:pPr>
        <w:pStyle w:val="ListParagraph"/>
        <w:numPr>
          <w:ilvl w:val="0"/>
          <w:numId w:val="2"/>
        </w:numPr>
        <w:spacing w:after="60"/>
      </w:pPr>
      <w:r>
        <w:rPr>
          <w:rFonts w:ascii="Arial" w:cs="Arial" w:eastAsia="Arial" w:hAnsi="Arial"/>
          <w:sz w:val="20"/>
          <w:szCs w:val="20"/>
        </w:rPr>
        <w:t xml:space="preserve">Deliver 2–3 ATLAS assessments to Tier 1 exchanges.</w:t>
      </w:r>
    </w:p>
    <w:p>
      <w:pPr>
        <w:pStyle w:val="ListParagraph"/>
        <w:numPr>
          <w:ilvl w:val="0"/>
          <w:numId w:val="2"/>
        </w:numPr>
        <w:spacing w:after="60"/>
      </w:pPr>
      <w:r>
        <w:rPr>
          <w:rFonts w:ascii="Arial" w:cs="Arial" w:eastAsia="Arial" w:hAnsi="Arial"/>
          <w:sz w:val="20"/>
          <w:szCs w:val="20"/>
        </w:rPr>
        <w:t xml:space="preserve">Use assessment findings to scope API modernisation and terminal deployment proposals.</w:t>
      </w:r>
    </w:p>
    <w:p>
      <w:pPr>
        <w:pStyle w:val="ListParagraph"/>
        <w:numPr>
          <w:ilvl w:val="0"/>
          <w:numId w:val="2"/>
        </w:numPr>
        <w:spacing w:after="60"/>
      </w:pPr>
      <w:r>
        <w:rPr>
          <w:rFonts w:ascii="Arial" w:cs="Arial" w:eastAsia="Arial" w:hAnsi="Arial"/>
          <w:sz w:val="20"/>
          <w:szCs w:val="20"/>
        </w:rPr>
        <w:t xml:space="preserve">Begin Tier 2 outreach in parallel.</w:t>
      </w:r>
    </w:p>
    <w:p>
      <w:pPr>
        <w:pStyle w:val="ListParagraph"/>
        <w:numPr>
          <w:ilvl w:val="0"/>
          <w:numId w:val="2"/>
        </w:numPr>
        <w:spacing w:after="60"/>
      </w:pPr>
      <w:r>
        <w:rPr>
          <w:rFonts w:ascii="Arial" w:cs="Arial" w:eastAsia="Arial" w:hAnsi="Arial"/>
          <w:sz w:val="20"/>
          <w:szCs w:val="20"/>
        </w:rPr>
        <w:t xml:space="preserve">Identify local OMS providers in each target market for integration scoping.</w:t>
      </w:r>
    </w:p>
    <w:p>
      <w:pPr>
        <w:pStyle w:val="Heading2"/>
      </w:pPr>
      <w:r>
        <w:rPr>
          <w:rFonts w:ascii="Arial" w:cs="Arial" w:eastAsia="Arial" w:hAnsi="Arial"/>
        </w:rPr>
        <w:t xml:space="preserve">7.3 Month 5–8: First Deals</w:t>
      </w:r>
    </w:p>
    <w:p>
      <w:pPr>
        <w:pStyle w:val="ListParagraph"/>
        <w:numPr>
          <w:ilvl w:val="0"/>
          <w:numId w:val="2"/>
        </w:numPr>
        <w:spacing w:after="60"/>
      </w:pPr>
      <w:r>
        <w:rPr>
          <w:rFonts w:ascii="Arial" w:cs="Arial" w:eastAsia="Arial" w:hAnsi="Arial"/>
          <w:sz w:val="20"/>
          <w:szCs w:val="20"/>
        </w:rPr>
        <w:t xml:space="preserve">Close the first API modernisation consulting engagement.</w:t>
      </w:r>
    </w:p>
    <w:p>
      <w:pPr>
        <w:pStyle w:val="ListParagraph"/>
        <w:numPr>
          <w:ilvl w:val="0"/>
          <w:numId w:val="2"/>
        </w:numPr>
        <w:spacing w:after="60"/>
      </w:pPr>
      <w:r>
        <w:rPr>
          <w:rFonts w:ascii="Arial" w:cs="Arial" w:eastAsia="Arial" w:hAnsi="Arial"/>
          <w:sz w:val="20"/>
          <w:szCs w:val="20"/>
        </w:rPr>
        <w:t xml:space="preserve">Begin terminal deployment pilot with the most receptive exchange.</w:t>
      </w:r>
    </w:p>
    <w:p>
      <w:pPr>
        <w:pStyle w:val="ListParagraph"/>
        <w:numPr>
          <w:ilvl w:val="0"/>
          <w:numId w:val="2"/>
        </w:numPr>
        <w:spacing w:after="60"/>
      </w:pPr>
      <w:r>
        <w:rPr>
          <w:rFonts w:ascii="Arial" w:cs="Arial" w:eastAsia="Arial" w:hAnsi="Arial"/>
          <w:sz w:val="20"/>
          <w:szCs w:val="20"/>
        </w:rPr>
        <w:t xml:space="preserve">Initiate Brandfetch company page pilot on the pilot exchange’s website.</w:t>
      </w:r>
    </w:p>
    <w:p>
      <w:pPr>
        <w:pStyle w:val="ListParagraph"/>
        <w:numPr>
          <w:ilvl w:val="0"/>
          <w:numId w:val="2"/>
        </w:numPr>
        <w:spacing w:after="60"/>
      </w:pPr>
      <w:r>
        <w:rPr>
          <w:rFonts w:ascii="Arial" w:cs="Arial" w:eastAsia="Arial" w:hAnsi="Arial"/>
          <w:sz w:val="20"/>
          <w:szCs w:val="20"/>
        </w:rPr>
        <w:t xml:space="preserve">Document the case study for use in subsequent exchange pitches.</w:t>
      </w:r>
    </w:p>
    <w:p>
      <w:pPr>
        <w:pStyle w:val="Heading2"/>
      </w:pPr>
      <w:r>
        <w:rPr>
          <w:rFonts w:ascii="Arial" w:cs="Arial" w:eastAsia="Arial" w:hAnsi="Arial"/>
        </w:rPr>
        <w:t xml:space="preserve">7.4 Month 9–12: Scale</w:t>
      </w:r>
    </w:p>
    <w:p>
      <w:pPr>
        <w:pStyle w:val="ListParagraph"/>
        <w:numPr>
          <w:ilvl w:val="0"/>
          <w:numId w:val="2"/>
        </w:numPr>
        <w:spacing w:after="60"/>
      </w:pPr>
      <w:r>
        <w:rPr>
          <w:rFonts w:ascii="Arial" w:cs="Arial" w:eastAsia="Arial" w:hAnsi="Arial"/>
          <w:sz w:val="20"/>
          <w:szCs w:val="20"/>
        </w:rPr>
        <w:t xml:space="preserve">Expand to Tier 2 exchanges using the pilot case study as proof of concept.</w:t>
      </w:r>
    </w:p>
    <w:p>
      <w:pPr>
        <w:pStyle w:val="ListParagraph"/>
        <w:numPr>
          <w:ilvl w:val="0"/>
          <w:numId w:val="2"/>
        </w:numPr>
        <w:spacing w:after="60"/>
      </w:pPr>
      <w:r>
        <w:rPr>
          <w:rFonts w:ascii="Arial" w:cs="Arial" w:eastAsia="Arial" w:hAnsi="Arial"/>
          <w:sz w:val="20"/>
          <w:szCs w:val="20"/>
        </w:rPr>
        <w:t xml:space="preserve">Introduce the widget library concept to exchanges already in the pipeline.</w:t>
      </w:r>
    </w:p>
    <w:p>
      <w:pPr>
        <w:pStyle w:val="ListParagraph"/>
        <w:numPr>
          <w:ilvl w:val="0"/>
          <w:numId w:val="2"/>
        </w:numPr>
        <w:spacing w:after="60"/>
      </w:pPr>
      <w:r>
        <w:rPr>
          <w:rFonts w:ascii="Arial" w:cs="Arial" w:eastAsia="Arial" w:hAnsi="Arial"/>
          <w:sz w:val="20"/>
          <w:szCs w:val="20"/>
        </w:rPr>
        <w:t xml:space="preserve">Evaluate the API modernisation workload: if 3+ engagements are active, begin planning the Foundry spin-out.</w:t>
      </w:r>
    </w:p>
    <w:p>
      <w:pPr>
        <w:pStyle w:val="ListParagraph"/>
        <w:numPr>
          <w:ilvl w:val="0"/>
          <w:numId w:val="2"/>
        </w:numPr>
        <w:spacing w:after="60"/>
      </w:pPr>
      <w:r>
        <w:rPr>
          <w:rFonts w:ascii="Arial" w:cs="Arial" w:eastAsia="Arial" w:hAnsi="Arial"/>
          <w:sz w:val="20"/>
          <w:szCs w:val="20"/>
        </w:rPr>
        <w:t xml:space="preserve">Review OpenBB partnership terms at 12-month mark based on pipeline performance.</w:t>
      </w:r>
    </w:p>
    <w:p>
      <w:r>
        <w:br w:type="page"/>
      </w:r>
    </w:p>
    <w:p>
      <w:pPr>
        <w:pStyle w:val="Heading1"/>
      </w:pPr>
      <w:r>
        <w:rPr>
          <w:rFonts w:ascii="Arial" w:cs="Arial" w:eastAsia="Arial" w:hAnsi="Arial"/>
        </w:rPr>
        <w:t xml:space="preserve">8.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Risk</w:t>
            </w:r>
          </w:p>
        </w:tc>
        <w:tc>
          <w:tcPr>
            <w:tcW w:type="dxa" w:w="3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Impact</w:t>
            </w:r>
          </w:p>
        </w:tc>
        <w:tc>
          <w:tcPr>
            <w:tcW w:type="dxa" w:w="32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Mitigation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Exchange procurement cycles are long (6–18 months)</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Revenue takes longer to materialise than forecast</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ATLAS assessment is free — reduces procurement friction. API consulting can be scoped as a smaller initial engagement.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OpenBB product gaps (missing OMS connectors, compliance features)</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Terminal is not adoption-ready in target markets</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Bruntsfield scopes integration requirements before deployment. Phase 2 API work can proceed independently of terminal readiness.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Exchange technology teams resist external products</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Internal champion (Sales/GR) cannot overcome tech team objections</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Position as a business/revenue initiative, not a technology project. Present ROI in terms of new data subscription revenue, not technology metrics.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Competing terminal offerings emerge (TradingView, Koyfin white-label)</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Exchanges choose a competitor product</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First-mover advantage in target markets. OMS integration and API consulting create switching costs that pure SaaS competitors cannot replicate.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Key person risk (John Gallagher)</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Pipeline stalls if founder is unavailable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Build repeatable playbook and ATLAS assessment tools that can be operated by additional team members. Hire first BD associate by Month 6.</w:t>
            </w:r>
          </w:p>
        </w:tc>
      </w:tr>
    </w:tbl>
    <w:p>
      <w:r>
        <w:br w:type="page"/>
      </w:r>
    </w:p>
    <w:p>
      <w:pPr>
        <w:pStyle w:val="Heading1"/>
      </w:pPr>
      <w:r>
        <w:rPr>
          <w:rFonts w:ascii="Arial" w:cs="Arial" w:eastAsia="Arial" w:hAnsi="Arial"/>
        </w:rPr>
        <w:t xml:space="preserve">9. Appendix: Supplier Database Summary</w:t>
      </w:r>
    </w:p>
    <w:p>
      <w:pPr>
        <w:spacing w:after="120"/>
      </w:pPr>
      <w:r>
        <w:rPr>
          <w:rFonts w:ascii="Arial" w:cs="Arial" w:eastAsia="Arial" w:hAnsi="Arial"/>
          <w:color w:val="000000"/>
          <w:sz w:val="20"/>
          <w:szCs w:val="20"/>
        </w:rPr>
        <w:t xml:space="preserve">The Exchange Supplier List (audited and cleaned) contains:</w:t>
      </w:r>
    </w:p>
    <w:p>
      <w:pPr>
        <w:pStyle w:val="ListParagraph"/>
        <w:numPr>
          <w:ilvl w:val="0"/>
          <w:numId w:val="2"/>
        </w:numPr>
        <w:spacing w:after="60"/>
      </w:pPr>
      <w:r>
        <w:rPr>
          <w:rFonts w:ascii="Arial" w:cs="Arial" w:eastAsia="Arial" w:hAnsi="Arial"/>
          <w:sz w:val="20"/>
          <w:szCs w:val="20"/>
        </w:rPr>
        <w:t xml:space="preserve">316 unique financial data suppliers across 1,001 service lines</w:t>
      </w:r>
    </w:p>
    <w:p>
      <w:pPr>
        <w:pStyle w:val="ListParagraph"/>
        <w:numPr>
          <w:ilvl w:val="0"/>
          <w:numId w:val="2"/>
        </w:numPr>
        <w:spacing w:after="60"/>
      </w:pPr>
      <w:r>
        <w:rPr>
          <w:rFonts w:ascii="Arial" w:cs="Arial" w:eastAsia="Arial" w:hAnsi="Arial"/>
          <w:sz w:val="20"/>
          <w:szCs w:val="20"/>
        </w:rPr>
        <w:t xml:space="preserve">124 stock exchanges identified globally</w:t>
      </w:r>
    </w:p>
    <w:p>
      <w:pPr>
        <w:pStyle w:val="ListParagraph"/>
        <w:numPr>
          <w:ilvl w:val="0"/>
          <w:numId w:val="2"/>
        </w:numPr>
        <w:spacing w:after="60"/>
      </w:pPr>
      <w:r>
        <w:rPr>
          <w:rFonts w:ascii="Arial" w:cs="Arial" w:eastAsia="Arial" w:hAnsi="Arial"/>
          <w:sz w:val="20"/>
          <w:szCs w:val="20"/>
        </w:rPr>
        <w:t xml:space="preserve">95.5% contact email coverage (original + audit enrichment)</w:t>
      </w:r>
    </w:p>
    <w:p>
      <w:pPr>
        <w:pStyle w:val="ListParagraph"/>
        <w:numPr>
          <w:ilvl w:val="0"/>
          <w:numId w:val="2"/>
        </w:numPr>
        <w:spacing w:after="60"/>
      </w:pPr>
      <w:r>
        <w:rPr>
          <w:rFonts w:ascii="Arial" w:cs="Arial" w:eastAsia="Arial" w:hAnsi="Arial"/>
          <w:sz w:val="20"/>
          <w:szCs w:val="20"/>
        </w:rPr>
        <w:t xml:space="preserve">66.3% URL coverage (up from 2.1% in the original file)</w:t>
      </w:r>
    </w:p>
    <w:p>
      <w:pPr>
        <w:pStyle w:val="ListParagraph"/>
        <w:numPr>
          <w:ilvl w:val="0"/>
          <w:numId w:val="2"/>
        </w:numPr>
        <w:spacing w:after="60"/>
      </w:pPr>
      <w:r>
        <w:rPr>
          <w:rFonts w:ascii="Arial" w:cs="Arial" w:eastAsia="Arial" w:hAnsi="Arial"/>
          <w:sz w:val="20"/>
          <w:szCs w:val="20"/>
        </w:rPr>
        <w:t xml:space="preserve">76 named contacts with titles and 47 LinkedIn profiles identified through public source research</w:t>
      </w:r>
    </w:p>
    <w:p>
      <w:pPr>
        <w:pStyle w:val="ListParagraph"/>
        <w:numPr>
          <w:ilvl w:val="0"/>
          <w:numId w:val="2"/>
        </w:numPr>
        <w:spacing w:after="60"/>
      </w:pPr>
      <w:r>
        <w:rPr>
          <w:rFonts w:ascii="Arial" w:cs="Arial" w:eastAsia="Arial" w:hAnsi="Arial"/>
          <w:sz w:val="20"/>
          <w:szCs w:val="20"/>
        </w:rPr>
        <w:t xml:space="preserve">323 audit notes flagging corporate mergers, defunct entities, and successor organisations</w:t>
      </w:r>
    </w:p>
    <w:p>
      <w:pPr>
        <w:spacing w:after="80"/>
      </w:pPr>
    </w:p>
    <w:p>
      <w:pPr>
        <w:spacing w:after="120"/>
      </w:pPr>
      <w:r>
        <w:rPr>
          <w:rFonts w:ascii="Arial" w:cs="Arial" w:eastAsia="Arial" w:hAnsi="Arial"/>
          <w:color w:val="000000"/>
          <w:sz w:val="20"/>
          <w:szCs w:val="20"/>
        </w:rPr>
        <w:t xml:space="preserve">The full database is maintained in the companion file: Exchange Supplier List v2 — Cleaned &amp; Audited.xlsx</w:t>
      </w:r>
    </w:p>
    <w:p>
      <w:pPr>
        <w:spacing w:after="80"/>
      </w:pPr>
    </w:p>
    <w:p>
      <w:pPr>
        <w:pBdr>
          <w:top w:val="single" w:color="2E75B6" w:sz="4" w:space="8"/>
        </w:pBdr>
        <w:spacing w:before="200"/>
      </w:pPr>
      <w:r>
        <w:rPr>
          <w:rFonts w:ascii="Arial" w:cs="Arial" w:eastAsia="Arial" w:hAnsi="Arial"/>
          <w:i/>
          <w:iCs/>
          <w:color w:val="999999"/>
          <w:sz w:val="18"/>
          <w:szCs w:val="18"/>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pPr>
    <w:r>
      <w:rPr>
        <w:rFonts w:ascii="Arial" w:cs="Arial" w:eastAsia="Arial" w:hAnsi="Arial"/>
        <w:b/>
        <w:bCs/>
        <w:color w:val="2E75B6"/>
        <w:sz w:val="16"/>
        <w:szCs w:val="16"/>
      </w:rPr>
      <w:t xml:space="preserve">BRUNTSFIELD CAPITAL ADVISORY</w:t>
    </w:r>
    <w:r>
      <w:rPr>
        <w:rFonts w:ascii="Arial" w:cs="Arial" w:eastAsia="Arial" w:hAnsi="Arial"/>
        <w:color w:val="AAAAAA"/>
        <w:sz w:val="16"/>
        <w:szCs w:val="16"/>
      </w:rPr>
      <w:t xml:space="preserve">  |  </w:t>
    </w:r>
    <w:r>
      <w:rPr>
        <w:rFonts w:ascii="Arial" w:cs="Arial" w:eastAsia="Arial" w:hAnsi="Arial"/>
        <w:i/>
        <w:iCs/>
        <w:color w:val="999999"/>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 w:type="character" w:styleId="Hyperlink">
    <w:name w:val="Hyperlink"/>
    <w:uiPriority w:val="99"/>
    <w:unhideWhenUsed/>
    <w:rPr>
      <w:color w:val="2E75B6"/>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2026-03-23T07:10:19.993Z</dcterms:created>
  <dcterms:modified xsi:type="dcterms:W3CDTF">2026-03-23T07:10:19.994Z</dcterms:modified>
</cp:coreProperties>
</file>

<file path=docProps/custom.xml><?xml version="1.0" encoding="utf-8"?>
<Properties xmlns="http://schemas.openxmlformats.org/officeDocument/2006/custom-properties" xmlns:vt="http://schemas.openxmlformats.org/officeDocument/2006/docPropsVTypes"/>
</file>