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Calibri" w:cs="Calibri" w:eastAsia="Calibri" w:hAnsi="Calibri"/>
        </w:rPr>
      </w:pPr>
      <w:r w:rsidDel="00000000" w:rsidR="00000000" w:rsidRPr="00000000">
        <w:rPr>
          <w:rFonts w:ascii="Calibri" w:cs="Calibri" w:eastAsia="Calibri" w:hAnsi="Calibri"/>
          <w:rtl w:val="0"/>
        </w:rPr>
        <w:t xml:space="preserve">Brokerage App Review Hargreaves Lansdown </w:t>
      </w:r>
    </w:p>
    <w:p w:rsidR="00000000" w:rsidDel="00000000" w:rsidP="00000000" w:rsidRDefault="00000000" w:rsidRPr="00000000" w14:paraId="00000002">
      <w:pPr>
        <w:pStyle w:val="Heading2"/>
        <w:rPr>
          <w:rFonts w:ascii="Calibri" w:cs="Calibri" w:eastAsia="Calibri" w:hAnsi="Calibri"/>
        </w:rPr>
      </w:pPr>
      <w:r w:rsidDel="00000000" w:rsidR="00000000" w:rsidRPr="00000000">
        <w:rPr>
          <w:rFonts w:ascii="Calibri" w:cs="Calibri" w:eastAsia="Calibri" w:hAnsi="Calibri"/>
          <w:rtl w:val="0"/>
        </w:rPr>
        <w:t xml:space="preserve">App Metadata</w:t>
      </w:r>
    </w:p>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rtl w:val="0"/>
        </w:rPr>
        <w:t xml:space="preserve">APP NAME: Hargreaves Lansdown </w:t>
      </w:r>
    </w:p>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Region / Pair: UK – Trading212 vs Hargreaves Lansdown</w:t>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Reviewer: Victoria Hyde</w:t>
      </w:r>
    </w:p>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Date: 07/01/2025</w:t>
      </w:r>
    </w:p>
    <w:p w:rsidR="00000000" w:rsidDel="00000000" w:rsidP="00000000" w:rsidRDefault="00000000" w:rsidRPr="00000000" w14:paraId="00000007">
      <w:pPr>
        <w:rPr>
          <w:rFonts w:ascii="Calibri" w:cs="Calibri" w:eastAsia="Calibri" w:hAnsi="Calibri"/>
        </w:rPr>
      </w:pPr>
      <w:r w:rsidDel="00000000" w:rsidR="00000000" w:rsidRPr="00000000">
        <w:rPr>
          <w:rtl w:val="0"/>
        </w:rPr>
      </w:r>
    </w:p>
    <w:p w:rsidR="00000000" w:rsidDel="00000000" w:rsidP="00000000" w:rsidRDefault="00000000" w:rsidRPr="00000000" w14:paraId="00000008">
      <w:pPr>
        <w:pStyle w:val="Heading2"/>
        <w:rPr>
          <w:rFonts w:ascii="Calibri" w:cs="Calibri" w:eastAsia="Calibri" w:hAnsi="Calibri"/>
        </w:rPr>
      </w:pPr>
      <w:r w:rsidDel="00000000" w:rsidR="00000000" w:rsidRPr="00000000">
        <w:rPr>
          <w:rFonts w:ascii="Calibri" w:cs="Calibri" w:eastAsia="Calibri" w:hAnsi="Calibri"/>
          <w:rtl w:val="0"/>
        </w:rPr>
        <w:t xml:space="preserve">1. Company Background (Phase A)</w:t>
      </w:r>
    </w:p>
    <w:p w:rsidR="00000000" w:rsidDel="00000000" w:rsidP="00000000" w:rsidRDefault="00000000" w:rsidRPr="00000000" w14:paraId="00000009">
      <w:pP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1.1 Basic Details</w:t>
      </w:r>
    </w:p>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b w:val="1"/>
          <w:bCs w:val="1"/>
          <w:rtl w:val="0"/>
        </w:rPr>
        <w:t xml:space="preserve">Year founded: </w:t>
      </w:r>
      <w:r w:rsidDel="00000000" w:rsidR="00000000" w:rsidRPr="00000000">
        <w:rPr>
          <w:rFonts w:ascii="Calibri" w:cs="Calibri" w:eastAsia="Calibri" w:hAnsi="Calibri"/>
          <w:rtl w:val="0"/>
        </w:rPr>
        <w:t xml:space="preserve">1981 (specifically 1 July 1981)</w:t>
      </w:r>
    </w:p>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b w:val="1"/>
          <w:bCs w:val="1"/>
          <w:rtl w:val="0"/>
        </w:rPr>
        <w:t xml:space="preserve">Founders:</w:t>
      </w:r>
      <w:r w:rsidDel="00000000" w:rsidR="00000000" w:rsidRPr="00000000">
        <w:rPr>
          <w:rFonts w:ascii="Calibri" w:cs="Calibri" w:eastAsia="Calibri" w:hAnsi="Calibri"/>
          <w:rtl w:val="0"/>
        </w:rPr>
        <w:t xml:space="preserve"> Peter Hargreaves and Stephen Lansdown</w:t>
      </w:r>
    </w:p>
    <w:p w:rsidR="00000000" w:rsidDel="00000000" w:rsidP="00000000" w:rsidRDefault="00000000" w:rsidRPr="00000000" w14:paraId="0000000C">
      <w:pPr>
        <w:rPr>
          <w:rFonts w:ascii="Calibri" w:cs="Calibri" w:eastAsia="Calibri" w:hAnsi="Calibri"/>
        </w:rPr>
      </w:pPr>
      <w:r w:rsidDel="00000000" w:rsidR="00000000" w:rsidRPr="00000000">
        <w:rPr>
          <w:rFonts w:ascii="Calibri" w:cs="Calibri" w:eastAsia="Calibri" w:hAnsi="Calibri"/>
          <w:b w:val="1"/>
          <w:bCs w:val="1"/>
          <w:rtl w:val="0"/>
        </w:rPr>
        <w:t xml:space="preserve">Headquarters (city, country):</w:t>
      </w:r>
      <w:r w:rsidDel="00000000" w:rsidR="00000000" w:rsidRPr="00000000">
        <w:rPr>
          <w:rFonts w:ascii="Calibri" w:cs="Calibri" w:eastAsia="Calibri" w:hAnsi="Calibri"/>
          <w:rtl w:val="0"/>
        </w:rPr>
        <w:t xml:space="preserve"> Bristol, England, United Kingdom</w:t>
      </w:r>
    </w:p>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b w:val="1"/>
          <w:bCs w:val="1"/>
          <w:rtl w:val="0"/>
        </w:rPr>
        <w:t xml:space="preserve">Corporate structure (public/private/subsidiary/etc.):</w:t>
      </w:r>
      <w:r w:rsidDel="00000000" w:rsidR="00000000" w:rsidRPr="00000000">
        <w:rPr>
          <w:rFonts w:ascii="Calibri" w:cs="Calibri" w:eastAsia="Calibri" w:hAnsi="Calibri"/>
          <w:rtl w:val="0"/>
        </w:rPr>
        <w:t xml:space="preserve"> Formerly publicly listed as Hargreaves Lansdown plc on the London Stock Exchange; as of 2025 the business has been taken private by a consortium.</w:t>
      </w:r>
    </w:p>
    <w:p w:rsidR="00000000" w:rsidDel="00000000" w:rsidP="00000000" w:rsidRDefault="00000000" w:rsidRPr="00000000" w14:paraId="0000000E">
      <w:pP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1.2 Funding &amp; Investors</w:t>
      </w:r>
    </w:p>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b w:val="1"/>
          <w:bCs w:val="1"/>
          <w:rtl w:val="0"/>
        </w:rPr>
        <w:t xml:space="preserve">Key funding rounds (year + amount): </w:t>
      </w:r>
      <w:r w:rsidDel="00000000" w:rsidR="00000000" w:rsidRPr="00000000">
        <w:rPr>
          <w:rFonts w:ascii="Calibri" w:cs="Calibri" w:eastAsia="Calibri" w:hAnsi="Calibri"/>
          <w:rtl w:val="0"/>
        </w:rPr>
        <w:t xml:space="preserve">Publicly listed in 2007. The relevant major transaction: in August 2024 the board agreed a takeover valuing the company at ~ </w:t>
      </w:r>
      <w:r w:rsidDel="00000000" w:rsidR="00000000" w:rsidRPr="00000000">
        <w:rPr>
          <w:rFonts w:ascii="Calibri" w:cs="Calibri" w:eastAsia="Calibri" w:hAnsi="Calibri"/>
          <w:b w:val="1"/>
          <w:bCs w:val="1"/>
          <w:rtl w:val="0"/>
        </w:rPr>
        <w:t xml:space="preserve">£5.4 billion</w:t>
      </w:r>
      <w:r w:rsidDel="00000000" w:rsidR="00000000" w:rsidRPr="00000000">
        <w:rPr>
          <w:rFonts w:ascii="Calibri" w:cs="Calibri" w:eastAsia="Calibri" w:hAnsi="Calibri"/>
          <w:rtl w:val="0"/>
        </w:rPr>
        <w:t xml:space="preserve"> by private equity bidders.</w:t>
      </w:r>
    </w:p>
    <w:p w:rsidR="00000000" w:rsidDel="00000000" w:rsidP="00000000" w:rsidRDefault="00000000" w:rsidRPr="00000000" w14:paraId="0000001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Lead investors</w:t>
      </w:r>
      <w:r w:rsidDel="00000000" w:rsidR="00000000" w:rsidRPr="00000000">
        <w:rPr>
          <w:rFonts w:ascii="Calibri" w:cs="Calibri" w:eastAsia="Calibri" w:hAnsi="Calibri"/>
          <w:rtl w:val="0"/>
        </w:rPr>
        <w:t xml:space="preserve">: In the takeover, the acquiring consortium includes CVC Capital Partners, Nordic Capital and a subsidiary of the Abu Dhabi Investment Authority.</w:t>
      </w:r>
      <w:r w:rsidDel="00000000" w:rsidR="00000000" w:rsidRPr="00000000">
        <w:rPr>
          <w:rtl w:val="0"/>
        </w:rPr>
      </w:r>
    </w:p>
    <w:p w:rsidR="00000000" w:rsidDel="00000000" w:rsidP="00000000" w:rsidRDefault="00000000" w:rsidRPr="00000000" w14:paraId="00000011">
      <w:pPr>
        <w:rPr>
          <w:rFonts w:ascii="Calibri" w:cs="Calibri" w:eastAsia="Calibri" w:hAnsi="Calibri"/>
        </w:rPr>
      </w:pPr>
      <w:r w:rsidDel="00000000" w:rsidR="00000000" w:rsidRPr="00000000">
        <w:rPr>
          <w:rFonts w:ascii="Calibri" w:cs="Calibri" w:eastAsia="Calibri" w:hAnsi="Calibri"/>
          <w:b w:val="1"/>
          <w:bCs w:val="1"/>
          <w:rtl w:val="0"/>
        </w:rPr>
        <w:t xml:space="preserve">Latest known valuation: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£5.4 billion</w:t>
      </w:r>
      <w:r w:rsidDel="00000000" w:rsidR="00000000" w:rsidRPr="00000000">
        <w:rPr>
          <w:rFonts w:ascii="Calibri" w:cs="Calibri" w:eastAsia="Calibri" w:hAnsi="Calibri"/>
          <w:rtl w:val="0"/>
        </w:rPr>
        <w:t xml:space="preserve"> agreed takeover price (August 2024) for the business.</w:t>
      </w:r>
    </w:p>
    <w:p w:rsidR="00000000" w:rsidDel="00000000" w:rsidP="00000000" w:rsidRDefault="00000000" w:rsidRPr="00000000" w14:paraId="00000012">
      <w:pP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1.3 User Base &amp; AUM</w:t>
      </w:r>
    </w:p>
    <w:p w:rsidR="00000000" w:rsidDel="00000000" w:rsidP="00000000" w:rsidRDefault="00000000" w:rsidRPr="00000000" w14:paraId="00000013">
      <w:pPr>
        <w:rPr>
          <w:rFonts w:ascii="Calibri" w:cs="Calibri" w:eastAsia="Calibri" w:hAnsi="Calibri"/>
        </w:rPr>
      </w:pPr>
      <w:r w:rsidDel="00000000" w:rsidR="00000000" w:rsidRPr="00000000">
        <w:rPr>
          <w:rFonts w:ascii="Calibri" w:cs="Calibri" w:eastAsia="Calibri" w:hAnsi="Calibri"/>
          <w:b w:val="1"/>
          <w:bCs w:val="1"/>
          <w:rtl w:val="0"/>
        </w:rPr>
        <w:t xml:space="preserve">Total registered users:</w:t>
      </w:r>
      <w:r w:rsidDel="00000000" w:rsidR="00000000" w:rsidRPr="00000000">
        <w:rPr>
          <w:rFonts w:ascii="Calibri" w:cs="Calibri" w:eastAsia="Calibri" w:hAnsi="Calibri"/>
          <w:rtl w:val="0"/>
        </w:rPr>
        <w:t xml:space="preserve"> The business cites “over 2 million clients” in the UK as part of its “over £172 bn by over 2 million clients”.</w:t>
      </w:r>
    </w:p>
    <w:p w:rsidR="00000000" w:rsidDel="00000000" w:rsidP="00000000" w:rsidRDefault="00000000" w:rsidRPr="00000000" w14:paraId="00000014">
      <w:pPr>
        <w:rPr>
          <w:rFonts w:ascii="Calibri" w:cs="Calibri" w:eastAsia="Calibri" w:hAnsi="Calibri"/>
        </w:rPr>
      </w:pPr>
      <w:r w:rsidDel="00000000" w:rsidR="00000000" w:rsidRPr="00000000">
        <w:rPr>
          <w:rFonts w:ascii="Calibri" w:cs="Calibri" w:eastAsia="Calibri" w:hAnsi="Calibri"/>
          <w:b w:val="1"/>
          <w:bCs w:val="1"/>
          <w:rtl w:val="0"/>
        </w:rPr>
        <w:t xml:space="preserve">Active users (if known):</w:t>
      </w:r>
      <w:r w:rsidDel="00000000" w:rsidR="00000000" w:rsidRPr="00000000">
        <w:rPr>
          <w:rFonts w:ascii="Calibri" w:cs="Calibri" w:eastAsia="Calibri" w:hAnsi="Calibri"/>
          <w:rtl w:val="0"/>
        </w:rPr>
        <w:t xml:space="preserve">  Specific monthly/daily actives not publicly disclosed.</w:t>
      </w:r>
    </w:p>
    <w:p w:rsidR="00000000" w:rsidDel="00000000" w:rsidP="00000000" w:rsidRDefault="00000000" w:rsidRPr="00000000" w14:paraId="00000015">
      <w:pPr>
        <w:rPr>
          <w:rFonts w:ascii="Calibri" w:cs="Calibri" w:eastAsia="Calibri" w:hAnsi="Calibri"/>
        </w:rPr>
      </w:pPr>
      <w:r w:rsidDel="00000000" w:rsidR="00000000" w:rsidRPr="00000000">
        <w:rPr>
          <w:rFonts w:ascii="Calibri" w:cs="Calibri" w:eastAsia="Calibri" w:hAnsi="Calibri"/>
          <w:b w:val="1"/>
          <w:bCs w:val="1"/>
          <w:rtl w:val="0"/>
        </w:rPr>
        <w:t xml:space="preserve">AUM:</w:t>
      </w:r>
      <w:r w:rsidDel="00000000" w:rsidR="00000000" w:rsidRPr="00000000">
        <w:rPr>
          <w:rFonts w:ascii="Calibri" w:cs="Calibri" w:eastAsia="Calibri" w:hAnsi="Calibri"/>
          <w:rtl w:val="0"/>
        </w:rPr>
        <w:t xml:space="preserve"> As of 30 June 2024, figures:</w:t>
      </w:r>
    </w:p>
    <w:p w:rsidR="00000000" w:rsidDel="00000000" w:rsidP="00000000" w:rsidRDefault="00000000" w:rsidRPr="00000000" w14:paraId="0000001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£60 billion+ in ISA AUA </w:t>
      </w:r>
    </w:p>
    <w:p w:rsidR="00000000" w:rsidDel="00000000" w:rsidP="00000000" w:rsidRDefault="00000000" w:rsidRPr="00000000" w14:paraId="0000001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£34 billion+ in Fund &amp; Share Account AUA </w:t>
      </w:r>
    </w:p>
    <w:p w:rsidR="00000000" w:rsidDel="00000000" w:rsidP="00000000" w:rsidRDefault="00000000" w:rsidRPr="00000000" w14:paraId="0000001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£49 billion+ in SIPP AUA </w:t>
      </w:r>
    </w:p>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Additionally: At 19 July 2024, HL hit £155.3 billion assets under administration.</w:t>
      </w:r>
    </w:p>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b w:val="1"/>
          <w:bCs w:val="1"/>
          <w:rtl w:val="0"/>
        </w:rPr>
        <w:t xml:space="preserve">Revenue / profitability (if available):</w:t>
      </w:r>
      <w:r w:rsidDel="00000000" w:rsidR="00000000" w:rsidRPr="00000000">
        <w:rPr>
          <w:rFonts w:ascii="Calibri" w:cs="Calibri" w:eastAsia="Calibri" w:hAnsi="Calibri"/>
          <w:rtl w:val="0"/>
        </w:rPr>
        <w:t xml:space="preserve"> For year ended 2024: revenue ~ </w:t>
      </w:r>
      <w:r w:rsidDel="00000000" w:rsidR="00000000" w:rsidRPr="00000000">
        <w:rPr>
          <w:rFonts w:ascii="Calibri" w:cs="Calibri" w:eastAsia="Calibri" w:hAnsi="Calibri"/>
          <w:b w:val="1"/>
          <w:bCs w:val="1"/>
          <w:rtl w:val="0"/>
        </w:rPr>
        <w:t xml:space="preserve">£764.9 million</w:t>
      </w:r>
      <w:r w:rsidDel="00000000" w:rsidR="00000000" w:rsidRPr="00000000">
        <w:rPr>
          <w:rFonts w:ascii="Calibri" w:cs="Calibri" w:eastAsia="Calibri" w:hAnsi="Calibri"/>
          <w:rtl w:val="0"/>
        </w:rPr>
        <w:t xml:space="preserve"> and net income ~ </w:t>
      </w:r>
      <w:r w:rsidDel="00000000" w:rsidR="00000000" w:rsidRPr="00000000">
        <w:rPr>
          <w:rFonts w:ascii="Calibri" w:cs="Calibri" w:eastAsia="Calibri" w:hAnsi="Calibri"/>
          <w:b w:val="1"/>
          <w:bCs w:val="1"/>
          <w:rtl w:val="0"/>
        </w:rPr>
        <w:t xml:space="preserve">£293.2 million</w:t>
      </w:r>
      <w:r w:rsidDel="00000000" w:rsidR="00000000" w:rsidRPr="00000000">
        <w:rPr>
          <w:rFonts w:ascii="Calibri" w:cs="Calibri" w:eastAsia="Calibri" w:hAnsi="Calibri"/>
          <w:rtl w:val="0"/>
        </w:rPr>
        <w:t xml:space="preserve"> according to aggregated data.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Notable metrics (e.g. transaction or growth stats):</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Net new business flows of £4.2 billion in the year ended June 2024.</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company is reported to be the “UK’s No.1 Direct-to-Client Platform for number of clients and assets” for Q1 2025.</w:t>
      </w:r>
    </w:p>
    <w:p w:rsidR="00000000" w:rsidDel="00000000" w:rsidP="00000000" w:rsidRDefault="00000000" w:rsidRPr="00000000" w14:paraId="0000001D">
      <w:pP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1.4 Geographic Reach &amp; Regulation</w:t>
      </w:r>
    </w:p>
    <w:p w:rsidR="00000000" w:rsidDel="00000000" w:rsidP="00000000" w:rsidRDefault="00000000" w:rsidRPr="00000000" w14:paraId="0000001E">
      <w:pPr>
        <w:rPr>
          <w:rFonts w:ascii="Calibri" w:cs="Calibri" w:eastAsia="Calibri" w:hAnsi="Calibri"/>
        </w:rPr>
      </w:pPr>
      <w:r w:rsidDel="00000000" w:rsidR="00000000" w:rsidRPr="00000000">
        <w:rPr>
          <w:rFonts w:ascii="Calibri" w:cs="Calibri" w:eastAsia="Calibri" w:hAnsi="Calibri"/>
          <w:b w:val="1"/>
          <w:bCs w:val="1"/>
          <w:rtl w:val="0"/>
        </w:rPr>
        <w:t xml:space="preserve">Primary target markets (countries/regions):</w:t>
      </w:r>
      <w:r w:rsidDel="00000000" w:rsidR="00000000" w:rsidRPr="00000000">
        <w:rPr>
          <w:rFonts w:ascii="Calibri" w:cs="Calibri" w:eastAsia="Calibri" w:hAnsi="Calibri"/>
          <w:rtl w:val="0"/>
        </w:rPr>
        <w:t xml:space="preserve">  United Kingdom (domestic UK retail investors) primarily. (No major international footprint dominating as of public data).</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color w:val="101818"/>
          <w:sz w:val="24"/>
          <w:szCs w:val="24"/>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Licenses / regulators:</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Operates under UK regulation via the Financial Conduct Authority (FCA). Hargreaves Lansdown is authorised and regulated by the FCA.</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color w:val="101818"/>
          <w:sz w:val="24"/>
          <w:szCs w:val="24"/>
        </w:rPr>
      </w:pPr>
      <w:r w:rsidDel="00000000" w:rsidR="00000000" w:rsidRPr="00000000">
        <w:rPr>
          <w:rtl w:val="0"/>
        </w:rPr>
      </w:r>
    </w:p>
    <w:p w:rsidR="00000000" w:rsidDel="00000000" w:rsidP="00000000" w:rsidRDefault="00000000" w:rsidRPr="00000000" w14:paraId="0000002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Regulatory events / controversies: </w:t>
      </w:r>
    </w:p>
    <w:p w:rsidR="00000000" w:rsidDel="00000000" w:rsidP="00000000" w:rsidRDefault="00000000" w:rsidRPr="00000000" w14:paraId="00000022">
      <w:pPr>
        <w:numPr>
          <w:ilvl w:val="0"/>
          <w:numId w:val="8"/>
        </w:numPr>
        <w:spacing w:after="0" w:afterAutospacing="0"/>
        <w:ind w:left="720" w:hanging="360"/>
        <w:rPr>
          <w:rFonts w:ascii="Calibri" w:cs="Calibri" w:eastAsia="Calibri" w:hAnsi="Calibri"/>
          <w:u w:val="none"/>
        </w:rPr>
      </w:pPr>
      <w:hyperlink r:id="rId7">
        <w:r w:rsidDel="00000000" w:rsidR="00000000" w:rsidRPr="00000000">
          <w:rPr>
            <w:rFonts w:ascii="Calibri" w:cs="Calibri" w:eastAsia="Calibri" w:hAnsi="Calibri"/>
            <w:color w:val="1155cc"/>
            <w:u w:val="single"/>
            <w:rtl w:val="0"/>
          </w:rPr>
          <w:t xml:space="preserve">https://www.telegraph.co.uk/money/investing/stocks-shares/hargreaves-lansdown-hit-tech-glitch-amid-market-turmoil/</w:t>
        </w:r>
      </w:hyperlink>
      <w:r w:rsidDel="00000000" w:rsidR="00000000" w:rsidRPr="00000000">
        <w:rPr>
          <w:rtl w:val="0"/>
        </w:rPr>
      </w:r>
    </w:p>
    <w:p w:rsidR="00000000" w:rsidDel="00000000" w:rsidP="00000000" w:rsidRDefault="00000000" w:rsidRPr="00000000" w14:paraId="00000023">
      <w:pPr>
        <w:numPr>
          <w:ilvl w:val="0"/>
          <w:numId w:val="8"/>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The company was involved in the fallout from the collapsed fund of Neil Woodford (Woodford Equity Income Fund) which was heavily recommended via HL’s “Wealth 50” list; this caused reputational damage. </w:t>
      </w:r>
    </w:p>
    <w:p w:rsidR="00000000" w:rsidDel="00000000" w:rsidP="00000000" w:rsidRDefault="00000000" w:rsidRPr="00000000" w14:paraId="00000024">
      <w:pPr>
        <w:numPr>
          <w:ilvl w:val="0"/>
          <w:numId w:val="8"/>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There are reports of the company’s technology infrastructure being under pressure (outages during high volume periods) and regulatory scrutiny from the FCA around cash interest paid on clients’ accounts. </w:t>
      </w:r>
    </w:p>
    <w:p w:rsidR="00000000" w:rsidDel="00000000" w:rsidP="00000000" w:rsidRDefault="00000000" w:rsidRPr="00000000" w14:paraId="00000025">
      <w:pP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1.5 Mission &amp; USP</w:t>
      </w:r>
    </w:p>
    <w:p w:rsidR="00000000" w:rsidDel="00000000" w:rsidP="00000000" w:rsidRDefault="00000000" w:rsidRPr="00000000" w14:paraId="00000026">
      <w:pPr>
        <w:rPr>
          <w:rFonts w:ascii="Calibri" w:cs="Calibri" w:eastAsia="Calibri" w:hAnsi="Calibri"/>
        </w:rPr>
      </w:pPr>
      <w:r w:rsidDel="00000000" w:rsidR="00000000" w:rsidRPr="00000000">
        <w:rPr>
          <w:rFonts w:ascii="Calibri" w:cs="Calibri" w:eastAsia="Calibri" w:hAnsi="Calibri"/>
          <w:b w:val="1"/>
          <w:bCs w:val="1"/>
          <w:rtl w:val="0"/>
        </w:rPr>
        <w:t xml:space="preserve">Mission (paraphrased):</w:t>
      </w:r>
      <w:r w:rsidDel="00000000" w:rsidR="00000000" w:rsidRPr="00000000">
        <w:rPr>
          <w:rFonts w:ascii="Calibri" w:cs="Calibri" w:eastAsia="Calibri" w:hAnsi="Calibri"/>
          <w:rtl w:val="0"/>
        </w:rPr>
        <w:t xml:space="preserve"> To support private investors by helping them </w:t>
      </w:r>
      <w:r w:rsidDel="00000000" w:rsidR="00000000" w:rsidRPr="00000000">
        <w:rPr>
          <w:rFonts w:ascii="Calibri" w:cs="Calibri" w:eastAsia="Calibri" w:hAnsi="Calibri"/>
          <w:b w:val="1"/>
          <w:bCs w:val="1"/>
          <w:rtl w:val="0"/>
        </w:rPr>
        <w:t xml:space="preserve">save and invest for a better future</w:t>
      </w:r>
      <w:r w:rsidDel="00000000" w:rsidR="00000000" w:rsidRPr="00000000">
        <w:rPr>
          <w:rFonts w:ascii="Calibri" w:cs="Calibri" w:eastAsia="Calibri" w:hAnsi="Calibri"/>
          <w:rtl w:val="0"/>
        </w:rPr>
        <w:t xml:space="preserve">, giving them access to tools, information and service that allow them to take control of their financial lives.</w:t>
      </w:r>
    </w:p>
    <w:p w:rsidR="00000000" w:rsidDel="00000000" w:rsidP="00000000" w:rsidRDefault="00000000" w:rsidRPr="00000000" w14:paraId="00000027">
      <w:pPr>
        <w:tabs>
          <w:tab w:val="left" w:leader="none" w:pos="5280"/>
        </w:tabs>
        <w:rPr>
          <w:rFonts w:ascii="Calibri" w:cs="Calibri" w:eastAsia="Calibri" w:hAnsi="Calibri"/>
          <w:b w:val="1"/>
          <w:bCs w:val="1"/>
        </w:rPr>
      </w:pPr>
      <w:r w:rsidDel="00000000" w:rsidR="00000000" w:rsidRPr="00000000">
        <w:rPr>
          <w:rFonts w:ascii="Calibri" w:cs="Calibri" w:eastAsia="Calibri" w:hAnsi="Calibri"/>
          <w:b w:val="1"/>
          <w:bCs w:val="1"/>
          <w:rtl w:val="0"/>
        </w:rPr>
        <w:t xml:space="preserve">USP (what they claim makes them different): </w:t>
      </w:r>
    </w:p>
    <w:p w:rsidR="00000000" w:rsidDel="00000000" w:rsidP="00000000" w:rsidRDefault="00000000" w:rsidRPr="00000000" w14:paraId="00000028">
      <w:pPr>
        <w:tabs>
          <w:tab w:val="left" w:leader="none" w:pos="5280"/>
        </w:tabs>
        <w:rPr>
          <w:rFonts w:ascii="Calibri" w:cs="Calibri" w:eastAsia="Calibri" w:hAnsi="Calibri"/>
        </w:rPr>
      </w:pPr>
      <w:r w:rsidDel="00000000" w:rsidR="00000000" w:rsidRPr="00000000">
        <w:rPr>
          <w:rFonts w:ascii="Calibri" w:cs="Calibri" w:eastAsia="Calibri" w:hAnsi="Calibri"/>
          <w:rtl w:val="0"/>
        </w:rPr>
        <w:t xml:space="preserve">A comprehensive investment platform for UK private investors combining funds, shares, ISAs, SIPPs, savings — all in one place.</w:t>
      </w:r>
    </w:p>
    <w:p w:rsidR="00000000" w:rsidDel="00000000" w:rsidP="00000000" w:rsidRDefault="00000000" w:rsidRPr="00000000" w14:paraId="00000029">
      <w:pPr>
        <w:tabs>
          <w:tab w:val="left" w:leader="none" w:pos="5280"/>
        </w:tabs>
        <w:rPr>
          <w:rFonts w:ascii="Calibri" w:cs="Calibri" w:eastAsia="Calibri" w:hAnsi="Calibri"/>
        </w:rPr>
      </w:pPr>
      <w:r w:rsidDel="00000000" w:rsidR="00000000" w:rsidRPr="00000000">
        <w:rPr>
          <w:rFonts w:ascii="Calibri" w:cs="Calibri" w:eastAsia="Calibri" w:hAnsi="Calibri"/>
          <w:rtl w:val="0"/>
        </w:rPr>
        <w:t xml:space="preserve">High-service premium offering: emphasises strong research, user support, broad investment choice and brand trust.</w:t>
      </w:r>
    </w:p>
    <w:p w:rsidR="00000000" w:rsidDel="00000000" w:rsidP="00000000" w:rsidRDefault="00000000" w:rsidRPr="00000000" w14:paraId="0000002A">
      <w:pPr>
        <w:tabs>
          <w:tab w:val="left" w:leader="none" w:pos="5280"/>
        </w:tabs>
        <w:rPr>
          <w:rFonts w:ascii="Calibri" w:cs="Calibri" w:eastAsia="Calibri" w:hAnsi="Calibri"/>
        </w:rPr>
      </w:pPr>
      <w:r w:rsidDel="00000000" w:rsidR="00000000" w:rsidRPr="00000000">
        <w:rPr>
          <w:rFonts w:ascii="Calibri" w:cs="Calibri" w:eastAsia="Calibri" w:hAnsi="Calibri"/>
          <w:rtl w:val="0"/>
        </w:rPr>
        <w:t xml:space="preserve">Recognised as the UK’s leading investor platform (“UK’s No.1 platform for private investors”).</w:t>
      </w:r>
    </w:p>
    <w:p w:rsidR="00000000" w:rsidDel="00000000" w:rsidP="00000000" w:rsidRDefault="00000000" w:rsidRPr="00000000" w14:paraId="0000002B">
      <w:pPr>
        <w:pStyle w:val="Heading2"/>
        <w:rPr>
          <w:rFonts w:ascii="Calibri" w:cs="Calibri" w:eastAsia="Calibri" w:hAnsi="Calibri"/>
        </w:rPr>
      </w:pPr>
      <w:r w:rsidDel="00000000" w:rsidR="00000000" w:rsidRPr="00000000">
        <w:rPr>
          <w:rtl w:val="0"/>
        </w:rPr>
      </w:r>
    </w:p>
    <w:p w:rsidR="00000000" w:rsidDel="00000000" w:rsidP="00000000" w:rsidRDefault="00000000" w:rsidRPr="00000000" w14:paraId="0000002C">
      <w:pPr>
        <w:pStyle w:val="Heading2"/>
        <w:rPr>
          <w:rFonts w:ascii="Calibri" w:cs="Calibri" w:eastAsia="Calibri" w:hAnsi="Calibri"/>
        </w:rPr>
      </w:pPr>
      <w:r w:rsidDel="00000000" w:rsidR="00000000" w:rsidRPr="00000000">
        <w:rPr>
          <w:rFonts w:ascii="Calibri" w:cs="Calibri" w:eastAsia="Calibri" w:hAnsi="Calibri"/>
          <w:rtl w:val="0"/>
        </w:rPr>
        <w:t xml:space="preserve">2. Onboarding &amp; First Impressions (Phase A – 2.2)</w:t>
      </w:r>
    </w:p>
    <w:p w:rsidR="00000000" w:rsidDel="00000000" w:rsidP="00000000" w:rsidRDefault="00000000" w:rsidRPr="00000000" w14:paraId="0000002D">
      <w:pP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2.1 Download &amp; Installation</w:t>
      </w:r>
    </w:p>
    <w:p w:rsidR="00000000" w:rsidDel="00000000" w:rsidP="00000000" w:rsidRDefault="00000000" w:rsidRPr="00000000" w14:paraId="0000002E">
      <w:pPr>
        <w:rPr>
          <w:rFonts w:ascii="Calibri" w:cs="Calibri" w:eastAsia="Calibri" w:hAnsi="Calibri"/>
        </w:rPr>
      </w:pPr>
      <w:r w:rsidDel="00000000" w:rsidR="00000000" w:rsidRPr="00000000">
        <w:rPr>
          <w:rFonts w:ascii="Calibri" w:cs="Calibri" w:eastAsia="Calibri" w:hAnsi="Calibri"/>
          <w:b w:val="1"/>
          <w:bCs w:val="1"/>
          <w:rtl w:val="0"/>
        </w:rPr>
        <w:t xml:space="preserve">Device &amp; OS used:</w:t>
      </w:r>
      <w:r w:rsidDel="00000000" w:rsidR="00000000" w:rsidRPr="00000000">
        <w:rPr>
          <w:rFonts w:ascii="Calibri" w:cs="Calibri" w:eastAsia="Calibri" w:hAnsi="Calibri"/>
          <w:rtl w:val="0"/>
        </w:rPr>
        <w:t xml:space="preserve"> iPhone 14 Pro, 26.1</w:t>
      </w:r>
    </w:p>
    <w:p w:rsidR="00000000" w:rsidDel="00000000" w:rsidP="00000000" w:rsidRDefault="00000000" w:rsidRPr="00000000" w14:paraId="0000002F">
      <w:pPr>
        <w:rPr>
          <w:rFonts w:ascii="Calibri" w:cs="Calibri" w:eastAsia="Calibri" w:hAnsi="Calibri"/>
        </w:rPr>
      </w:pPr>
      <w:r w:rsidDel="00000000" w:rsidR="00000000" w:rsidRPr="00000000">
        <w:rPr>
          <w:rFonts w:ascii="Calibri" w:cs="Calibri" w:eastAsia="Calibri" w:hAnsi="Calibri"/>
          <w:b w:val="1"/>
          <w:bCs w:val="1"/>
          <w:rtl w:val="0"/>
        </w:rPr>
        <w:t xml:space="preserve">App version:</w:t>
      </w:r>
      <w:r w:rsidDel="00000000" w:rsidR="00000000" w:rsidRPr="00000000">
        <w:rPr>
          <w:rFonts w:ascii="Calibri" w:cs="Calibri" w:eastAsia="Calibri" w:hAnsi="Calibri"/>
          <w:rtl w:val="0"/>
        </w:rPr>
        <w:t xml:space="preserve"> 2025.46.0 </w:t>
      </w:r>
    </w:p>
    <w:p w:rsidR="00000000" w:rsidDel="00000000" w:rsidP="00000000" w:rsidRDefault="00000000" w:rsidRPr="00000000" w14:paraId="00000030">
      <w:pPr>
        <w:rPr>
          <w:rFonts w:ascii="Calibri" w:cs="Calibri" w:eastAsia="Calibri" w:hAnsi="Calibri"/>
        </w:rPr>
      </w:pPr>
      <w:r w:rsidDel="00000000" w:rsidR="00000000" w:rsidRPr="00000000">
        <w:rPr>
          <w:rFonts w:ascii="Calibri" w:cs="Calibri" w:eastAsia="Calibri" w:hAnsi="Calibri"/>
          <w:b w:val="1"/>
          <w:bCs w:val="1"/>
          <w:rtl w:val="0"/>
        </w:rPr>
        <w:t xml:space="preserve">File size (approx):</w:t>
      </w:r>
      <w:r w:rsidDel="00000000" w:rsidR="00000000" w:rsidRPr="00000000">
        <w:rPr>
          <w:rFonts w:ascii="Calibri" w:cs="Calibri" w:eastAsia="Calibri" w:hAnsi="Calibri"/>
          <w:rtl w:val="0"/>
        </w:rPr>
        <w:t xml:space="preserve"> 556.1 MB </w:t>
      </w:r>
    </w:p>
    <w:p w:rsidR="00000000" w:rsidDel="00000000" w:rsidP="00000000" w:rsidRDefault="00000000" w:rsidRPr="00000000" w14:paraId="0000003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Permissions requested (tick):</w:t>
      </w:r>
    </w:p>
    <w:p w:rsidR="00000000" w:rsidDel="00000000" w:rsidP="00000000" w:rsidRDefault="00000000" w:rsidRPr="00000000" w14:paraId="0000003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Camera [ ] </w:t>
      </w:r>
    </w:p>
    <w:p w:rsidR="00000000" w:rsidDel="00000000" w:rsidP="00000000" w:rsidRDefault="00000000" w:rsidRPr="00000000" w14:paraId="0000003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Microphone [ ] </w:t>
      </w:r>
    </w:p>
    <w:p w:rsidR="00000000" w:rsidDel="00000000" w:rsidP="00000000" w:rsidRDefault="00000000" w:rsidRPr="00000000" w14:paraId="0000003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Location [ ] </w:t>
      </w:r>
    </w:p>
    <w:p w:rsidR="00000000" w:rsidDel="00000000" w:rsidP="00000000" w:rsidRDefault="00000000" w:rsidRPr="00000000" w14:paraId="0000003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Notifications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Tracking/Ad ID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Other: __________</w:t>
      </w:r>
    </w:p>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b w:val="1"/>
          <w:bCs w:val="1"/>
          <w:rtl w:val="0"/>
        </w:rPr>
        <w:t xml:space="preserve">Risk warnings shown on first launch?</w:t>
      </w:r>
      <w:r w:rsidDel="00000000" w:rsidR="00000000" w:rsidRPr="00000000">
        <w:rPr>
          <w:rFonts w:ascii="Calibri" w:cs="Calibri" w:eastAsia="Calibri" w:hAnsi="Calibri"/>
          <w:rtl w:val="0"/>
        </w:rPr>
        <w:t xml:space="preserve"> [/] Yes   [ ] No</w:t>
      </w:r>
    </w:p>
    <w:p w:rsidR="00000000" w:rsidDel="00000000" w:rsidP="00000000" w:rsidRDefault="00000000" w:rsidRPr="00000000" w14:paraId="00000039">
      <w:pP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2.2 Account Creation &amp; KYC</w:t>
      </w:r>
    </w:p>
    <w:p w:rsidR="00000000" w:rsidDel="00000000" w:rsidP="00000000" w:rsidRDefault="00000000" w:rsidRPr="00000000" w14:paraId="0000003A">
      <w:pPr>
        <w:rPr>
          <w:rFonts w:ascii="Calibri" w:cs="Calibri" w:eastAsia="Calibri" w:hAnsi="Calibri"/>
        </w:rPr>
      </w:pPr>
      <w:r w:rsidDel="00000000" w:rsidR="00000000" w:rsidRPr="00000000">
        <w:rPr>
          <w:rFonts w:ascii="Calibri" w:cs="Calibri" w:eastAsia="Calibri" w:hAnsi="Calibri"/>
          <w:b w:val="1"/>
          <w:bCs w:val="1"/>
          <w:rtl w:val="0"/>
        </w:rPr>
        <w:t xml:space="preserve">Time to complete onboarding (mins): </w:t>
      </w:r>
      <w:r w:rsidDel="00000000" w:rsidR="00000000" w:rsidRPr="00000000">
        <w:rPr>
          <w:rFonts w:ascii="Calibri" w:cs="Calibri" w:eastAsia="Calibri" w:hAnsi="Calibri"/>
          <w:rtl w:val="0"/>
        </w:rPr>
        <w:t xml:space="preserve">10-20 mins</w:t>
      </w:r>
    </w:p>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b w:val="1"/>
          <w:bCs w:val="1"/>
          <w:rtl w:val="0"/>
        </w:rPr>
        <w:t xml:space="preserve">Number of screens / steps: </w:t>
      </w:r>
      <w:r w:rsidDel="00000000" w:rsidR="00000000" w:rsidRPr="00000000">
        <w:rPr>
          <w:rFonts w:ascii="Calibri" w:cs="Calibri" w:eastAsia="Calibri" w:hAnsi="Calibri"/>
          <w:rtl w:val="0"/>
        </w:rPr>
        <w:t xml:space="preserve">12-18 steps </w:t>
      </w:r>
    </w:p>
    <w:p w:rsidR="00000000" w:rsidDel="00000000" w:rsidP="00000000" w:rsidRDefault="00000000" w:rsidRPr="00000000" w14:paraId="0000003C">
      <w:pPr>
        <w:rPr>
          <w:rFonts w:ascii="Calibri" w:cs="Calibri" w:eastAsia="Calibri" w:hAnsi="Calibri"/>
        </w:rPr>
      </w:pPr>
      <w:r w:rsidDel="00000000" w:rsidR="00000000" w:rsidRPr="00000000">
        <w:rPr>
          <w:rFonts w:ascii="Calibri" w:cs="Calibri" w:eastAsia="Calibri" w:hAnsi="Calibri"/>
          <w:rtl w:val="0"/>
        </w:rPr>
        <w:t xml:space="preserve">When you’re opening an account it explains that before opening an account you need to be: </w:t>
      </w:r>
    </w:p>
    <w:p w:rsidR="00000000" w:rsidDel="00000000" w:rsidP="00000000" w:rsidRDefault="00000000" w:rsidRPr="00000000" w14:paraId="0000003D">
      <w:pPr>
        <w:numPr>
          <w:ilvl w:val="0"/>
          <w:numId w:val="2"/>
        </w:numPr>
        <w:spacing w:after="0" w:afterAutospacing="0"/>
        <w:ind w:left="720" w:hanging="360"/>
        <w:rPr>
          <w:rFonts w:ascii="Calibri" w:cs="Calibri" w:eastAsia="Calibri" w:hAnsi="Calibri"/>
        </w:rPr>
      </w:pPr>
      <w:r w:rsidDel="00000000" w:rsidR="00000000" w:rsidRPr="00000000">
        <w:rPr>
          <w:rFonts w:ascii="Calibri" w:cs="Calibri" w:eastAsia="Calibri" w:hAnsi="Calibri"/>
          <w:rtl w:val="0"/>
        </w:rPr>
        <w:t xml:space="preserve">Comfortable building and maintaining your own portfolio </w:t>
      </w:r>
    </w:p>
    <w:p w:rsidR="00000000" w:rsidDel="00000000" w:rsidP="00000000" w:rsidRDefault="00000000" w:rsidRPr="00000000" w14:paraId="0000003E">
      <w:pPr>
        <w:numPr>
          <w:ilvl w:val="0"/>
          <w:numId w:val="2"/>
        </w:numPr>
        <w:spacing w:after="0" w:afterAutospacing="0"/>
        <w:ind w:left="720" w:hanging="360"/>
        <w:rPr>
          <w:rFonts w:ascii="Calibri" w:cs="Calibri" w:eastAsia="Calibri" w:hAnsi="Calibri"/>
        </w:rPr>
      </w:pPr>
      <w:r w:rsidDel="00000000" w:rsidR="00000000" w:rsidRPr="00000000">
        <w:rPr>
          <w:rFonts w:ascii="Calibri" w:cs="Calibri" w:eastAsia="Calibri" w:hAnsi="Calibri"/>
          <w:rtl w:val="0"/>
        </w:rPr>
        <w:t xml:space="preserve">Confident making long-term investment decisions</w:t>
      </w:r>
    </w:p>
    <w:p w:rsidR="00000000" w:rsidDel="00000000" w:rsidP="00000000" w:rsidRDefault="00000000" w:rsidRPr="00000000" w14:paraId="0000003F">
      <w:pPr>
        <w:numPr>
          <w:ilvl w:val="0"/>
          <w:numId w:val="2"/>
        </w:numPr>
        <w:spacing w:after="0" w:afterAutospacing="0"/>
        <w:ind w:left="720" w:hanging="360"/>
        <w:rPr>
          <w:rFonts w:ascii="Calibri" w:cs="Calibri" w:eastAsia="Calibri" w:hAnsi="Calibri"/>
        </w:rPr>
      </w:pPr>
      <w:r w:rsidDel="00000000" w:rsidR="00000000" w:rsidRPr="00000000">
        <w:rPr>
          <w:rFonts w:ascii="Calibri" w:cs="Calibri" w:eastAsia="Calibri" w:hAnsi="Calibri"/>
          <w:rtl w:val="0"/>
        </w:rPr>
        <w:t xml:space="preserve">Free from significant debt</w:t>
      </w:r>
    </w:p>
    <w:p w:rsidR="00000000" w:rsidDel="00000000" w:rsidP="00000000" w:rsidRDefault="00000000" w:rsidRPr="00000000" w14:paraId="00000040">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Clear on their charges and how you’ll be affected by tax</w:t>
      </w:r>
    </w:p>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rtl w:val="0"/>
        </w:rPr>
        <w:t xml:space="preserve">What you need to know: </w:t>
      </w:r>
    </w:p>
    <w:p w:rsidR="00000000" w:rsidDel="00000000" w:rsidP="00000000" w:rsidRDefault="00000000" w:rsidRPr="00000000" w14:paraId="00000042">
      <w:pPr>
        <w:numPr>
          <w:ilvl w:val="0"/>
          <w:numId w:val="21"/>
        </w:numPr>
        <w:spacing w:after="0" w:afterAutospacing="0"/>
        <w:ind w:left="720" w:hanging="360"/>
        <w:rPr>
          <w:rFonts w:ascii="Calibri" w:cs="Calibri" w:eastAsia="Calibri" w:hAnsi="Calibri"/>
        </w:rPr>
      </w:pPr>
      <w:r w:rsidDel="00000000" w:rsidR="00000000" w:rsidRPr="00000000">
        <w:rPr>
          <w:rFonts w:ascii="Calibri" w:cs="Calibri" w:eastAsia="Calibri" w:hAnsi="Calibri"/>
          <w:rtl w:val="0"/>
        </w:rPr>
        <w:t xml:space="preserve">Investments can go up and down in value </w:t>
      </w:r>
    </w:p>
    <w:p w:rsidR="00000000" w:rsidDel="00000000" w:rsidP="00000000" w:rsidRDefault="00000000" w:rsidRPr="00000000" w14:paraId="00000043">
      <w:pPr>
        <w:numPr>
          <w:ilvl w:val="0"/>
          <w:numId w:val="21"/>
        </w:numPr>
        <w:ind w:left="720" w:hanging="360"/>
        <w:rPr>
          <w:rFonts w:ascii="Calibri" w:cs="Calibri" w:eastAsia="Calibri" w:hAnsi="Calibri"/>
        </w:rPr>
      </w:pPr>
      <w:r w:rsidDel="00000000" w:rsidR="00000000" w:rsidRPr="00000000">
        <w:rPr>
          <w:rFonts w:ascii="Calibri" w:cs="Calibri" w:eastAsia="Calibri" w:hAnsi="Calibri"/>
          <w:rtl w:val="0"/>
        </w:rPr>
        <w:t xml:space="preserve">To open an HL Fund Account </w:t>
      </w:r>
    </w:p>
    <w:p w:rsidR="00000000" w:rsidDel="00000000" w:rsidP="00000000" w:rsidRDefault="00000000" w:rsidRPr="00000000" w14:paraId="00000044">
      <w:pPr>
        <w:rPr>
          <w:rFonts w:ascii="Calibri" w:cs="Calibri" w:eastAsia="Calibri" w:hAnsi="Calibri"/>
        </w:rPr>
      </w:pPr>
      <w:r w:rsidDel="00000000" w:rsidR="00000000" w:rsidRPr="00000000">
        <w:rPr>
          <w:rFonts w:ascii="Calibri" w:cs="Calibri" w:eastAsia="Calibri" w:hAnsi="Calibri"/>
          <w:rtl w:val="0"/>
        </w:rPr>
        <w:t xml:space="preserve">What you need to have in hand:</w:t>
      </w:r>
    </w:p>
    <w:p w:rsidR="00000000" w:rsidDel="00000000" w:rsidP="00000000" w:rsidRDefault="00000000" w:rsidRPr="00000000" w14:paraId="00000045">
      <w:pPr>
        <w:numPr>
          <w:ilvl w:val="0"/>
          <w:numId w:val="3"/>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Personal details (name, DOB, address history)</w:t>
      </w:r>
    </w:p>
    <w:p w:rsidR="00000000" w:rsidDel="00000000" w:rsidP="00000000" w:rsidRDefault="00000000" w:rsidRPr="00000000" w14:paraId="00000046">
      <w:pPr>
        <w:numPr>
          <w:ilvl w:val="0"/>
          <w:numId w:val="3"/>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National Insurance number (UK)</w:t>
      </w:r>
    </w:p>
    <w:p w:rsidR="00000000" w:rsidDel="00000000" w:rsidP="00000000" w:rsidRDefault="00000000" w:rsidRPr="00000000" w14:paraId="00000047">
      <w:pPr>
        <w:numPr>
          <w:ilvl w:val="0"/>
          <w:numId w:val="3"/>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Bank account details</w:t>
      </w:r>
    </w:p>
    <w:p w:rsidR="00000000" w:rsidDel="00000000" w:rsidP="00000000" w:rsidRDefault="00000000" w:rsidRPr="00000000" w14:paraId="00000048">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ID (passport or driving licence)</w:t>
      </w:r>
    </w:p>
    <w:p w:rsidR="00000000" w:rsidDel="00000000" w:rsidP="00000000" w:rsidRDefault="00000000" w:rsidRPr="00000000" w14:paraId="00000049">
      <w:pPr>
        <w:rPr>
          <w:rFonts w:ascii="Calibri" w:cs="Calibri" w:eastAsia="Calibri" w:hAnsi="Calibri"/>
        </w:rPr>
      </w:pPr>
      <w:r w:rsidDel="00000000" w:rsidR="00000000" w:rsidRPr="00000000">
        <w:rPr>
          <w:rFonts w:ascii="Calibri" w:cs="Calibri" w:eastAsia="Calibri" w:hAnsi="Calibri"/>
          <w:rtl w:val="0"/>
        </w:rPr>
        <w:t xml:space="preserve">Steps: </w:t>
      </w:r>
    </w:p>
    <w:p w:rsidR="00000000" w:rsidDel="00000000" w:rsidP="00000000" w:rsidRDefault="00000000" w:rsidRPr="00000000" w14:paraId="0000004A">
      <w:pPr>
        <w:numPr>
          <w:ilvl w:val="0"/>
          <w:numId w:val="11"/>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Intro/eligibility disclaimer</w:t>
      </w:r>
    </w:p>
    <w:p w:rsidR="00000000" w:rsidDel="00000000" w:rsidP="00000000" w:rsidRDefault="00000000" w:rsidRPr="00000000" w14:paraId="0000004B">
      <w:pPr>
        <w:numPr>
          <w:ilvl w:val="0"/>
          <w:numId w:val="11"/>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Account type selection </w:t>
      </w:r>
    </w:p>
    <w:p w:rsidR="00000000" w:rsidDel="00000000" w:rsidP="00000000" w:rsidRDefault="00000000" w:rsidRPr="00000000" w14:paraId="0000004C">
      <w:pPr>
        <w:numPr>
          <w:ilvl w:val="0"/>
          <w:numId w:val="11"/>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Risk / responsibility statements</w:t>
      </w:r>
    </w:p>
    <w:p w:rsidR="00000000" w:rsidDel="00000000" w:rsidP="00000000" w:rsidRDefault="00000000" w:rsidRPr="00000000" w14:paraId="0000004D">
      <w:pPr>
        <w:numPr>
          <w:ilvl w:val="0"/>
          <w:numId w:val="11"/>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Personal details (name, DOB) </w:t>
      </w:r>
    </w:p>
    <w:p w:rsidR="00000000" w:rsidDel="00000000" w:rsidP="00000000" w:rsidRDefault="00000000" w:rsidRPr="00000000" w14:paraId="0000004E">
      <w:pPr>
        <w:numPr>
          <w:ilvl w:val="0"/>
          <w:numId w:val="11"/>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Address history</w:t>
      </w:r>
    </w:p>
    <w:p w:rsidR="00000000" w:rsidDel="00000000" w:rsidP="00000000" w:rsidRDefault="00000000" w:rsidRPr="00000000" w14:paraId="0000004F">
      <w:pPr>
        <w:numPr>
          <w:ilvl w:val="0"/>
          <w:numId w:val="11"/>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Contact details </w:t>
      </w:r>
    </w:p>
    <w:p w:rsidR="00000000" w:rsidDel="00000000" w:rsidP="00000000" w:rsidRDefault="00000000" w:rsidRPr="00000000" w14:paraId="00000050">
      <w:pPr>
        <w:numPr>
          <w:ilvl w:val="0"/>
          <w:numId w:val="11"/>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Tax residency / NI number </w:t>
      </w:r>
    </w:p>
    <w:p w:rsidR="00000000" w:rsidDel="00000000" w:rsidP="00000000" w:rsidRDefault="00000000" w:rsidRPr="00000000" w14:paraId="00000051">
      <w:pPr>
        <w:numPr>
          <w:ilvl w:val="0"/>
          <w:numId w:val="11"/>
        </w:numPr>
        <w:spacing w:after="0" w:afterAutospacing="0"/>
        <w:ind w:left="720" w:hanging="360"/>
        <w:rPr>
          <w:rFonts w:ascii="Calibri" w:cs="Calibri" w:eastAsia="Calibri" w:hAnsi="Calibri"/>
        </w:rPr>
      </w:pPr>
      <w:r w:rsidDel="00000000" w:rsidR="00000000" w:rsidRPr="00000000">
        <w:rPr>
          <w:rFonts w:ascii="Calibri" w:cs="Calibri" w:eastAsia="Calibri" w:hAnsi="Calibri"/>
          <w:rtl w:val="0"/>
        </w:rPr>
        <w:t xml:space="preserve">Investment knowledge / experience</w:t>
      </w:r>
    </w:p>
    <w:p w:rsidR="00000000" w:rsidDel="00000000" w:rsidP="00000000" w:rsidRDefault="00000000" w:rsidRPr="00000000" w14:paraId="00000052">
      <w:pPr>
        <w:numPr>
          <w:ilvl w:val="0"/>
          <w:numId w:val="11"/>
        </w:numPr>
        <w:spacing w:after="0" w:afterAutospacing="0"/>
        <w:ind w:left="720" w:hanging="360"/>
        <w:rPr>
          <w:rFonts w:ascii="Calibri" w:cs="Calibri" w:eastAsia="Calibri" w:hAnsi="Calibri"/>
        </w:rPr>
      </w:pPr>
      <w:r w:rsidDel="00000000" w:rsidR="00000000" w:rsidRPr="00000000">
        <w:rPr>
          <w:rFonts w:ascii="Calibri" w:cs="Calibri" w:eastAsia="Calibri" w:hAnsi="Calibri"/>
          <w:rtl w:val="0"/>
        </w:rPr>
        <w:t xml:space="preserve">Bank details</w:t>
      </w:r>
    </w:p>
    <w:p w:rsidR="00000000" w:rsidDel="00000000" w:rsidP="00000000" w:rsidRDefault="00000000" w:rsidRPr="00000000" w14:paraId="00000053">
      <w:pPr>
        <w:numPr>
          <w:ilvl w:val="0"/>
          <w:numId w:val="11"/>
        </w:numPr>
        <w:spacing w:after="0" w:afterAutospacing="0"/>
        <w:ind w:left="720" w:hanging="360"/>
        <w:rPr>
          <w:rFonts w:ascii="Calibri" w:cs="Calibri" w:eastAsia="Calibri" w:hAnsi="Calibri"/>
        </w:rPr>
      </w:pPr>
      <w:r w:rsidDel="00000000" w:rsidR="00000000" w:rsidRPr="00000000">
        <w:rPr>
          <w:rFonts w:ascii="Calibri" w:cs="Calibri" w:eastAsia="Calibri" w:hAnsi="Calibri"/>
          <w:rtl w:val="0"/>
        </w:rPr>
        <w:t xml:space="preserve">Declarations &amp; confirmations</w:t>
      </w:r>
    </w:p>
    <w:p w:rsidR="00000000" w:rsidDel="00000000" w:rsidP="00000000" w:rsidRDefault="00000000" w:rsidRPr="00000000" w14:paraId="00000054">
      <w:pPr>
        <w:numPr>
          <w:ilvl w:val="0"/>
          <w:numId w:val="11"/>
        </w:numPr>
        <w:spacing w:after="0" w:afterAutospacing="0"/>
        <w:ind w:left="720" w:hanging="360"/>
        <w:rPr>
          <w:rFonts w:ascii="Calibri" w:cs="Calibri" w:eastAsia="Calibri" w:hAnsi="Calibri"/>
        </w:rPr>
      </w:pPr>
      <w:r w:rsidDel="00000000" w:rsidR="00000000" w:rsidRPr="00000000">
        <w:rPr>
          <w:rFonts w:ascii="Calibri" w:cs="Calibri" w:eastAsia="Calibri" w:hAnsi="Calibri"/>
          <w:rtl w:val="0"/>
        </w:rPr>
        <w:t xml:space="preserve">ID verification (document capture)</w:t>
      </w:r>
    </w:p>
    <w:p w:rsidR="00000000" w:rsidDel="00000000" w:rsidP="00000000" w:rsidRDefault="00000000" w:rsidRPr="00000000" w14:paraId="00000055">
      <w:pPr>
        <w:numPr>
          <w:ilvl w:val="0"/>
          <w:numId w:val="11"/>
        </w:numPr>
        <w:spacing w:after="0" w:afterAutospacing="0"/>
        <w:ind w:left="720" w:hanging="360"/>
        <w:rPr>
          <w:rFonts w:ascii="Calibri" w:cs="Calibri" w:eastAsia="Calibri" w:hAnsi="Calibri"/>
        </w:rPr>
      </w:pPr>
      <w:r w:rsidDel="00000000" w:rsidR="00000000" w:rsidRPr="00000000">
        <w:rPr>
          <w:rFonts w:ascii="Calibri" w:cs="Calibri" w:eastAsia="Calibri" w:hAnsi="Calibri"/>
          <w:rtl w:val="0"/>
        </w:rPr>
        <w:t xml:space="preserve">Selfie / liveness check</w:t>
      </w:r>
    </w:p>
    <w:p w:rsidR="00000000" w:rsidDel="00000000" w:rsidP="00000000" w:rsidRDefault="00000000" w:rsidRPr="00000000" w14:paraId="00000056">
      <w:pPr>
        <w:numPr>
          <w:ilvl w:val="0"/>
          <w:numId w:val="11"/>
        </w:numPr>
        <w:spacing w:after="0" w:afterAutospacing="0"/>
        <w:ind w:left="720" w:hanging="360"/>
        <w:rPr>
          <w:rFonts w:ascii="Calibri" w:cs="Calibri" w:eastAsia="Calibri" w:hAnsi="Calibri"/>
        </w:rPr>
      </w:pPr>
      <w:r w:rsidDel="00000000" w:rsidR="00000000" w:rsidRPr="00000000">
        <w:rPr>
          <w:rFonts w:ascii="Calibri" w:cs="Calibri" w:eastAsia="Calibri" w:hAnsi="Calibri"/>
          <w:rtl w:val="0"/>
        </w:rPr>
        <w:t xml:space="preserve">Review summary screen</w:t>
      </w:r>
    </w:p>
    <w:p w:rsidR="00000000" w:rsidDel="00000000" w:rsidP="00000000" w:rsidRDefault="00000000" w:rsidRPr="00000000" w14:paraId="00000057">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Submission confirmation</w:t>
      </w:r>
    </w:p>
    <w:p w:rsidR="00000000" w:rsidDel="00000000" w:rsidP="00000000" w:rsidRDefault="00000000" w:rsidRPr="00000000" w14:paraId="00000058">
      <w:pPr>
        <w:rPr>
          <w:rFonts w:ascii="Calibri" w:cs="Calibri" w:eastAsia="Calibri" w:hAnsi="Calibri"/>
        </w:rPr>
      </w:pPr>
      <w:r w:rsidDel="00000000" w:rsidR="00000000" w:rsidRPr="00000000">
        <w:rPr>
          <w:rFonts w:ascii="Calibri" w:cs="Calibri" w:eastAsia="Calibri" w:hAnsi="Calibri"/>
          <w:b w:val="1"/>
          <w:bCs w:val="1"/>
          <w:rtl w:val="0"/>
        </w:rPr>
        <w:t xml:space="preserve">Clarity of language (1–5):</w:t>
      </w:r>
      <w:r w:rsidDel="00000000" w:rsidR="00000000" w:rsidRPr="00000000">
        <w:rPr>
          <w:rFonts w:ascii="Calibri" w:cs="Calibri" w:eastAsia="Calibri" w:hAnsi="Calibri"/>
          <w:rtl w:val="0"/>
        </w:rPr>
        <w:t xml:space="preserve">  3 - clear but quite dense and compliance-heavy</w:t>
      </w:r>
    </w:p>
    <w:p w:rsidR="00000000" w:rsidDel="00000000" w:rsidP="00000000" w:rsidRDefault="00000000" w:rsidRPr="00000000" w14:paraId="00000059">
      <w:pPr>
        <w:rPr>
          <w:rFonts w:ascii="Calibri" w:cs="Calibri" w:eastAsia="Calibri" w:hAnsi="Calibri"/>
        </w:rPr>
      </w:pPr>
      <w:r w:rsidDel="00000000" w:rsidR="00000000" w:rsidRPr="00000000">
        <w:rPr>
          <w:rFonts w:ascii="Calibri" w:cs="Calibri" w:eastAsia="Calibri" w:hAnsi="Calibri"/>
          <w:b w:val="1"/>
          <w:bCs w:val="1"/>
          <w:rtl w:val="0"/>
        </w:rPr>
        <w:t xml:space="preserve">Visual clarity (1–5): </w:t>
      </w:r>
      <w:r w:rsidDel="00000000" w:rsidR="00000000" w:rsidRPr="00000000">
        <w:rPr>
          <w:rFonts w:ascii="Calibri" w:cs="Calibri" w:eastAsia="Calibri" w:hAnsi="Calibri"/>
          <w:rtl w:val="0"/>
        </w:rPr>
        <w:t xml:space="preserve">3 - functional but dated; text-heavy with limited visual hierarchy </w:t>
      </w:r>
    </w:p>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b w:val="1"/>
          <w:bCs w:val="1"/>
          <w:rtl w:val="0"/>
        </w:rPr>
        <w:t xml:space="preserve">Progress indicator present?</w:t>
      </w:r>
      <w:r w:rsidDel="00000000" w:rsidR="00000000" w:rsidRPr="00000000">
        <w:rPr>
          <w:rFonts w:ascii="Calibri" w:cs="Calibri" w:eastAsia="Calibri" w:hAnsi="Calibri"/>
          <w:rtl w:val="0"/>
        </w:rPr>
        <w:t xml:space="preserve"> [/] Yes   [ ] No</w:t>
      </w:r>
    </w:p>
    <w:p w:rsidR="00000000" w:rsidDel="00000000" w:rsidP="00000000" w:rsidRDefault="00000000" w:rsidRPr="00000000" w14:paraId="0000005B">
      <w:pPr>
        <w:rPr>
          <w:rFonts w:ascii="Calibri" w:cs="Calibri" w:eastAsia="Calibri" w:hAnsi="Calibri"/>
        </w:rPr>
      </w:pPr>
      <w:r w:rsidDel="00000000" w:rsidR="00000000" w:rsidRPr="00000000">
        <w:rPr>
          <w:rFonts w:ascii="Calibri" w:cs="Calibri" w:eastAsia="Calibri" w:hAnsi="Calibri"/>
          <w:b w:val="1"/>
          <w:bCs w:val="1"/>
          <w:rtl w:val="0"/>
        </w:rPr>
        <w:t xml:space="preserve">Can switch language during onboarding?</w:t>
      </w:r>
      <w:r w:rsidDel="00000000" w:rsidR="00000000" w:rsidRPr="00000000">
        <w:rPr>
          <w:rFonts w:ascii="Calibri" w:cs="Calibri" w:eastAsia="Calibri" w:hAnsi="Calibri"/>
          <w:rtl w:val="0"/>
        </w:rPr>
        <w:t xml:space="preserve"> [ ] Yes   [/] No </w:t>
      </w:r>
    </w:p>
    <w:p w:rsidR="00000000" w:rsidDel="00000000" w:rsidP="00000000" w:rsidRDefault="00000000" w:rsidRPr="00000000" w14:paraId="0000005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KYC documents requested (tick):</w:t>
      </w:r>
    </w:p>
    <w:p w:rsidR="00000000" w:rsidDel="00000000" w:rsidP="00000000" w:rsidRDefault="00000000" w:rsidRPr="00000000" w14:paraId="0000005D">
      <w:pPr>
        <w:rPr>
          <w:rFonts w:ascii="Calibri" w:cs="Calibri" w:eastAsia="Calibri" w:hAnsi="Calibri"/>
        </w:rPr>
      </w:pPr>
      <w:r w:rsidDel="00000000" w:rsidR="00000000" w:rsidRPr="00000000">
        <w:rPr>
          <w:rFonts w:ascii="Calibri" w:cs="Calibri" w:eastAsia="Calibri" w:hAnsi="Calibri"/>
          <w:rtl w:val="0"/>
        </w:rPr>
        <w:t xml:space="preserve"> [/] ID   [/ ] Proof of address   [ ] Tax ID   [/] Selfie/Liveness   [ ] Other: </w:t>
      </w:r>
    </w:p>
    <w:p w:rsidR="00000000" w:rsidDel="00000000" w:rsidP="00000000" w:rsidRDefault="00000000" w:rsidRPr="00000000" w14:paraId="0000005E">
      <w:pPr>
        <w:rPr>
          <w:rFonts w:ascii="Calibri" w:cs="Calibri" w:eastAsia="Calibri" w:hAnsi="Calibri"/>
        </w:rPr>
      </w:pPr>
      <w:r w:rsidDel="00000000" w:rsidR="00000000" w:rsidRPr="00000000">
        <w:rPr>
          <w:rFonts w:ascii="Calibri" w:cs="Calibri" w:eastAsia="Calibri" w:hAnsi="Calibri"/>
          <w:b w:val="1"/>
          <w:bCs w:val="1"/>
          <w:rtl w:val="0"/>
        </w:rPr>
        <w:t xml:space="preserve">Upload method (tick):</w:t>
      </w:r>
      <w:r w:rsidDel="00000000" w:rsidR="00000000" w:rsidRPr="00000000">
        <w:rPr>
          <w:rFonts w:ascii="Calibri" w:cs="Calibri" w:eastAsia="Calibri" w:hAnsi="Calibri"/>
          <w:rtl w:val="0"/>
        </w:rPr>
        <w:t xml:space="preserve"> [/] Photo scan in app   [/] File upload   [ ] Manual entry</w:t>
      </w:r>
    </w:p>
    <w:p w:rsidR="00000000" w:rsidDel="00000000" w:rsidP="00000000" w:rsidRDefault="00000000" w:rsidRPr="00000000" w14:paraId="0000005F">
      <w:pPr>
        <w:rPr>
          <w:rFonts w:ascii="Calibri" w:cs="Calibri" w:eastAsia="Calibri" w:hAnsi="Calibri"/>
        </w:rPr>
      </w:pPr>
      <w:r w:rsidDel="00000000" w:rsidR="00000000" w:rsidRPr="00000000">
        <w:rPr>
          <w:rFonts w:ascii="Calibri" w:cs="Calibri" w:eastAsia="Calibri" w:hAnsi="Calibri"/>
          <w:b w:val="1"/>
          <w:bCs w:val="1"/>
          <w:rtl w:val="0"/>
        </w:rPr>
        <w:t xml:space="preserve">Notes: </w:t>
      </w:r>
      <w:r w:rsidDel="00000000" w:rsidR="00000000" w:rsidRPr="00000000">
        <w:rPr>
          <w:rFonts w:ascii="Calibri" w:cs="Calibri" w:eastAsia="Calibri" w:hAnsi="Calibri"/>
          <w:rtl w:val="0"/>
        </w:rPr>
        <w:t xml:space="preserve">Opening an account isn’t done within the app - takes you to google chrome and the company webpage </w:t>
      </w:r>
      <w:hyperlink r:id="rId8">
        <w:r w:rsidDel="00000000" w:rsidR="00000000" w:rsidRPr="00000000">
          <w:rPr>
            <w:rFonts w:ascii="Calibri" w:cs="Calibri" w:eastAsia="Calibri" w:hAnsi="Calibri"/>
            <w:color w:val="1155cc"/>
            <w:u w:val="single"/>
            <w:rtl w:val="0"/>
          </w:rPr>
          <w:t xml:space="preserve">hl.co.uk</w:t>
        </w:r>
      </w:hyperlink>
      <w:r w:rsidDel="00000000" w:rsidR="00000000" w:rsidRPr="00000000">
        <w:rPr>
          <w:rFonts w:ascii="Calibri" w:cs="Calibri" w:eastAsia="Calibri" w:hAnsi="Calibri"/>
          <w:rtl w:val="0"/>
        </w:rPr>
        <w:t xml:space="preserve"> (not integrated). </w:t>
      </w:r>
    </w:p>
    <w:p w:rsidR="00000000" w:rsidDel="00000000" w:rsidP="00000000" w:rsidRDefault="00000000" w:rsidRPr="00000000" w14:paraId="00000060">
      <w:pPr>
        <w:rPr>
          <w:rFonts w:ascii="Calibri" w:cs="Calibri" w:eastAsia="Calibri" w:hAnsi="Calibri"/>
        </w:rPr>
      </w:pPr>
      <w:r w:rsidDel="00000000" w:rsidR="00000000" w:rsidRPr="00000000">
        <w:rPr>
          <w:rFonts w:ascii="Calibri" w:cs="Calibri" w:eastAsia="Calibri" w:hAnsi="Calibri"/>
          <w:rtl w:val="0"/>
        </w:rPr>
        <w:t xml:space="preserve">Overwhelming number of accounts that you can open: </w:t>
      </w:r>
    </w:p>
    <w:p w:rsidR="00000000" w:rsidDel="00000000" w:rsidP="00000000" w:rsidRDefault="00000000" w:rsidRPr="00000000" w14:paraId="00000061">
      <w:pPr>
        <w:numPr>
          <w:ilvl w:val="0"/>
          <w:numId w:val="9"/>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HL Stocks and Shares ISA</w:t>
      </w:r>
    </w:p>
    <w:p w:rsidR="00000000" w:rsidDel="00000000" w:rsidP="00000000" w:rsidRDefault="00000000" w:rsidRPr="00000000" w14:paraId="00000062">
      <w:pPr>
        <w:numPr>
          <w:ilvl w:val="0"/>
          <w:numId w:val="9"/>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HL Fund and Share Account </w:t>
      </w:r>
    </w:p>
    <w:p w:rsidR="00000000" w:rsidDel="00000000" w:rsidP="00000000" w:rsidRDefault="00000000" w:rsidRPr="00000000" w14:paraId="00000063">
      <w:pPr>
        <w:numPr>
          <w:ilvl w:val="0"/>
          <w:numId w:val="9"/>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HL Self-Invested Personal Pensions (SIPP) </w:t>
      </w:r>
    </w:p>
    <w:p w:rsidR="00000000" w:rsidDel="00000000" w:rsidP="00000000" w:rsidRDefault="00000000" w:rsidRPr="00000000" w14:paraId="00000064">
      <w:pPr>
        <w:numPr>
          <w:ilvl w:val="0"/>
          <w:numId w:val="9"/>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HL Active Savings Account </w:t>
      </w:r>
    </w:p>
    <w:p w:rsidR="00000000" w:rsidDel="00000000" w:rsidP="00000000" w:rsidRDefault="00000000" w:rsidRPr="00000000" w14:paraId="00000065">
      <w:pPr>
        <w:numPr>
          <w:ilvl w:val="0"/>
          <w:numId w:val="9"/>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HL Cash ISA </w:t>
      </w:r>
    </w:p>
    <w:p w:rsidR="00000000" w:rsidDel="00000000" w:rsidP="00000000" w:rsidRDefault="00000000" w:rsidRPr="00000000" w14:paraId="00000066">
      <w:pPr>
        <w:numPr>
          <w:ilvl w:val="0"/>
          <w:numId w:val="9"/>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HL Lifetime ISA </w:t>
      </w:r>
    </w:p>
    <w:p w:rsidR="00000000" w:rsidDel="00000000" w:rsidP="00000000" w:rsidRDefault="00000000" w:rsidRPr="00000000" w14:paraId="00000067">
      <w:pPr>
        <w:numPr>
          <w:ilvl w:val="0"/>
          <w:numId w:val="9"/>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HL Junior ISA</w:t>
      </w:r>
    </w:p>
    <w:p w:rsidR="00000000" w:rsidDel="00000000" w:rsidP="00000000" w:rsidRDefault="00000000" w:rsidRPr="00000000" w14:paraId="00000068">
      <w:pPr>
        <w:numPr>
          <w:ilvl w:val="0"/>
          <w:numId w:val="9"/>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HL Self-Invested Personal Pension (SIPP) </w:t>
      </w:r>
    </w:p>
    <w:p w:rsidR="00000000" w:rsidDel="00000000" w:rsidP="00000000" w:rsidRDefault="00000000" w:rsidRPr="00000000" w14:paraId="00000069">
      <w:pPr>
        <w:numPr>
          <w:ilvl w:val="0"/>
          <w:numId w:val="9"/>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HL Bare Trust</w:t>
      </w:r>
    </w:p>
    <w:p w:rsidR="00000000" w:rsidDel="00000000" w:rsidP="00000000" w:rsidRDefault="00000000" w:rsidRPr="00000000" w14:paraId="0000006A">
      <w:pP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2.3 Funding &amp; Deposits</w:t>
      </w:r>
    </w:p>
    <w:p w:rsidR="00000000" w:rsidDel="00000000" w:rsidP="00000000" w:rsidRDefault="00000000" w:rsidRPr="00000000" w14:paraId="0000006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Available funding methods (tick): </w:t>
      </w:r>
      <w:r w:rsidDel="00000000" w:rsidR="00000000" w:rsidRPr="00000000">
        <w:rPr>
          <w:rFonts w:ascii="Calibri" w:cs="Calibri" w:eastAsia="Calibri" w:hAnsi="Calibri"/>
          <w:rtl w:val="0"/>
        </w:rPr>
        <w:t xml:space="preserve">[/] Bank transfer   [/] Debit/Credit card   [] E-wallet(s): Apple Pay [ ] Instant local rails  [ ] Crypto deposit</w:t>
      </w:r>
      <w:r w:rsidDel="00000000" w:rsidR="00000000" w:rsidRPr="00000000">
        <w:rPr>
          <w:rtl w:val="0"/>
        </w:rPr>
      </w:r>
    </w:p>
    <w:p w:rsidR="00000000" w:rsidDel="00000000" w:rsidP="00000000" w:rsidRDefault="00000000" w:rsidRPr="00000000" w14:paraId="0000006C">
      <w:pPr>
        <w:rPr>
          <w:rFonts w:ascii="Calibri" w:cs="Calibri" w:eastAsia="Calibri" w:hAnsi="Calibri"/>
        </w:rPr>
      </w:pPr>
      <w:r w:rsidDel="00000000" w:rsidR="00000000" w:rsidRPr="00000000">
        <w:rPr>
          <w:rFonts w:ascii="Calibri" w:cs="Calibri" w:eastAsia="Calibri" w:hAnsi="Calibri"/>
          <w:b w:val="1"/>
          <w:bCs w:val="1"/>
          <w:rtl w:val="0"/>
        </w:rPr>
        <w:t xml:space="preserve">Minimum deposit:</w:t>
      </w:r>
      <w:r w:rsidDel="00000000" w:rsidR="00000000" w:rsidRPr="00000000">
        <w:rPr>
          <w:rFonts w:ascii="Calibri" w:cs="Calibri" w:eastAsia="Calibri" w:hAnsi="Calibri"/>
          <w:rtl w:val="0"/>
        </w:rPr>
        <w:t xml:space="preserve"> £1 </w:t>
      </w:r>
    </w:p>
    <w:p w:rsidR="00000000" w:rsidDel="00000000" w:rsidP="00000000" w:rsidRDefault="00000000" w:rsidRPr="00000000" w14:paraId="0000006D">
      <w:pPr>
        <w:rPr>
          <w:rFonts w:ascii="Calibri" w:cs="Calibri" w:eastAsia="Calibri" w:hAnsi="Calibri"/>
        </w:rPr>
      </w:pPr>
      <w:r w:rsidDel="00000000" w:rsidR="00000000" w:rsidRPr="00000000">
        <w:rPr>
          <w:rFonts w:ascii="Calibri" w:cs="Calibri" w:eastAsia="Calibri" w:hAnsi="Calibri"/>
          <w:b w:val="1"/>
          <w:bCs w:val="1"/>
          <w:rtl w:val="0"/>
        </w:rPr>
        <w:t xml:space="preserve">FX fees clearly disclosed?</w:t>
      </w:r>
      <w:r w:rsidDel="00000000" w:rsidR="00000000" w:rsidRPr="00000000">
        <w:rPr>
          <w:rFonts w:ascii="Calibri" w:cs="Calibri" w:eastAsia="Calibri" w:hAnsi="Calibri"/>
          <w:rtl w:val="0"/>
        </w:rPr>
        <w:t xml:space="preserve"> [/] Yes   [ ] No</w:t>
      </w:r>
    </w:p>
    <w:p w:rsidR="00000000" w:rsidDel="00000000" w:rsidP="00000000" w:rsidRDefault="00000000" w:rsidRPr="00000000" w14:paraId="0000006E">
      <w:pPr>
        <w:rPr>
          <w:rFonts w:ascii="Calibri" w:cs="Calibri" w:eastAsia="Calibri" w:hAnsi="Calibri"/>
        </w:rPr>
      </w:pPr>
      <w:r w:rsidDel="00000000" w:rsidR="00000000" w:rsidRPr="00000000">
        <w:rPr>
          <w:rFonts w:ascii="Calibri" w:cs="Calibri" w:eastAsia="Calibri" w:hAnsi="Calibri"/>
          <w:b w:val="1"/>
          <w:bCs w:val="1"/>
          <w:rtl w:val="0"/>
        </w:rPr>
        <w:t xml:space="preserve">Promised funding time:</w:t>
      </w:r>
      <w:r w:rsidDel="00000000" w:rsidR="00000000" w:rsidRPr="00000000">
        <w:rPr>
          <w:rFonts w:ascii="Calibri" w:cs="Calibri" w:eastAsia="Calibri" w:hAnsi="Calibri"/>
          <w:rtl w:val="0"/>
        </w:rPr>
        <w:t xml:space="preserve">  </w:t>
      </w:r>
    </w:p>
    <w:p w:rsidR="00000000" w:rsidDel="00000000" w:rsidP="00000000" w:rsidRDefault="00000000" w:rsidRPr="00000000" w14:paraId="0000006F">
      <w:pPr>
        <w:numPr>
          <w:ilvl w:val="0"/>
          <w:numId w:val="7"/>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Debit card / Apple Pay: Instant</w:t>
      </w:r>
    </w:p>
    <w:p w:rsidR="00000000" w:rsidDel="00000000" w:rsidP="00000000" w:rsidRDefault="00000000" w:rsidRPr="00000000" w14:paraId="00000070">
      <w:pPr>
        <w:numPr>
          <w:ilvl w:val="0"/>
          <w:numId w:val="7"/>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Bank Transfer: Same day to 1-2 working days</w:t>
      </w:r>
    </w:p>
    <w:p w:rsidR="00000000" w:rsidDel="00000000" w:rsidP="00000000" w:rsidRDefault="00000000" w:rsidRPr="00000000" w14:paraId="0000007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Observed:</w:t>
      </w:r>
    </w:p>
    <w:p w:rsidR="00000000" w:rsidDel="00000000" w:rsidP="00000000" w:rsidRDefault="00000000" w:rsidRPr="00000000" w14:paraId="00000072">
      <w:pPr>
        <w:numPr>
          <w:ilvl w:val="0"/>
          <w:numId w:val="10"/>
        </w:numPr>
        <w:spacing w:after="0" w:afterAutospacing="0"/>
        <w:ind w:left="720" w:hanging="360"/>
        <w:rPr>
          <w:rFonts w:ascii="Calibri" w:cs="Calibri" w:eastAsia="Calibri" w:hAnsi="Calibri"/>
        </w:rPr>
      </w:pPr>
      <w:r w:rsidDel="00000000" w:rsidR="00000000" w:rsidRPr="00000000">
        <w:rPr>
          <w:rFonts w:ascii="Calibri" w:cs="Calibri" w:eastAsia="Calibri" w:hAnsi="Calibri"/>
          <w:rtl w:val="0"/>
        </w:rPr>
        <w:t xml:space="preserve">Card payments generally instant </w:t>
      </w:r>
    </w:p>
    <w:p w:rsidR="00000000" w:rsidDel="00000000" w:rsidP="00000000" w:rsidRDefault="00000000" w:rsidRPr="00000000" w14:paraId="00000073">
      <w:pPr>
        <w:numPr>
          <w:ilvl w:val="0"/>
          <w:numId w:val="1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Bank transfers often next working day, sometimes slower depending on bank cut-off</w:t>
      </w:r>
    </w:p>
    <w:p w:rsidR="00000000" w:rsidDel="00000000" w:rsidP="00000000" w:rsidRDefault="00000000" w:rsidRPr="00000000" w14:paraId="00000074">
      <w:pPr>
        <w:rPr>
          <w:rFonts w:ascii="Calibri" w:cs="Calibri" w:eastAsia="Calibri" w:hAnsi="Calibri"/>
        </w:rPr>
      </w:pPr>
      <w:r w:rsidDel="00000000" w:rsidR="00000000" w:rsidRPr="00000000">
        <w:rPr>
          <w:rFonts w:ascii="Calibri" w:cs="Calibri" w:eastAsia="Calibri" w:hAnsi="Calibri"/>
          <w:b w:val="1"/>
          <w:bCs w:val="1"/>
          <w:rtl w:val="0"/>
        </w:rPr>
        <w:t xml:space="preserve">Friction / confusion notes:</w:t>
      </w:r>
      <w:r w:rsidDel="00000000" w:rsidR="00000000" w:rsidRPr="00000000">
        <w:rPr>
          <w:rFonts w:ascii="Calibri" w:cs="Calibri" w:eastAsia="Calibri" w:hAnsi="Calibri"/>
          <w:rtl w:val="0"/>
        </w:rPr>
        <w:t xml:space="preserve"> </w:t>
      </w:r>
    </w:p>
    <w:p w:rsidR="00000000" w:rsidDel="00000000" w:rsidP="00000000" w:rsidRDefault="00000000" w:rsidRPr="00000000" w14:paraId="00000075">
      <w:pPr>
        <w:numPr>
          <w:ilvl w:val="0"/>
          <w:numId w:val="6"/>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Funding options are </w:t>
      </w:r>
      <w:r w:rsidDel="00000000" w:rsidR="00000000" w:rsidRPr="00000000">
        <w:rPr>
          <w:rFonts w:ascii="Calibri" w:cs="Calibri" w:eastAsia="Calibri" w:hAnsi="Calibri"/>
          <w:b w:val="1"/>
          <w:bCs w:val="1"/>
          <w:rtl w:val="0"/>
        </w:rPr>
        <w:t xml:space="preserve">functional but not modern</w:t>
      </w:r>
      <w:r w:rsidDel="00000000" w:rsidR="00000000" w:rsidRPr="00000000">
        <w:rPr>
          <w:rFonts w:ascii="Calibri" w:cs="Calibri" w:eastAsia="Calibri" w:hAnsi="Calibri"/>
          <w:rtl w:val="0"/>
        </w:rPr>
        <w:t xml:space="preserve"> — no real-time bank rails (e.g. open banking instant pay-ins).</w:t>
      </w:r>
    </w:p>
    <w:p w:rsidR="00000000" w:rsidDel="00000000" w:rsidP="00000000" w:rsidRDefault="00000000" w:rsidRPr="00000000" w14:paraId="00000076">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FX fees lack visibility at the moment of action</w:t>
      </w:r>
      <w:r w:rsidDel="00000000" w:rsidR="00000000" w:rsidRPr="00000000">
        <w:rPr>
          <w:rFonts w:ascii="Calibri" w:cs="Calibri" w:eastAsia="Calibri" w:hAnsi="Calibri"/>
          <w:rtl w:val="0"/>
        </w:rPr>
        <w:t xml:space="preserve">, which can catch users off guard when investing internationally.</w:t>
      </w:r>
    </w:p>
    <w:p w:rsidR="00000000" w:rsidDel="00000000" w:rsidP="00000000" w:rsidRDefault="00000000" w:rsidRPr="00000000" w14:paraId="00000077">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Distinction between </w:t>
      </w:r>
      <w:r w:rsidDel="00000000" w:rsidR="00000000" w:rsidRPr="00000000">
        <w:rPr>
          <w:rFonts w:ascii="Calibri" w:cs="Calibri" w:eastAsia="Calibri" w:hAnsi="Calibri"/>
          <w:b w:val="1"/>
          <w:bCs w:val="1"/>
          <w:rtl w:val="0"/>
        </w:rPr>
        <w:t xml:space="preserve">depositing cash vs actually investing it</w:t>
      </w:r>
      <w:r w:rsidDel="00000000" w:rsidR="00000000" w:rsidRPr="00000000">
        <w:rPr>
          <w:rFonts w:ascii="Calibri" w:cs="Calibri" w:eastAsia="Calibri" w:hAnsi="Calibri"/>
          <w:rtl w:val="0"/>
        </w:rPr>
        <w:t xml:space="preserve"> is not always clear → funds can sit uninvested.</w:t>
      </w:r>
    </w:p>
    <w:p w:rsidR="00000000" w:rsidDel="00000000" w:rsidP="00000000" w:rsidRDefault="00000000" w:rsidRPr="00000000" w14:paraId="00000078">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Credit card support is </w:t>
      </w:r>
      <w:r w:rsidDel="00000000" w:rsidR="00000000" w:rsidRPr="00000000">
        <w:rPr>
          <w:rFonts w:ascii="Calibri" w:cs="Calibri" w:eastAsia="Calibri" w:hAnsi="Calibri"/>
          <w:b w:val="1"/>
          <w:bCs w:val="1"/>
          <w:rtl w:val="0"/>
        </w:rPr>
        <w:t xml:space="preserve">unclear / inconsistently presented</w:t>
      </w:r>
      <w:r w:rsidDel="00000000" w:rsidR="00000000" w:rsidRPr="00000000">
        <w:rPr>
          <w:rFonts w:ascii="Calibri" w:cs="Calibri" w:eastAsia="Calibri" w:hAnsi="Calibri"/>
          <w:rtl w:val="0"/>
        </w:rPr>
        <w:t xml:space="preserve">, creating ambiguity.</w:t>
      </w:r>
    </w:p>
    <w:p w:rsidR="00000000" w:rsidDel="00000000" w:rsidP="00000000" w:rsidRDefault="00000000" w:rsidRPr="00000000" w14:paraId="00000079">
      <w:pPr>
        <w:numPr>
          <w:ilvl w:val="0"/>
          <w:numId w:val="6"/>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Overall flow feels </w:t>
      </w:r>
      <w:r w:rsidDel="00000000" w:rsidR="00000000" w:rsidRPr="00000000">
        <w:rPr>
          <w:rFonts w:ascii="Calibri" w:cs="Calibri" w:eastAsia="Calibri" w:hAnsi="Calibri"/>
          <w:b w:val="1"/>
          <w:bCs w:val="1"/>
          <w:rtl w:val="0"/>
        </w:rPr>
        <w:t xml:space="preserve">more “account top-up” than seamless investing journey</w:t>
      </w:r>
      <w:r w:rsidDel="00000000" w:rsidR="00000000" w:rsidRPr="00000000">
        <w:rPr>
          <w:rFonts w:ascii="Calibri" w:cs="Calibri" w:eastAsia="Calibri" w:hAnsi="Calibri"/>
          <w:rtl w:val="0"/>
        </w:rPr>
        <w:t xml:space="preserve"> compared to newer apps. </w:t>
      </w:r>
    </w:p>
    <w:p w:rsidR="00000000" w:rsidDel="00000000" w:rsidP="00000000" w:rsidRDefault="00000000" w:rsidRPr="00000000" w14:paraId="0000007A">
      <w:pPr>
        <w:rPr>
          <w:rFonts w:ascii="Calibri" w:cs="Calibri" w:eastAsia="Calibri" w:hAnsi="Calibri"/>
        </w:rPr>
      </w:pPr>
      <w:r w:rsidDel="00000000" w:rsidR="00000000" w:rsidRPr="00000000">
        <w:rPr>
          <w:rFonts w:ascii="Calibri" w:cs="Calibri" w:eastAsia="Calibri" w:hAnsi="Calibri"/>
          <w:b w:val="1"/>
          <w:bCs w:val="1"/>
          <w:u w:val="single"/>
          <w:rtl w:val="0"/>
        </w:rPr>
        <w:t xml:space="preserve">2.4 Welcome Screens &amp; Narrative</w:t>
      </w:r>
      <w:r w:rsidDel="00000000" w:rsidR="00000000" w:rsidRPr="00000000">
        <w:rPr>
          <w:rtl w:val="0"/>
        </w:rPr>
      </w:r>
    </w:p>
    <w:p w:rsidR="00000000" w:rsidDel="00000000" w:rsidP="00000000" w:rsidRDefault="00000000" w:rsidRPr="00000000" w14:paraId="0000007B">
      <w:pPr>
        <w:rPr>
          <w:rFonts w:ascii="Calibri" w:cs="Calibri" w:eastAsia="Calibri" w:hAnsi="Calibri"/>
        </w:rPr>
      </w:pPr>
      <w:r w:rsidDel="00000000" w:rsidR="00000000" w:rsidRPr="00000000">
        <w:rPr>
          <w:rFonts w:ascii="Calibri" w:cs="Calibri" w:eastAsia="Calibri" w:hAnsi="Calibri"/>
          <w:b w:val="1"/>
          <w:bCs w:val="1"/>
          <w:rtl w:val="0"/>
        </w:rPr>
        <w:t xml:space="preserve">Explains services?</w:t>
      </w:r>
      <w:r w:rsidDel="00000000" w:rsidR="00000000" w:rsidRPr="00000000">
        <w:rPr>
          <w:rFonts w:ascii="Calibri" w:cs="Calibri" w:eastAsia="Calibri" w:hAnsi="Calibri"/>
          <w:rtl w:val="0"/>
        </w:rPr>
        <w:t xml:space="preserve"> [/] Yes   [ ] No </w:t>
      </w:r>
    </w:p>
    <w:p w:rsidR="00000000" w:rsidDel="00000000" w:rsidP="00000000" w:rsidRDefault="00000000" w:rsidRPr="00000000" w14:paraId="0000007C">
      <w:pPr>
        <w:rPr>
          <w:rFonts w:ascii="Calibri" w:cs="Calibri" w:eastAsia="Calibri" w:hAnsi="Calibri"/>
        </w:rPr>
      </w:pPr>
      <w:r w:rsidDel="00000000" w:rsidR="00000000" w:rsidRPr="00000000">
        <w:rPr>
          <w:rFonts w:ascii="Calibri" w:cs="Calibri" w:eastAsia="Calibri" w:hAnsi="Calibri"/>
          <w:b w:val="1"/>
          <w:bCs w:val="1"/>
          <w:rtl w:val="0"/>
        </w:rPr>
        <w:t xml:space="preserve">Explains fees?</w:t>
      </w:r>
      <w:r w:rsidDel="00000000" w:rsidR="00000000" w:rsidRPr="00000000">
        <w:rPr>
          <w:rFonts w:ascii="Calibri" w:cs="Calibri" w:eastAsia="Calibri" w:hAnsi="Calibri"/>
          <w:rtl w:val="0"/>
        </w:rPr>
        <w:t xml:space="preserve"> [/] Yes   [ ] No</w:t>
      </w:r>
    </w:p>
    <w:p w:rsidR="00000000" w:rsidDel="00000000" w:rsidP="00000000" w:rsidRDefault="00000000" w:rsidRPr="00000000" w14:paraId="0000007D">
      <w:pPr>
        <w:rPr>
          <w:rFonts w:ascii="Calibri" w:cs="Calibri" w:eastAsia="Calibri" w:hAnsi="Calibri"/>
        </w:rPr>
      </w:pPr>
      <w:r w:rsidDel="00000000" w:rsidR="00000000" w:rsidRPr="00000000">
        <w:rPr>
          <w:rFonts w:ascii="Calibri" w:cs="Calibri" w:eastAsia="Calibri" w:hAnsi="Calibri"/>
          <w:b w:val="1"/>
          <w:bCs w:val="1"/>
          <w:rtl w:val="0"/>
        </w:rPr>
        <w:t xml:space="preserve">Explains risks?</w:t>
      </w:r>
      <w:r w:rsidDel="00000000" w:rsidR="00000000" w:rsidRPr="00000000">
        <w:rPr>
          <w:rFonts w:ascii="Calibri" w:cs="Calibri" w:eastAsia="Calibri" w:hAnsi="Calibri"/>
          <w:rtl w:val="0"/>
        </w:rPr>
        <w:t xml:space="preserve"> [/] Yes   [ ] No </w:t>
      </w:r>
    </w:p>
    <w:p w:rsidR="00000000" w:rsidDel="00000000" w:rsidP="00000000" w:rsidRDefault="00000000" w:rsidRPr="00000000" w14:paraId="0000007E">
      <w:pPr>
        <w:rPr>
          <w:rFonts w:ascii="Calibri" w:cs="Calibri" w:eastAsia="Calibri" w:hAnsi="Calibri"/>
        </w:rPr>
      </w:pPr>
      <w:r w:rsidDel="00000000" w:rsidR="00000000" w:rsidRPr="00000000">
        <w:rPr>
          <w:rFonts w:ascii="Calibri" w:cs="Calibri" w:eastAsia="Calibri" w:hAnsi="Calibri"/>
          <w:b w:val="1"/>
          <w:bCs w:val="1"/>
          <w:rtl w:val="0"/>
        </w:rPr>
        <w:t xml:space="preserve">Beginner tips present?</w:t>
      </w:r>
      <w:r w:rsidDel="00000000" w:rsidR="00000000" w:rsidRPr="00000000">
        <w:rPr>
          <w:rFonts w:ascii="Calibri" w:cs="Calibri" w:eastAsia="Calibri" w:hAnsi="Calibri"/>
          <w:rtl w:val="0"/>
        </w:rPr>
        <w:t xml:space="preserve"> [ ] Yes   [/] No</w:t>
      </w:r>
    </w:p>
    <w:p w:rsidR="00000000" w:rsidDel="00000000" w:rsidP="00000000" w:rsidRDefault="00000000" w:rsidRPr="00000000" w14:paraId="0000007F">
      <w:pPr>
        <w:rPr>
          <w:rFonts w:ascii="Calibri" w:cs="Calibri" w:eastAsia="Calibri" w:hAnsi="Calibri"/>
        </w:rPr>
      </w:pPr>
      <w:r w:rsidDel="00000000" w:rsidR="00000000" w:rsidRPr="00000000">
        <w:rPr>
          <w:rFonts w:ascii="Calibri" w:cs="Calibri" w:eastAsia="Calibri" w:hAnsi="Calibri"/>
          <w:b w:val="1"/>
          <w:bCs w:val="1"/>
          <w:rtl w:val="0"/>
        </w:rPr>
        <w:t xml:space="preserve">Gamified onboarding?</w:t>
      </w:r>
      <w:r w:rsidDel="00000000" w:rsidR="00000000" w:rsidRPr="00000000">
        <w:rPr>
          <w:rFonts w:ascii="Calibri" w:cs="Calibri" w:eastAsia="Calibri" w:hAnsi="Calibri"/>
          <w:rtl w:val="0"/>
        </w:rPr>
        <w:t xml:space="preserve"> [/] Yes   [ ] No</w:t>
      </w:r>
    </w:p>
    <w:p w:rsidR="00000000" w:rsidDel="00000000" w:rsidP="00000000" w:rsidRDefault="00000000" w:rsidRPr="00000000" w14:paraId="00000080">
      <w:pPr>
        <w:rPr>
          <w:rFonts w:ascii="Calibri" w:cs="Calibri" w:eastAsia="Calibri" w:hAnsi="Calibri"/>
        </w:rPr>
      </w:pPr>
      <w:r w:rsidDel="00000000" w:rsidR="00000000" w:rsidRPr="00000000">
        <w:rPr>
          <w:rFonts w:ascii="Calibri" w:cs="Calibri" w:eastAsia="Calibri" w:hAnsi="Calibri"/>
          <w:b w:val="1"/>
          <w:bCs w:val="1"/>
          <w:rtl w:val="0"/>
        </w:rPr>
        <w:t xml:space="preserve">Overall first impression (2–3 sentences):</w:t>
      </w:r>
      <w:r w:rsidDel="00000000" w:rsidR="00000000" w:rsidRPr="00000000">
        <w:rPr>
          <w:rFonts w:ascii="Calibri" w:cs="Calibri" w:eastAsia="Calibri" w:hAnsi="Calibri"/>
          <w:rtl w:val="0"/>
        </w:rPr>
        <w:t xml:space="preserve"> The onboarding experience is compliance-led, with a strong emphasis on risk warnings, responsibilities, and regulatory disclosures rather than user guidance. While services and fees are technically explained, the presentation is dense and assumes a level of financial literacy, offering little in the way of beginner-friendly support. Overall, it feels functional but dated, prioritising regulatory clarity over engagement or ease of entry.</w:t>
      </w:r>
    </w:p>
    <w:p w:rsidR="00000000" w:rsidDel="00000000" w:rsidP="00000000" w:rsidRDefault="00000000" w:rsidRPr="00000000" w14:paraId="00000081">
      <w:pPr>
        <w:pStyle w:val="Heading2"/>
        <w:rPr>
          <w:rFonts w:ascii="Calibri" w:cs="Calibri" w:eastAsia="Calibri" w:hAnsi="Calibri"/>
        </w:rPr>
      </w:pPr>
      <w:r w:rsidDel="00000000" w:rsidR="00000000" w:rsidRPr="00000000">
        <w:rPr>
          <w:rFonts w:ascii="Calibri" w:cs="Calibri" w:eastAsia="Calibri" w:hAnsi="Calibri"/>
          <w:rtl w:val="0"/>
        </w:rPr>
        <w:t xml:space="preserve">3. Navigation &amp; Information Architecture (Phase A – 2.3)</w:t>
      </w:r>
    </w:p>
    <w:p w:rsidR="00000000" w:rsidDel="00000000" w:rsidP="00000000" w:rsidRDefault="00000000" w:rsidRPr="00000000" w14:paraId="00000082">
      <w:pPr>
        <w:rPr>
          <w:rFonts w:ascii="Calibri" w:cs="Calibri" w:eastAsia="Calibri" w:hAnsi="Calibri"/>
          <w:b w:val="1"/>
          <w:bCs w:val="1"/>
        </w:rPr>
      </w:pPr>
      <w:r w:rsidDel="00000000" w:rsidR="00000000" w:rsidRPr="00000000">
        <w:rPr>
          <w:rFonts w:ascii="Calibri" w:cs="Calibri" w:eastAsia="Calibri" w:hAnsi="Calibri"/>
          <w:b w:val="1"/>
          <w:bCs w:val="1"/>
          <w:u w:val="single"/>
          <w:rtl w:val="0"/>
        </w:rPr>
        <w:t xml:space="preserve">3.1 Menu Mapping</w:t>
      </w:r>
      <w:r w:rsidDel="00000000" w:rsidR="00000000" w:rsidRPr="00000000">
        <w:rPr>
          <w:rtl w:val="0"/>
        </w:rPr>
      </w:r>
    </w:p>
    <w:p w:rsidR="00000000" w:rsidDel="00000000" w:rsidP="00000000" w:rsidRDefault="00000000" w:rsidRPr="00000000" w14:paraId="00000083">
      <w:pPr>
        <w:rPr>
          <w:rFonts w:ascii="Calibri" w:cs="Calibri" w:eastAsia="Calibri" w:hAnsi="Calibri"/>
        </w:rPr>
      </w:pPr>
      <w:r w:rsidDel="00000000" w:rsidR="00000000" w:rsidRPr="00000000">
        <w:rPr>
          <w:rFonts w:ascii="Calibri" w:cs="Calibri" w:eastAsia="Calibri" w:hAnsi="Calibri"/>
          <w:b w:val="1"/>
          <w:bCs w:val="1"/>
          <w:rtl w:val="0"/>
        </w:rPr>
        <w:t xml:space="preserve">Bottom nav tabs:</w:t>
      </w:r>
      <w:r w:rsidDel="00000000" w:rsidR="00000000" w:rsidRPr="00000000">
        <w:rPr>
          <w:rFonts w:ascii="Calibri" w:cs="Calibri" w:eastAsia="Calibri" w:hAnsi="Calibri"/>
          <w:rtl w:val="0"/>
        </w:rPr>
        <w:t xml:space="preserve"> </w:t>
      </w:r>
    </w:p>
    <w:p w:rsidR="00000000" w:rsidDel="00000000" w:rsidP="00000000" w:rsidRDefault="00000000" w:rsidRPr="00000000" w14:paraId="00000084">
      <w:pPr>
        <w:numPr>
          <w:ilvl w:val="0"/>
          <w:numId w:val="1"/>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Portfolio </w:t>
      </w:r>
    </w:p>
    <w:p w:rsidR="00000000" w:rsidDel="00000000" w:rsidP="00000000" w:rsidRDefault="00000000" w:rsidRPr="00000000" w14:paraId="00000085">
      <w:pPr>
        <w:numPr>
          <w:ilvl w:val="1"/>
          <w:numId w:val="1"/>
        </w:numPr>
        <w:spacing w:after="0" w:afterAutospacing="0"/>
        <w:ind w:left="1440" w:hanging="360"/>
        <w:rPr>
          <w:rFonts w:ascii="Calibri" w:cs="Calibri" w:eastAsia="Calibri" w:hAnsi="Calibri"/>
          <w:u w:val="none"/>
        </w:rPr>
      </w:pPr>
      <w:r w:rsidDel="00000000" w:rsidR="00000000" w:rsidRPr="00000000">
        <w:rPr>
          <w:rFonts w:ascii="Calibri" w:cs="Calibri" w:eastAsia="Calibri" w:hAnsi="Calibri"/>
          <w:rtl w:val="0"/>
        </w:rPr>
        <w:t xml:space="preserve">Overview</w:t>
      </w:r>
    </w:p>
    <w:p w:rsidR="00000000" w:rsidDel="00000000" w:rsidP="00000000" w:rsidRDefault="00000000" w:rsidRPr="00000000" w14:paraId="00000086">
      <w:pPr>
        <w:numPr>
          <w:ilvl w:val="1"/>
          <w:numId w:val="1"/>
        </w:numPr>
        <w:spacing w:after="0" w:afterAutospacing="0"/>
        <w:ind w:left="1440" w:hanging="360"/>
        <w:rPr>
          <w:rFonts w:ascii="Calibri" w:cs="Calibri" w:eastAsia="Calibri" w:hAnsi="Calibri"/>
          <w:u w:val="none"/>
        </w:rPr>
      </w:pPr>
      <w:r w:rsidDel="00000000" w:rsidR="00000000" w:rsidRPr="00000000">
        <w:rPr>
          <w:rFonts w:ascii="Calibri" w:cs="Calibri" w:eastAsia="Calibri" w:hAnsi="Calibri"/>
          <w:rtl w:val="0"/>
        </w:rPr>
        <w:t xml:space="preserve">Watchlists </w:t>
      </w:r>
    </w:p>
    <w:p w:rsidR="00000000" w:rsidDel="00000000" w:rsidP="00000000" w:rsidRDefault="00000000" w:rsidRPr="00000000" w14:paraId="00000087">
      <w:pPr>
        <w:numPr>
          <w:ilvl w:val="0"/>
          <w:numId w:val="1"/>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Discover</w:t>
      </w:r>
    </w:p>
    <w:p w:rsidR="00000000" w:rsidDel="00000000" w:rsidP="00000000" w:rsidRDefault="00000000" w:rsidRPr="00000000" w14:paraId="00000088">
      <w:pPr>
        <w:numPr>
          <w:ilvl w:val="1"/>
          <w:numId w:val="1"/>
        </w:numPr>
        <w:spacing w:after="0" w:afterAutospacing="0"/>
        <w:ind w:left="1440" w:hanging="360"/>
        <w:rPr>
          <w:rFonts w:ascii="Calibri" w:cs="Calibri" w:eastAsia="Calibri" w:hAnsi="Calibri"/>
          <w:u w:val="none"/>
        </w:rPr>
      </w:pPr>
      <w:r w:rsidDel="00000000" w:rsidR="00000000" w:rsidRPr="00000000">
        <w:rPr>
          <w:rFonts w:ascii="Calibri" w:cs="Calibri" w:eastAsia="Calibri" w:hAnsi="Calibri"/>
          <w:rtl w:val="0"/>
        </w:rPr>
        <w:t xml:space="preserve">Overview </w:t>
      </w:r>
    </w:p>
    <w:p w:rsidR="00000000" w:rsidDel="00000000" w:rsidP="00000000" w:rsidRDefault="00000000" w:rsidRPr="00000000" w14:paraId="00000089">
      <w:pPr>
        <w:numPr>
          <w:ilvl w:val="1"/>
          <w:numId w:val="1"/>
        </w:numPr>
        <w:spacing w:after="0" w:afterAutospacing="0"/>
        <w:ind w:left="1440" w:hanging="360"/>
        <w:rPr>
          <w:rFonts w:ascii="Calibri" w:cs="Calibri" w:eastAsia="Calibri" w:hAnsi="Calibri"/>
          <w:u w:val="none"/>
        </w:rPr>
      </w:pPr>
      <w:r w:rsidDel="00000000" w:rsidR="00000000" w:rsidRPr="00000000">
        <w:rPr>
          <w:rFonts w:ascii="Calibri" w:cs="Calibri" w:eastAsia="Calibri" w:hAnsi="Calibri"/>
          <w:rtl w:val="0"/>
        </w:rPr>
        <w:t xml:space="preserve">Investing </w:t>
      </w:r>
    </w:p>
    <w:p w:rsidR="00000000" w:rsidDel="00000000" w:rsidP="00000000" w:rsidRDefault="00000000" w:rsidRPr="00000000" w14:paraId="0000008A">
      <w:pPr>
        <w:numPr>
          <w:ilvl w:val="1"/>
          <w:numId w:val="1"/>
        </w:numPr>
        <w:spacing w:after="0" w:afterAutospacing="0"/>
        <w:ind w:left="1440" w:hanging="360"/>
        <w:rPr>
          <w:rFonts w:ascii="Calibri" w:cs="Calibri" w:eastAsia="Calibri" w:hAnsi="Calibri"/>
          <w:u w:val="none"/>
        </w:rPr>
      </w:pPr>
      <w:r w:rsidDel="00000000" w:rsidR="00000000" w:rsidRPr="00000000">
        <w:rPr>
          <w:rFonts w:ascii="Calibri" w:cs="Calibri" w:eastAsia="Calibri" w:hAnsi="Calibri"/>
          <w:rtl w:val="0"/>
        </w:rPr>
        <w:t xml:space="preserve">Savings</w:t>
      </w:r>
    </w:p>
    <w:p w:rsidR="00000000" w:rsidDel="00000000" w:rsidP="00000000" w:rsidRDefault="00000000" w:rsidRPr="00000000" w14:paraId="0000008B">
      <w:pPr>
        <w:numPr>
          <w:ilvl w:val="1"/>
          <w:numId w:val="1"/>
        </w:numPr>
        <w:spacing w:after="0" w:afterAutospacing="0"/>
        <w:ind w:left="1440" w:hanging="360"/>
        <w:rPr>
          <w:rFonts w:ascii="Calibri" w:cs="Calibri" w:eastAsia="Calibri" w:hAnsi="Calibri"/>
          <w:u w:val="none"/>
        </w:rPr>
      </w:pPr>
      <w:r w:rsidDel="00000000" w:rsidR="00000000" w:rsidRPr="00000000">
        <w:rPr>
          <w:rFonts w:ascii="Calibri" w:cs="Calibri" w:eastAsia="Calibri" w:hAnsi="Calibri"/>
          <w:rtl w:val="0"/>
        </w:rPr>
        <w:t xml:space="preserve">Markets </w:t>
      </w:r>
    </w:p>
    <w:p w:rsidR="00000000" w:rsidDel="00000000" w:rsidP="00000000" w:rsidRDefault="00000000" w:rsidRPr="00000000" w14:paraId="0000008C">
      <w:pPr>
        <w:numPr>
          <w:ilvl w:val="1"/>
          <w:numId w:val="1"/>
        </w:numPr>
        <w:spacing w:after="0" w:afterAutospacing="0"/>
        <w:ind w:left="1440" w:hanging="360"/>
        <w:rPr>
          <w:rFonts w:ascii="Calibri" w:cs="Calibri" w:eastAsia="Calibri" w:hAnsi="Calibri"/>
          <w:u w:val="none"/>
        </w:rPr>
      </w:pPr>
      <w:r w:rsidDel="00000000" w:rsidR="00000000" w:rsidRPr="00000000">
        <w:rPr>
          <w:rFonts w:ascii="Calibri" w:cs="Calibri" w:eastAsia="Calibri" w:hAnsi="Calibri"/>
          <w:rtl w:val="0"/>
        </w:rPr>
        <w:t xml:space="preserve">Watchlists </w:t>
      </w:r>
    </w:p>
    <w:p w:rsidR="00000000" w:rsidDel="00000000" w:rsidP="00000000" w:rsidRDefault="00000000" w:rsidRPr="00000000" w14:paraId="0000008D">
      <w:pPr>
        <w:numPr>
          <w:ilvl w:val="1"/>
          <w:numId w:val="1"/>
        </w:numPr>
        <w:spacing w:after="0" w:afterAutospacing="0"/>
        <w:ind w:left="1440" w:hanging="360"/>
        <w:rPr>
          <w:rFonts w:ascii="Calibri" w:cs="Calibri" w:eastAsia="Calibri" w:hAnsi="Calibri"/>
          <w:u w:val="none"/>
        </w:rPr>
      </w:pPr>
      <w:r w:rsidDel="00000000" w:rsidR="00000000" w:rsidRPr="00000000">
        <w:rPr>
          <w:rFonts w:ascii="Calibri" w:cs="Calibri" w:eastAsia="Calibri" w:hAnsi="Calibri"/>
          <w:rtl w:val="0"/>
        </w:rPr>
        <w:t xml:space="preserve">News</w:t>
      </w:r>
    </w:p>
    <w:p w:rsidR="00000000" w:rsidDel="00000000" w:rsidP="00000000" w:rsidRDefault="00000000" w:rsidRPr="00000000" w14:paraId="0000008E">
      <w:pPr>
        <w:numPr>
          <w:ilvl w:val="0"/>
          <w:numId w:val="1"/>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Markets</w:t>
      </w:r>
    </w:p>
    <w:p w:rsidR="00000000" w:rsidDel="00000000" w:rsidP="00000000" w:rsidRDefault="00000000" w:rsidRPr="00000000" w14:paraId="0000008F">
      <w:pPr>
        <w:numPr>
          <w:ilvl w:val="0"/>
          <w:numId w:val="1"/>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Watchlists</w:t>
      </w:r>
    </w:p>
    <w:p w:rsidR="00000000" w:rsidDel="00000000" w:rsidP="00000000" w:rsidRDefault="00000000" w:rsidRPr="00000000" w14:paraId="00000090">
      <w:pPr>
        <w:numPr>
          <w:ilvl w:val="0"/>
          <w:numId w:val="1"/>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News</w:t>
      </w:r>
    </w:p>
    <w:p w:rsidR="00000000" w:rsidDel="00000000" w:rsidP="00000000" w:rsidRDefault="00000000" w:rsidRPr="00000000" w14:paraId="00000091">
      <w:pPr>
        <w:numPr>
          <w:ilvl w:val="1"/>
          <w:numId w:val="1"/>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Grouped by Theme</w:t>
      </w:r>
    </w:p>
    <w:p w:rsidR="00000000" w:rsidDel="00000000" w:rsidP="00000000" w:rsidRDefault="00000000" w:rsidRPr="00000000" w14:paraId="00000092">
      <w:pPr>
        <w:rPr>
          <w:rFonts w:ascii="Calibri" w:cs="Calibri" w:eastAsia="Calibri" w:hAnsi="Calibri"/>
        </w:rPr>
      </w:pPr>
      <w:r w:rsidDel="00000000" w:rsidR="00000000" w:rsidRPr="00000000">
        <w:rPr>
          <w:rFonts w:ascii="Calibri" w:cs="Calibri" w:eastAsia="Calibri" w:hAnsi="Calibri"/>
          <w:b w:val="1"/>
          <w:bCs w:val="1"/>
          <w:rtl w:val="0"/>
        </w:rPr>
        <w:t xml:space="preserve">Side/hamburger menu items:</w:t>
      </w:r>
      <w:r w:rsidDel="00000000" w:rsidR="00000000" w:rsidRPr="00000000">
        <w:rPr>
          <w:rFonts w:ascii="Calibri" w:cs="Calibri" w:eastAsia="Calibri" w:hAnsi="Calibri"/>
          <w:rtl w:val="0"/>
        </w:rPr>
        <w:t xml:space="preserve"> </w:t>
      </w:r>
    </w:p>
    <w:p w:rsidR="00000000" w:rsidDel="00000000" w:rsidP="00000000" w:rsidRDefault="00000000" w:rsidRPr="00000000" w14:paraId="00000093">
      <w:pPr>
        <w:numPr>
          <w:ilvl w:val="0"/>
          <w:numId w:val="14"/>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Personal details </w:t>
      </w:r>
    </w:p>
    <w:p w:rsidR="00000000" w:rsidDel="00000000" w:rsidP="00000000" w:rsidRDefault="00000000" w:rsidRPr="00000000" w14:paraId="00000094">
      <w:pPr>
        <w:numPr>
          <w:ilvl w:val="0"/>
          <w:numId w:val="14"/>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Messages</w:t>
      </w:r>
    </w:p>
    <w:p w:rsidR="00000000" w:rsidDel="00000000" w:rsidP="00000000" w:rsidRDefault="00000000" w:rsidRPr="00000000" w14:paraId="00000095">
      <w:pPr>
        <w:numPr>
          <w:ilvl w:val="0"/>
          <w:numId w:val="14"/>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Settings</w:t>
      </w:r>
    </w:p>
    <w:p w:rsidR="00000000" w:rsidDel="00000000" w:rsidP="00000000" w:rsidRDefault="00000000" w:rsidRPr="00000000" w14:paraId="00000096">
      <w:pPr>
        <w:numPr>
          <w:ilvl w:val="0"/>
          <w:numId w:val="14"/>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See what’s changed</w:t>
      </w:r>
    </w:p>
    <w:p w:rsidR="00000000" w:rsidDel="00000000" w:rsidP="00000000" w:rsidRDefault="00000000" w:rsidRPr="00000000" w14:paraId="00000097">
      <w:pPr>
        <w:numPr>
          <w:ilvl w:val="0"/>
          <w:numId w:val="14"/>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Help </w:t>
      </w:r>
    </w:p>
    <w:p w:rsidR="00000000" w:rsidDel="00000000" w:rsidP="00000000" w:rsidRDefault="00000000" w:rsidRPr="00000000" w14:paraId="00000098">
      <w:pPr>
        <w:numPr>
          <w:ilvl w:val="0"/>
          <w:numId w:val="14"/>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Contact us </w:t>
      </w:r>
    </w:p>
    <w:p w:rsidR="00000000" w:rsidDel="00000000" w:rsidP="00000000" w:rsidRDefault="00000000" w:rsidRPr="00000000" w14:paraId="00000099">
      <w:pPr>
        <w:numPr>
          <w:ilvl w:val="0"/>
          <w:numId w:val="1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Send us feedback </w:t>
      </w:r>
    </w:p>
    <w:p w:rsidR="00000000" w:rsidDel="00000000" w:rsidP="00000000" w:rsidRDefault="00000000" w:rsidRPr="00000000" w14:paraId="0000009A">
      <w:pP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3.2 Accessibility &amp; Customisation</w:t>
      </w:r>
    </w:p>
    <w:p w:rsidR="00000000" w:rsidDel="00000000" w:rsidP="00000000" w:rsidRDefault="00000000" w:rsidRPr="00000000" w14:paraId="0000009B">
      <w:pPr>
        <w:rPr>
          <w:rFonts w:ascii="Calibri" w:cs="Calibri" w:eastAsia="Calibri" w:hAnsi="Calibri"/>
        </w:rPr>
      </w:pPr>
      <w:r w:rsidDel="00000000" w:rsidR="00000000" w:rsidRPr="00000000">
        <w:rPr>
          <w:rFonts w:ascii="Calibri" w:cs="Calibri" w:eastAsia="Calibri" w:hAnsi="Calibri"/>
          <w:b w:val="1"/>
          <w:bCs w:val="1"/>
          <w:rtl w:val="0"/>
        </w:rPr>
        <w:t xml:space="preserve">Dark mode:</w:t>
      </w:r>
      <w:r w:rsidDel="00000000" w:rsidR="00000000" w:rsidRPr="00000000">
        <w:rPr>
          <w:rFonts w:ascii="Calibri" w:cs="Calibri" w:eastAsia="Calibri" w:hAnsi="Calibri"/>
          <w:rtl w:val="0"/>
        </w:rPr>
        <w:t xml:space="preserve"> [/] Yes   [ ] No</w:t>
      </w:r>
    </w:p>
    <w:p w:rsidR="00000000" w:rsidDel="00000000" w:rsidP="00000000" w:rsidRDefault="00000000" w:rsidRPr="00000000" w14:paraId="0000009C">
      <w:pPr>
        <w:rPr>
          <w:rFonts w:ascii="Calibri" w:cs="Calibri" w:eastAsia="Calibri" w:hAnsi="Calibri"/>
        </w:rPr>
      </w:pPr>
      <w:r w:rsidDel="00000000" w:rsidR="00000000" w:rsidRPr="00000000">
        <w:rPr>
          <w:rFonts w:ascii="Calibri" w:cs="Calibri" w:eastAsia="Calibri" w:hAnsi="Calibri"/>
          <w:b w:val="1"/>
          <w:bCs w:val="1"/>
          <w:rtl w:val="0"/>
        </w:rPr>
        <w:t xml:space="preserve">Font size controls:</w:t>
      </w:r>
      <w:r w:rsidDel="00000000" w:rsidR="00000000" w:rsidRPr="00000000">
        <w:rPr>
          <w:rFonts w:ascii="Calibri" w:cs="Calibri" w:eastAsia="Calibri" w:hAnsi="Calibri"/>
          <w:rtl w:val="0"/>
        </w:rPr>
        <w:t xml:space="preserve"> [ ] Yes   [/] No </w:t>
      </w:r>
    </w:p>
    <w:p w:rsidR="00000000" w:rsidDel="00000000" w:rsidP="00000000" w:rsidRDefault="00000000" w:rsidRPr="00000000" w14:paraId="0000009D">
      <w:pPr>
        <w:rPr>
          <w:rFonts w:ascii="Calibri" w:cs="Calibri" w:eastAsia="Calibri" w:hAnsi="Calibri"/>
        </w:rPr>
      </w:pPr>
      <w:r w:rsidDel="00000000" w:rsidR="00000000" w:rsidRPr="00000000">
        <w:rPr>
          <w:rFonts w:ascii="Calibri" w:cs="Calibri" w:eastAsia="Calibri" w:hAnsi="Calibri"/>
          <w:b w:val="1"/>
          <w:bCs w:val="1"/>
          <w:rtl w:val="0"/>
        </w:rPr>
        <w:t xml:space="preserve">Language options: </w:t>
      </w:r>
      <w:r w:rsidDel="00000000" w:rsidR="00000000" w:rsidRPr="00000000">
        <w:rPr>
          <w:rFonts w:ascii="Calibri" w:cs="Calibri" w:eastAsia="Calibri" w:hAnsi="Calibri"/>
          <w:rtl w:val="0"/>
        </w:rPr>
        <w:t xml:space="preserve">Can’t find it if there is the availability </w:t>
      </w:r>
    </w:p>
    <w:p w:rsidR="00000000" w:rsidDel="00000000" w:rsidP="00000000" w:rsidRDefault="00000000" w:rsidRPr="00000000" w14:paraId="0000009E">
      <w:pPr>
        <w:rPr>
          <w:rFonts w:ascii="Calibri" w:cs="Calibri" w:eastAsia="Calibri" w:hAnsi="Calibri"/>
        </w:rPr>
      </w:pPr>
      <w:r w:rsidDel="00000000" w:rsidR="00000000" w:rsidRPr="00000000">
        <w:rPr>
          <w:rFonts w:ascii="Calibri" w:cs="Calibri" w:eastAsia="Calibri" w:hAnsi="Calibri"/>
          <w:b w:val="1"/>
          <w:bCs w:val="1"/>
          <w:rtl w:val="0"/>
        </w:rPr>
        <w:t xml:space="preserve">Biometric login (Face/Touch ID):</w:t>
      </w:r>
      <w:r w:rsidDel="00000000" w:rsidR="00000000" w:rsidRPr="00000000">
        <w:rPr>
          <w:rFonts w:ascii="Calibri" w:cs="Calibri" w:eastAsia="Calibri" w:hAnsi="Calibri"/>
          <w:rtl w:val="0"/>
        </w:rPr>
        <w:t xml:space="preserve"> [/] Yes   [ ] No</w:t>
      </w:r>
    </w:p>
    <w:p w:rsidR="00000000" w:rsidDel="00000000" w:rsidP="00000000" w:rsidRDefault="00000000" w:rsidRPr="00000000" w14:paraId="0000009F">
      <w:pPr>
        <w:rPr>
          <w:rFonts w:ascii="Calibri" w:cs="Calibri" w:eastAsia="Calibri" w:hAnsi="Calibri"/>
        </w:rPr>
      </w:pPr>
      <w:r w:rsidDel="00000000" w:rsidR="00000000" w:rsidRPr="00000000">
        <w:rPr>
          <w:rFonts w:ascii="Calibri" w:cs="Calibri" w:eastAsia="Calibri" w:hAnsi="Calibri"/>
          <w:b w:val="1"/>
          <w:bCs w:val="1"/>
          <w:rtl w:val="0"/>
        </w:rPr>
        <w:t xml:space="preserve">Notification preference granularity (1–5):</w:t>
      </w:r>
      <w:r w:rsidDel="00000000" w:rsidR="00000000" w:rsidRPr="00000000">
        <w:rPr>
          <w:rFonts w:ascii="Calibri" w:cs="Calibri" w:eastAsia="Calibri" w:hAnsi="Calibri"/>
          <w:rtl w:val="0"/>
        </w:rPr>
        <w:t xml:space="preserve"> 1 - literally just opt in or out for emails/phone calls/post </w:t>
      </w:r>
    </w:p>
    <w:p w:rsidR="00000000" w:rsidDel="00000000" w:rsidP="00000000" w:rsidRDefault="00000000" w:rsidRPr="00000000" w14:paraId="000000A0">
      <w:pPr>
        <w:rPr>
          <w:rFonts w:ascii="Calibri" w:cs="Calibri" w:eastAsia="Calibri" w:hAnsi="Calibri"/>
        </w:rPr>
      </w:pPr>
      <w:r w:rsidDel="00000000" w:rsidR="00000000" w:rsidRPr="00000000">
        <w:rPr>
          <w:rFonts w:ascii="Calibri" w:cs="Calibri" w:eastAsia="Calibri" w:hAnsi="Calibri"/>
          <w:b w:val="1"/>
          <w:bCs w:val="1"/>
          <w:rtl w:val="0"/>
        </w:rPr>
        <w:t xml:space="preserve">Accessibility features (screen readers, haptics, etc.): </w:t>
      </w:r>
      <w:r w:rsidDel="00000000" w:rsidR="00000000" w:rsidRPr="00000000">
        <w:rPr>
          <w:rFonts w:ascii="Calibri" w:cs="Calibri" w:eastAsia="Calibri" w:hAnsi="Calibri"/>
          <w:rtl w:val="0"/>
        </w:rPr>
        <w:t xml:space="preserve">I don’t see accessibility settings </w:t>
      </w:r>
    </w:p>
    <w:p w:rsidR="00000000" w:rsidDel="00000000" w:rsidP="00000000" w:rsidRDefault="00000000" w:rsidRPr="00000000" w14:paraId="000000A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3.3 Persistent Navigation &amp; Search</w:t>
      </w:r>
    </w:p>
    <w:p w:rsidR="00000000" w:rsidDel="00000000" w:rsidP="00000000" w:rsidRDefault="00000000" w:rsidRPr="00000000" w14:paraId="000000A2">
      <w:pPr>
        <w:rPr>
          <w:rFonts w:ascii="Calibri" w:cs="Calibri" w:eastAsia="Calibri" w:hAnsi="Calibri"/>
        </w:rPr>
      </w:pPr>
      <w:r w:rsidDel="00000000" w:rsidR="00000000" w:rsidRPr="00000000">
        <w:rPr>
          <w:rFonts w:ascii="Calibri" w:cs="Calibri" w:eastAsia="Calibri" w:hAnsi="Calibri"/>
          <w:b w:val="1"/>
          <w:bCs w:val="1"/>
          <w:rtl w:val="0"/>
        </w:rPr>
        <w:t xml:space="preserve">Navigation type:</w:t>
      </w:r>
      <w:r w:rsidDel="00000000" w:rsidR="00000000" w:rsidRPr="00000000">
        <w:rPr>
          <w:rFonts w:ascii="Calibri" w:cs="Calibri" w:eastAsia="Calibri" w:hAnsi="Calibri"/>
          <w:rtl w:val="0"/>
        </w:rPr>
        <w:t xml:space="preserve"> [/] Bottom bar   [ ] Side drawer   [ ] Floating buttons   [ ] Hidden menus</w:t>
      </w:r>
    </w:p>
    <w:p w:rsidR="00000000" w:rsidDel="00000000" w:rsidP="00000000" w:rsidRDefault="00000000" w:rsidRPr="00000000" w14:paraId="000000A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Search test – Shell stock:</w:t>
      </w:r>
    </w:p>
    <w:p w:rsidR="00000000" w:rsidDel="00000000" w:rsidP="00000000" w:rsidRDefault="00000000" w:rsidRPr="00000000" w14:paraId="000000A4">
      <w:pP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2547006" cy="5081588"/>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47006" cy="5081588"/>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rFonts w:ascii="Calibri" w:cs="Calibri" w:eastAsia="Calibri" w:hAnsi="Calibri"/>
        </w:rPr>
      </w:pPr>
      <w:r w:rsidDel="00000000" w:rsidR="00000000" w:rsidRPr="00000000">
        <w:rPr>
          <w:rFonts w:ascii="Calibri" w:cs="Calibri" w:eastAsia="Calibri" w:hAnsi="Calibri"/>
          <w:rtl w:val="0"/>
        </w:rPr>
        <w:t xml:space="preserve"> Vanguard Funds Plc </w:t>
      </w:r>
    </w:p>
    <w:p w:rsidR="00000000" w:rsidDel="00000000" w:rsidP="00000000" w:rsidRDefault="00000000" w:rsidRPr="00000000" w14:paraId="000000A6">
      <w:pPr>
        <w:numPr>
          <w:ilvl w:val="0"/>
          <w:numId w:val="12"/>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Line Chart </w:t>
      </w:r>
    </w:p>
    <w:p w:rsidR="00000000" w:rsidDel="00000000" w:rsidP="00000000" w:rsidRDefault="00000000" w:rsidRPr="00000000" w14:paraId="000000A7">
      <w:pPr>
        <w:numPr>
          <w:ilvl w:val="0"/>
          <w:numId w:val="12"/>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Overview</w:t>
      </w:r>
    </w:p>
    <w:p w:rsidR="00000000" w:rsidDel="00000000" w:rsidP="00000000" w:rsidRDefault="00000000" w:rsidRPr="00000000" w14:paraId="000000A8">
      <w:pPr>
        <w:numPr>
          <w:ilvl w:val="1"/>
          <w:numId w:val="12"/>
        </w:numPr>
        <w:spacing w:after="0" w:afterAutospacing="0"/>
        <w:ind w:left="1440" w:hanging="360"/>
        <w:rPr>
          <w:rFonts w:ascii="Calibri" w:cs="Calibri" w:eastAsia="Calibri" w:hAnsi="Calibri"/>
          <w:u w:val="none"/>
        </w:rPr>
      </w:pPr>
      <w:r w:rsidDel="00000000" w:rsidR="00000000" w:rsidRPr="00000000">
        <w:rPr>
          <w:rFonts w:ascii="Calibri" w:cs="Calibri" w:eastAsia="Calibri" w:hAnsi="Calibri"/>
          <w:rtl w:val="0"/>
        </w:rPr>
        <w:t xml:space="preserve">Headline Data </w:t>
      </w:r>
    </w:p>
    <w:p w:rsidR="00000000" w:rsidDel="00000000" w:rsidP="00000000" w:rsidRDefault="00000000" w:rsidRPr="00000000" w14:paraId="000000A9">
      <w:pPr>
        <w:numPr>
          <w:ilvl w:val="1"/>
          <w:numId w:val="12"/>
        </w:numPr>
        <w:spacing w:after="0" w:afterAutospacing="0"/>
        <w:ind w:left="1440" w:hanging="360"/>
        <w:rPr>
          <w:rFonts w:ascii="Calibri" w:cs="Calibri" w:eastAsia="Calibri" w:hAnsi="Calibri"/>
          <w:u w:val="none"/>
        </w:rPr>
      </w:pPr>
      <w:r w:rsidDel="00000000" w:rsidR="00000000" w:rsidRPr="00000000">
        <w:rPr>
          <w:rFonts w:ascii="Calibri" w:cs="Calibri" w:eastAsia="Calibri" w:hAnsi="Calibri"/>
          <w:rtl w:val="0"/>
        </w:rPr>
        <w:t xml:space="preserve">Performance </w:t>
      </w:r>
    </w:p>
    <w:p w:rsidR="00000000" w:rsidDel="00000000" w:rsidP="00000000" w:rsidRDefault="00000000" w:rsidRPr="00000000" w14:paraId="000000AA">
      <w:pPr>
        <w:numPr>
          <w:ilvl w:val="1"/>
          <w:numId w:val="12"/>
        </w:numPr>
        <w:spacing w:after="0" w:afterAutospacing="0"/>
        <w:ind w:left="1440" w:hanging="360"/>
        <w:rPr>
          <w:rFonts w:ascii="Calibri" w:cs="Calibri" w:eastAsia="Calibri" w:hAnsi="Calibri"/>
          <w:u w:val="none"/>
        </w:rPr>
      </w:pPr>
      <w:r w:rsidDel="00000000" w:rsidR="00000000" w:rsidRPr="00000000">
        <w:rPr>
          <w:rFonts w:ascii="Calibri" w:cs="Calibri" w:eastAsia="Calibri" w:hAnsi="Calibri"/>
          <w:rtl w:val="0"/>
        </w:rPr>
        <w:t xml:space="preserve">Reports &amp; Accounts </w:t>
      </w:r>
    </w:p>
    <w:p w:rsidR="00000000" w:rsidDel="00000000" w:rsidP="00000000" w:rsidRDefault="00000000" w:rsidRPr="00000000" w14:paraId="000000AB">
      <w:pPr>
        <w:numPr>
          <w:ilvl w:val="0"/>
          <w:numId w:val="12"/>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Markets </w:t>
      </w:r>
    </w:p>
    <w:p w:rsidR="00000000" w:rsidDel="00000000" w:rsidP="00000000" w:rsidRDefault="00000000" w:rsidRPr="00000000" w14:paraId="000000AC">
      <w:pPr>
        <w:numPr>
          <w:ilvl w:val="1"/>
          <w:numId w:val="12"/>
        </w:numPr>
        <w:spacing w:after="0" w:afterAutospacing="0"/>
        <w:ind w:left="1440" w:hanging="360"/>
        <w:rPr>
          <w:rFonts w:ascii="Calibri" w:cs="Calibri" w:eastAsia="Calibri" w:hAnsi="Calibri"/>
          <w:u w:val="none"/>
        </w:rPr>
      </w:pPr>
      <w:r w:rsidDel="00000000" w:rsidR="00000000" w:rsidRPr="00000000">
        <w:rPr>
          <w:rFonts w:ascii="Calibri" w:cs="Calibri" w:eastAsia="Calibri" w:hAnsi="Calibri"/>
          <w:rtl w:val="0"/>
        </w:rPr>
        <w:t xml:space="preserve">Risers/Fallers </w:t>
      </w:r>
    </w:p>
    <w:p w:rsidR="00000000" w:rsidDel="00000000" w:rsidP="00000000" w:rsidRDefault="00000000" w:rsidRPr="00000000" w14:paraId="000000AD">
      <w:pPr>
        <w:numPr>
          <w:ilvl w:val="1"/>
          <w:numId w:val="12"/>
        </w:numPr>
        <w:spacing w:after="0" w:afterAutospacing="0"/>
        <w:ind w:left="1440" w:hanging="360"/>
        <w:rPr>
          <w:rFonts w:ascii="Calibri" w:cs="Calibri" w:eastAsia="Calibri" w:hAnsi="Calibri"/>
          <w:u w:val="none"/>
        </w:rPr>
      </w:pPr>
      <w:r w:rsidDel="00000000" w:rsidR="00000000" w:rsidRPr="00000000">
        <w:rPr>
          <w:rFonts w:ascii="Calibri" w:cs="Calibri" w:eastAsia="Calibri" w:hAnsi="Calibri"/>
          <w:rtl w:val="0"/>
        </w:rPr>
        <w:t xml:space="preserve">Currencies </w:t>
      </w:r>
    </w:p>
    <w:p w:rsidR="00000000" w:rsidDel="00000000" w:rsidP="00000000" w:rsidRDefault="00000000" w:rsidRPr="00000000" w14:paraId="000000AE">
      <w:pPr>
        <w:numPr>
          <w:ilvl w:val="1"/>
          <w:numId w:val="12"/>
        </w:numPr>
        <w:spacing w:after="0" w:afterAutospacing="0"/>
        <w:ind w:left="1440" w:hanging="360"/>
        <w:rPr>
          <w:rFonts w:ascii="Calibri" w:cs="Calibri" w:eastAsia="Calibri" w:hAnsi="Calibri"/>
          <w:u w:val="none"/>
        </w:rPr>
      </w:pPr>
      <w:r w:rsidDel="00000000" w:rsidR="00000000" w:rsidRPr="00000000">
        <w:rPr>
          <w:rFonts w:ascii="Calibri" w:cs="Calibri" w:eastAsia="Calibri" w:hAnsi="Calibri"/>
          <w:rtl w:val="0"/>
        </w:rPr>
        <w:t xml:space="preserve">Commodities</w:t>
      </w:r>
    </w:p>
    <w:p w:rsidR="00000000" w:rsidDel="00000000" w:rsidP="00000000" w:rsidRDefault="00000000" w:rsidRPr="00000000" w14:paraId="000000AF">
      <w:pPr>
        <w:numPr>
          <w:ilvl w:val="1"/>
          <w:numId w:val="12"/>
        </w:numPr>
        <w:spacing w:after="0" w:afterAutospacing="0"/>
        <w:ind w:left="1440" w:hanging="360"/>
        <w:rPr>
          <w:rFonts w:ascii="Calibri" w:cs="Calibri" w:eastAsia="Calibri" w:hAnsi="Calibri"/>
          <w:u w:val="none"/>
        </w:rPr>
      </w:pPr>
      <w:r w:rsidDel="00000000" w:rsidR="00000000" w:rsidRPr="00000000">
        <w:rPr>
          <w:rFonts w:ascii="Calibri" w:cs="Calibri" w:eastAsia="Calibri" w:hAnsi="Calibri"/>
          <w:rtl w:val="0"/>
        </w:rPr>
        <w:t xml:space="preserve">Most traded </w:t>
      </w:r>
    </w:p>
    <w:p w:rsidR="00000000" w:rsidDel="00000000" w:rsidP="00000000" w:rsidRDefault="00000000" w:rsidRPr="00000000" w14:paraId="000000B0">
      <w:pPr>
        <w:numPr>
          <w:ilvl w:val="0"/>
          <w:numId w:val="12"/>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Watchlists </w:t>
      </w:r>
    </w:p>
    <w:p w:rsidR="00000000" w:rsidDel="00000000" w:rsidP="00000000" w:rsidRDefault="00000000" w:rsidRPr="00000000" w14:paraId="000000B1">
      <w:pPr>
        <w:numPr>
          <w:ilvl w:val="1"/>
          <w:numId w:val="12"/>
        </w:numPr>
        <w:spacing w:after="0" w:afterAutospacing="0"/>
        <w:ind w:left="1440" w:hanging="360"/>
        <w:rPr>
          <w:rFonts w:ascii="Calibri" w:cs="Calibri" w:eastAsia="Calibri" w:hAnsi="Calibri"/>
          <w:u w:val="none"/>
        </w:rPr>
      </w:pPr>
      <w:r w:rsidDel="00000000" w:rsidR="00000000" w:rsidRPr="00000000">
        <w:rPr>
          <w:rFonts w:ascii="Calibri" w:cs="Calibri" w:eastAsia="Calibri" w:hAnsi="Calibri"/>
          <w:rtl w:val="0"/>
        </w:rPr>
        <w:t xml:space="preserve">Create a watchlist </w:t>
      </w:r>
    </w:p>
    <w:p w:rsidR="00000000" w:rsidDel="00000000" w:rsidP="00000000" w:rsidRDefault="00000000" w:rsidRPr="00000000" w14:paraId="000000B2">
      <w:pPr>
        <w:numPr>
          <w:ilvl w:val="0"/>
          <w:numId w:val="12"/>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News </w:t>
      </w:r>
    </w:p>
    <w:p w:rsidR="00000000" w:rsidDel="00000000" w:rsidP="00000000" w:rsidRDefault="00000000" w:rsidRPr="00000000" w14:paraId="000000B3">
      <w:pPr>
        <w:numPr>
          <w:ilvl w:val="1"/>
          <w:numId w:val="12"/>
        </w:numPr>
        <w:spacing w:after="0" w:afterAutospacing="0"/>
        <w:ind w:left="1440" w:hanging="360"/>
        <w:rPr>
          <w:rFonts w:ascii="Calibri" w:cs="Calibri" w:eastAsia="Calibri" w:hAnsi="Calibri"/>
          <w:u w:val="none"/>
        </w:rPr>
      </w:pPr>
      <w:r w:rsidDel="00000000" w:rsidR="00000000" w:rsidRPr="00000000">
        <w:rPr>
          <w:rFonts w:ascii="Calibri" w:cs="Calibri" w:eastAsia="Calibri" w:hAnsi="Calibri"/>
          <w:rtl w:val="0"/>
        </w:rPr>
        <w:t xml:space="preserve">Investment ideas </w:t>
      </w:r>
    </w:p>
    <w:p w:rsidR="00000000" w:rsidDel="00000000" w:rsidP="00000000" w:rsidRDefault="00000000" w:rsidRPr="00000000" w14:paraId="000000B4">
      <w:pPr>
        <w:numPr>
          <w:ilvl w:val="1"/>
          <w:numId w:val="12"/>
        </w:numPr>
        <w:spacing w:after="0" w:afterAutospacing="0"/>
        <w:ind w:left="1440" w:hanging="360"/>
        <w:rPr>
          <w:rFonts w:ascii="Calibri" w:cs="Calibri" w:eastAsia="Calibri" w:hAnsi="Calibri"/>
          <w:u w:val="none"/>
        </w:rPr>
      </w:pPr>
      <w:r w:rsidDel="00000000" w:rsidR="00000000" w:rsidRPr="00000000">
        <w:rPr>
          <w:rFonts w:ascii="Calibri" w:cs="Calibri" w:eastAsia="Calibri" w:hAnsi="Calibri"/>
          <w:rtl w:val="0"/>
        </w:rPr>
        <w:t xml:space="preserve">Personal finance </w:t>
      </w:r>
    </w:p>
    <w:p w:rsidR="00000000" w:rsidDel="00000000" w:rsidP="00000000" w:rsidRDefault="00000000" w:rsidRPr="00000000" w14:paraId="000000B5">
      <w:pPr>
        <w:numPr>
          <w:ilvl w:val="1"/>
          <w:numId w:val="12"/>
        </w:numPr>
        <w:spacing w:after="0" w:afterAutospacing="0"/>
        <w:ind w:left="1440" w:hanging="360"/>
        <w:rPr>
          <w:rFonts w:ascii="Calibri" w:cs="Calibri" w:eastAsia="Calibri" w:hAnsi="Calibri"/>
          <w:u w:val="none"/>
        </w:rPr>
      </w:pPr>
      <w:r w:rsidDel="00000000" w:rsidR="00000000" w:rsidRPr="00000000">
        <w:rPr>
          <w:rFonts w:ascii="Calibri" w:cs="Calibri" w:eastAsia="Calibri" w:hAnsi="Calibri"/>
          <w:rtl w:val="0"/>
        </w:rPr>
        <w:t xml:space="preserve">Share research and insight</w:t>
      </w:r>
    </w:p>
    <w:p w:rsidR="00000000" w:rsidDel="00000000" w:rsidP="00000000" w:rsidRDefault="00000000" w:rsidRPr="00000000" w14:paraId="000000B6">
      <w:pPr>
        <w:numPr>
          <w:ilvl w:val="1"/>
          <w:numId w:val="12"/>
        </w:numPr>
        <w:spacing w:after="0" w:afterAutospacing="0"/>
        <w:ind w:left="1440" w:hanging="360"/>
        <w:rPr>
          <w:rFonts w:ascii="Calibri" w:cs="Calibri" w:eastAsia="Calibri" w:hAnsi="Calibri"/>
          <w:u w:val="none"/>
        </w:rPr>
      </w:pPr>
      <w:r w:rsidDel="00000000" w:rsidR="00000000" w:rsidRPr="00000000">
        <w:rPr>
          <w:rFonts w:ascii="Calibri" w:cs="Calibri" w:eastAsia="Calibri" w:hAnsi="Calibri"/>
          <w:rtl w:val="0"/>
        </w:rPr>
        <w:t xml:space="preserve">Fund research and insight </w:t>
      </w:r>
    </w:p>
    <w:p w:rsidR="00000000" w:rsidDel="00000000" w:rsidP="00000000" w:rsidRDefault="00000000" w:rsidRPr="00000000" w14:paraId="000000B7">
      <w:pPr>
        <w:numPr>
          <w:ilvl w:val="1"/>
          <w:numId w:val="12"/>
        </w:numPr>
        <w:spacing w:after="0" w:afterAutospacing="0"/>
        <w:ind w:left="1440" w:hanging="360"/>
        <w:rPr>
          <w:rFonts w:ascii="Calibri" w:cs="Calibri" w:eastAsia="Calibri" w:hAnsi="Calibri"/>
          <w:u w:val="none"/>
        </w:rPr>
      </w:pPr>
      <w:r w:rsidDel="00000000" w:rsidR="00000000" w:rsidRPr="00000000">
        <w:rPr>
          <w:rFonts w:ascii="Calibri" w:cs="Calibri" w:eastAsia="Calibri" w:hAnsi="Calibri"/>
          <w:rtl w:val="0"/>
        </w:rPr>
        <w:t xml:space="preserve">Investment trust research and insight</w:t>
      </w:r>
    </w:p>
    <w:p w:rsidR="00000000" w:rsidDel="00000000" w:rsidP="00000000" w:rsidRDefault="00000000" w:rsidRPr="00000000" w14:paraId="000000B8">
      <w:pPr>
        <w:numPr>
          <w:ilvl w:val="1"/>
          <w:numId w:val="12"/>
        </w:numPr>
        <w:spacing w:after="0" w:afterAutospacing="0"/>
        <w:ind w:left="1440" w:hanging="360"/>
        <w:rPr>
          <w:rFonts w:ascii="Calibri" w:cs="Calibri" w:eastAsia="Calibri" w:hAnsi="Calibri"/>
          <w:u w:val="none"/>
        </w:rPr>
      </w:pPr>
      <w:r w:rsidDel="00000000" w:rsidR="00000000" w:rsidRPr="00000000">
        <w:rPr>
          <w:rFonts w:ascii="Calibri" w:cs="Calibri" w:eastAsia="Calibri" w:hAnsi="Calibri"/>
          <w:rtl w:val="0"/>
        </w:rPr>
        <w:t xml:space="preserve">ETF research and insight</w:t>
      </w:r>
    </w:p>
    <w:p w:rsidR="00000000" w:rsidDel="00000000" w:rsidP="00000000" w:rsidRDefault="00000000" w:rsidRPr="00000000" w14:paraId="000000B9">
      <w:pPr>
        <w:numPr>
          <w:ilvl w:val="1"/>
          <w:numId w:val="12"/>
        </w:numPr>
        <w:spacing w:after="0" w:afterAutospacing="0"/>
        <w:ind w:left="1440" w:hanging="360"/>
        <w:rPr>
          <w:rFonts w:ascii="Calibri" w:cs="Calibri" w:eastAsia="Calibri" w:hAnsi="Calibri"/>
          <w:u w:val="none"/>
        </w:rPr>
      </w:pPr>
      <w:r w:rsidDel="00000000" w:rsidR="00000000" w:rsidRPr="00000000">
        <w:rPr>
          <w:rFonts w:ascii="Calibri" w:cs="Calibri" w:eastAsia="Calibri" w:hAnsi="Calibri"/>
          <w:rtl w:val="0"/>
        </w:rPr>
        <w:t xml:space="preserve">Newsroom</w:t>
      </w:r>
    </w:p>
    <w:p w:rsidR="00000000" w:rsidDel="00000000" w:rsidP="00000000" w:rsidRDefault="00000000" w:rsidRPr="00000000" w14:paraId="000000BA">
      <w:pPr>
        <w:numPr>
          <w:ilvl w:val="1"/>
          <w:numId w:val="12"/>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News from ShareCast </w:t>
      </w:r>
    </w:p>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b w:val="1"/>
          <w:bCs w:val="1"/>
          <w:rtl w:val="0"/>
        </w:rPr>
        <w:t xml:space="preserve">Search test – 1 major ETF:</w:t>
      </w:r>
      <w:r w:rsidDel="00000000" w:rsidR="00000000" w:rsidRPr="00000000">
        <w:rPr>
          <w:rFonts w:ascii="Calibri" w:cs="Calibri" w:eastAsia="Calibri" w:hAnsi="Calibri"/>
          <w:rtl w:val="0"/>
        </w:rPr>
        <w:t xml:space="preserve"> </w:t>
      </w:r>
    </w:p>
    <w:p w:rsidR="00000000" w:rsidDel="00000000" w:rsidP="00000000" w:rsidRDefault="00000000" w:rsidRPr="00000000" w14:paraId="000000BC">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574957" cy="5157788"/>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574957" cy="5157788"/>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numPr>
          <w:ilvl w:val="0"/>
          <w:numId w:val="5"/>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Line Chart</w:t>
      </w:r>
    </w:p>
    <w:p w:rsidR="00000000" w:rsidDel="00000000" w:rsidP="00000000" w:rsidRDefault="00000000" w:rsidRPr="00000000" w14:paraId="000000BE">
      <w:pPr>
        <w:numPr>
          <w:ilvl w:val="0"/>
          <w:numId w:val="5"/>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Overview</w:t>
      </w:r>
    </w:p>
    <w:p w:rsidR="00000000" w:rsidDel="00000000" w:rsidP="00000000" w:rsidRDefault="00000000" w:rsidRPr="00000000" w14:paraId="000000BF">
      <w:pPr>
        <w:numPr>
          <w:ilvl w:val="1"/>
          <w:numId w:val="5"/>
        </w:numPr>
        <w:spacing w:after="0" w:afterAutospacing="0"/>
        <w:ind w:left="1440" w:hanging="360"/>
        <w:rPr>
          <w:rFonts w:ascii="Calibri" w:cs="Calibri" w:eastAsia="Calibri" w:hAnsi="Calibri"/>
          <w:u w:val="none"/>
        </w:rPr>
      </w:pPr>
      <w:r w:rsidDel="00000000" w:rsidR="00000000" w:rsidRPr="00000000">
        <w:rPr>
          <w:rFonts w:ascii="Calibri" w:cs="Calibri" w:eastAsia="Calibri" w:hAnsi="Calibri"/>
          <w:rtl w:val="0"/>
        </w:rPr>
        <w:t xml:space="preserve">Headline data </w:t>
      </w:r>
    </w:p>
    <w:p w:rsidR="00000000" w:rsidDel="00000000" w:rsidP="00000000" w:rsidRDefault="00000000" w:rsidRPr="00000000" w14:paraId="000000C0">
      <w:pPr>
        <w:numPr>
          <w:ilvl w:val="1"/>
          <w:numId w:val="5"/>
        </w:numPr>
        <w:spacing w:after="0" w:afterAutospacing="0"/>
        <w:ind w:left="1440" w:hanging="360"/>
        <w:rPr>
          <w:rFonts w:ascii="Calibri" w:cs="Calibri" w:eastAsia="Calibri" w:hAnsi="Calibri"/>
          <w:u w:val="none"/>
        </w:rPr>
      </w:pPr>
      <w:r w:rsidDel="00000000" w:rsidR="00000000" w:rsidRPr="00000000">
        <w:rPr>
          <w:rFonts w:ascii="Calibri" w:cs="Calibri" w:eastAsia="Calibri" w:hAnsi="Calibri"/>
          <w:rtl w:val="0"/>
        </w:rPr>
        <w:t xml:space="preserve">Costs </w:t>
      </w:r>
    </w:p>
    <w:p w:rsidR="00000000" w:rsidDel="00000000" w:rsidP="00000000" w:rsidRDefault="00000000" w:rsidRPr="00000000" w14:paraId="000000C1">
      <w:pPr>
        <w:numPr>
          <w:ilvl w:val="1"/>
          <w:numId w:val="5"/>
        </w:numPr>
        <w:spacing w:after="0" w:afterAutospacing="0"/>
        <w:ind w:left="1440" w:hanging="360"/>
        <w:rPr>
          <w:rFonts w:ascii="Calibri" w:cs="Calibri" w:eastAsia="Calibri" w:hAnsi="Calibri"/>
          <w:u w:val="none"/>
        </w:rPr>
      </w:pPr>
      <w:r w:rsidDel="00000000" w:rsidR="00000000" w:rsidRPr="00000000">
        <w:rPr>
          <w:rFonts w:ascii="Calibri" w:cs="Calibri" w:eastAsia="Calibri" w:hAnsi="Calibri"/>
          <w:rtl w:val="0"/>
        </w:rPr>
        <w:t xml:space="preserve">Important documents </w:t>
      </w:r>
    </w:p>
    <w:p w:rsidR="00000000" w:rsidDel="00000000" w:rsidP="00000000" w:rsidRDefault="00000000" w:rsidRPr="00000000" w14:paraId="000000C2">
      <w:pPr>
        <w:numPr>
          <w:ilvl w:val="1"/>
          <w:numId w:val="5"/>
        </w:numPr>
        <w:spacing w:after="0" w:afterAutospacing="0"/>
        <w:ind w:left="1440" w:hanging="360"/>
        <w:rPr>
          <w:rFonts w:ascii="Calibri" w:cs="Calibri" w:eastAsia="Calibri" w:hAnsi="Calibri"/>
          <w:u w:val="none"/>
        </w:rPr>
      </w:pPr>
      <w:r w:rsidDel="00000000" w:rsidR="00000000" w:rsidRPr="00000000">
        <w:rPr>
          <w:rFonts w:ascii="Calibri" w:cs="Calibri" w:eastAsia="Calibri" w:hAnsi="Calibri"/>
          <w:rtl w:val="0"/>
        </w:rPr>
        <w:t xml:space="preserve">Basics </w:t>
      </w:r>
    </w:p>
    <w:p w:rsidR="00000000" w:rsidDel="00000000" w:rsidP="00000000" w:rsidRDefault="00000000" w:rsidRPr="00000000" w14:paraId="000000C3">
      <w:pPr>
        <w:numPr>
          <w:ilvl w:val="1"/>
          <w:numId w:val="5"/>
        </w:numPr>
        <w:spacing w:after="0" w:afterAutospacing="0"/>
        <w:ind w:left="1440" w:hanging="360"/>
        <w:rPr>
          <w:rFonts w:ascii="Calibri" w:cs="Calibri" w:eastAsia="Calibri" w:hAnsi="Calibri"/>
          <w:u w:val="none"/>
        </w:rPr>
      </w:pPr>
      <w:r w:rsidDel="00000000" w:rsidR="00000000" w:rsidRPr="00000000">
        <w:rPr>
          <w:rFonts w:ascii="Calibri" w:cs="Calibri" w:eastAsia="Calibri" w:hAnsi="Calibri"/>
          <w:rtl w:val="0"/>
        </w:rPr>
        <w:t xml:space="preserve">Value Assessment </w:t>
      </w:r>
    </w:p>
    <w:p w:rsidR="00000000" w:rsidDel="00000000" w:rsidP="00000000" w:rsidRDefault="00000000" w:rsidRPr="00000000" w14:paraId="000000C4">
      <w:pPr>
        <w:numPr>
          <w:ilvl w:val="0"/>
          <w:numId w:val="5"/>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Top 10s</w:t>
      </w:r>
    </w:p>
    <w:p w:rsidR="00000000" w:rsidDel="00000000" w:rsidP="00000000" w:rsidRDefault="00000000" w:rsidRPr="00000000" w14:paraId="000000C5">
      <w:pPr>
        <w:numPr>
          <w:ilvl w:val="1"/>
          <w:numId w:val="5"/>
        </w:numPr>
        <w:spacing w:after="0" w:afterAutospacing="0"/>
        <w:ind w:left="1440" w:hanging="360"/>
        <w:rPr>
          <w:rFonts w:ascii="Calibri" w:cs="Calibri" w:eastAsia="Calibri" w:hAnsi="Calibri"/>
          <w:u w:val="none"/>
        </w:rPr>
      </w:pPr>
      <w:r w:rsidDel="00000000" w:rsidR="00000000" w:rsidRPr="00000000">
        <w:rPr>
          <w:rFonts w:ascii="Calibri" w:cs="Calibri" w:eastAsia="Calibri" w:hAnsi="Calibri"/>
          <w:rtl w:val="0"/>
        </w:rPr>
        <w:t xml:space="preserve">Exposures </w:t>
      </w:r>
    </w:p>
    <w:p w:rsidR="00000000" w:rsidDel="00000000" w:rsidP="00000000" w:rsidRDefault="00000000" w:rsidRPr="00000000" w14:paraId="000000C6">
      <w:pPr>
        <w:numPr>
          <w:ilvl w:val="1"/>
          <w:numId w:val="5"/>
        </w:numPr>
        <w:spacing w:after="0" w:afterAutospacing="0"/>
        <w:ind w:left="1440" w:hanging="360"/>
        <w:rPr>
          <w:rFonts w:ascii="Calibri" w:cs="Calibri" w:eastAsia="Calibri" w:hAnsi="Calibri"/>
          <w:u w:val="none"/>
        </w:rPr>
      </w:pPr>
      <w:r w:rsidDel="00000000" w:rsidR="00000000" w:rsidRPr="00000000">
        <w:rPr>
          <w:rFonts w:ascii="Calibri" w:cs="Calibri" w:eastAsia="Calibri" w:hAnsi="Calibri"/>
          <w:rtl w:val="0"/>
        </w:rPr>
        <w:t xml:space="preserve">Sectors </w:t>
      </w:r>
    </w:p>
    <w:p w:rsidR="00000000" w:rsidDel="00000000" w:rsidP="00000000" w:rsidRDefault="00000000" w:rsidRPr="00000000" w14:paraId="000000C7">
      <w:pPr>
        <w:numPr>
          <w:ilvl w:val="1"/>
          <w:numId w:val="5"/>
        </w:numPr>
        <w:spacing w:after="0" w:afterAutospacing="0"/>
        <w:ind w:left="1440" w:hanging="360"/>
        <w:rPr>
          <w:rFonts w:ascii="Calibri" w:cs="Calibri" w:eastAsia="Calibri" w:hAnsi="Calibri"/>
          <w:u w:val="none"/>
        </w:rPr>
      </w:pPr>
      <w:r w:rsidDel="00000000" w:rsidR="00000000" w:rsidRPr="00000000">
        <w:rPr>
          <w:rFonts w:ascii="Calibri" w:cs="Calibri" w:eastAsia="Calibri" w:hAnsi="Calibri"/>
          <w:rtl w:val="0"/>
        </w:rPr>
        <w:t xml:space="preserve">Countries </w:t>
      </w:r>
    </w:p>
    <w:p w:rsidR="00000000" w:rsidDel="00000000" w:rsidP="00000000" w:rsidRDefault="00000000" w:rsidRPr="00000000" w14:paraId="000000C8">
      <w:pPr>
        <w:numPr>
          <w:ilvl w:val="0"/>
          <w:numId w:val="5"/>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Charges</w:t>
      </w:r>
    </w:p>
    <w:p w:rsidR="00000000" w:rsidDel="00000000" w:rsidP="00000000" w:rsidRDefault="00000000" w:rsidRPr="00000000" w14:paraId="000000C9">
      <w:pPr>
        <w:numPr>
          <w:ilvl w:val="0"/>
          <w:numId w:val="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How much might it cost? </w:t>
      </w:r>
    </w:p>
    <w:p w:rsidR="00000000" w:rsidDel="00000000" w:rsidP="00000000" w:rsidRDefault="00000000" w:rsidRPr="00000000" w14:paraId="000000CA">
      <w:pPr>
        <w:rPr>
          <w:rFonts w:ascii="Calibri" w:cs="Calibri" w:eastAsia="Calibri" w:hAnsi="Calibri"/>
        </w:rPr>
      </w:pPr>
      <w:r w:rsidDel="00000000" w:rsidR="00000000" w:rsidRPr="00000000">
        <w:rPr>
          <w:rFonts w:ascii="Calibri" w:cs="Calibri" w:eastAsia="Calibri" w:hAnsi="Calibri"/>
          <w:b w:val="1"/>
          <w:bCs w:val="1"/>
          <w:rtl w:val="0"/>
        </w:rPr>
        <w:t xml:space="preserve">Autocomplete &amp; results richness (1–5):</w:t>
      </w:r>
      <w:r w:rsidDel="00000000" w:rsidR="00000000" w:rsidRPr="00000000">
        <w:rPr>
          <w:rFonts w:ascii="Calibri" w:cs="Calibri" w:eastAsia="Calibri" w:hAnsi="Calibri"/>
          <w:rtl w:val="0"/>
        </w:rPr>
        <w:t xml:space="preserve"> 1.5 </w:t>
      </w:r>
    </w:p>
    <w:p w:rsidR="00000000" w:rsidDel="00000000" w:rsidP="00000000" w:rsidRDefault="00000000" w:rsidRPr="00000000" w14:paraId="000000C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Search results appear structured but lack real depth. While multiple tabs are surfaced (overview, charts, reports, etc.), the underlying data is minimal—particularly for individual equities and ETFs.</w:t>
      </w:r>
    </w:p>
    <w:p w:rsidR="00000000" w:rsidDel="00000000" w:rsidP="00000000" w:rsidRDefault="00000000" w:rsidRPr="00000000" w14:paraId="000000C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There is no meaningful equity research layer (e.g. buy/sell ratings, analyst consensus, or forward-looking insights), and even basic financial metrics are limited. As a result, users cannot conduct substantive analysis within the app and are pushed to external platforms for standard investment information.</w:t>
      </w:r>
    </w:p>
    <w:p w:rsidR="00000000" w:rsidDel="00000000" w:rsidP="00000000" w:rsidRDefault="00000000" w:rsidRPr="00000000" w14:paraId="000000CD">
      <w:pPr>
        <w:pStyle w:val="Heading2"/>
        <w:rPr>
          <w:rFonts w:ascii="Calibri" w:cs="Calibri" w:eastAsia="Calibri" w:hAnsi="Calibri"/>
        </w:rPr>
      </w:pPr>
      <w:r w:rsidDel="00000000" w:rsidR="00000000" w:rsidRPr="00000000">
        <w:rPr>
          <w:rFonts w:ascii="Calibri" w:cs="Calibri" w:eastAsia="Calibri" w:hAnsi="Calibri"/>
          <w:rtl w:val="0"/>
        </w:rPr>
        <w:t xml:space="preserve">4. Trading Workflow (Phase A – 2.4)</w:t>
      </w:r>
    </w:p>
    <w:p w:rsidR="00000000" w:rsidDel="00000000" w:rsidP="00000000" w:rsidRDefault="00000000" w:rsidRPr="00000000" w14:paraId="000000CE">
      <w:pP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4.1 Search &amp; Quotes</w:t>
      </w:r>
    </w:p>
    <w:p w:rsidR="00000000" w:rsidDel="00000000" w:rsidP="00000000" w:rsidRDefault="00000000" w:rsidRPr="00000000" w14:paraId="000000C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Asset classes available (tick): </w:t>
      </w:r>
      <w:r w:rsidDel="00000000" w:rsidR="00000000" w:rsidRPr="00000000">
        <w:rPr>
          <w:rFonts w:ascii="Calibri" w:cs="Calibri" w:eastAsia="Calibri" w:hAnsi="Calibri"/>
          <w:rtl w:val="0"/>
        </w:rPr>
        <w:t xml:space="preserve">[/] Equities   [/] ETFs   [/] Mutual funds   [/] Bonds   [ ] Options   [ ] Crypto   [ ] FX   [/] Other: Investment trusts </w:t>
      </w:r>
      <w:r w:rsidDel="00000000" w:rsidR="00000000" w:rsidRPr="00000000">
        <w:rPr>
          <w:rtl w:val="0"/>
        </w:rPr>
      </w:r>
    </w:p>
    <w:p w:rsidR="00000000" w:rsidDel="00000000" w:rsidP="00000000" w:rsidRDefault="00000000" w:rsidRPr="00000000" w14:paraId="000000D0">
      <w:pPr>
        <w:rPr>
          <w:rFonts w:ascii="Calibri" w:cs="Calibri" w:eastAsia="Calibri" w:hAnsi="Calibri"/>
        </w:rPr>
      </w:pPr>
      <w:r w:rsidDel="00000000" w:rsidR="00000000" w:rsidRPr="00000000">
        <w:rPr>
          <w:rFonts w:ascii="Calibri" w:cs="Calibri" w:eastAsia="Calibri" w:hAnsi="Calibri"/>
          <w:b w:val="1"/>
          <w:bCs w:val="1"/>
          <w:rtl w:val="0"/>
        </w:rPr>
        <w:t xml:space="preserve">Market access (tick):</w:t>
      </w:r>
      <w:r w:rsidDel="00000000" w:rsidR="00000000" w:rsidRPr="00000000">
        <w:rPr>
          <w:rFonts w:ascii="Calibri" w:cs="Calibri" w:eastAsia="Calibri" w:hAnsi="Calibri"/>
          <w:rtl w:val="0"/>
        </w:rPr>
        <w:t xml:space="preserve"> [/] US   [/] UK   [/] Europe   [] Japan   [] HK/China A   [ ] Local: ______   [ ] Other: ______</w:t>
      </w:r>
    </w:p>
    <w:p w:rsidR="00000000" w:rsidDel="00000000" w:rsidP="00000000" w:rsidRDefault="00000000" w:rsidRPr="00000000" w14:paraId="000000D1">
      <w:pP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4.2 Order Placement</w:t>
      </w:r>
    </w:p>
    <w:p w:rsidR="00000000" w:rsidDel="00000000" w:rsidP="00000000" w:rsidRDefault="00000000" w:rsidRPr="00000000" w14:paraId="000000D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Order types offered (tick): </w:t>
      </w:r>
      <w:r w:rsidDel="00000000" w:rsidR="00000000" w:rsidRPr="00000000">
        <w:rPr>
          <w:rFonts w:ascii="Calibri" w:cs="Calibri" w:eastAsia="Calibri" w:hAnsi="Calibri"/>
          <w:rtl w:val="0"/>
        </w:rPr>
        <w:t xml:space="preserve">[/] Market  [/] Limit   [/] Stop   [] Stop-limit   [ ] Trailing stop   [ ] Bracket/OCO   [ ] Fractional by $</w:t>
      </w:r>
      <w:r w:rsidDel="00000000" w:rsidR="00000000" w:rsidRPr="00000000">
        <w:rPr>
          <w:rtl w:val="0"/>
        </w:rPr>
      </w:r>
    </w:p>
    <w:p w:rsidR="00000000" w:rsidDel="00000000" w:rsidP="00000000" w:rsidRDefault="00000000" w:rsidRPr="00000000" w14:paraId="000000D3">
      <w:pPr>
        <w:rPr>
          <w:rFonts w:ascii="Calibri" w:cs="Calibri" w:eastAsia="Calibri" w:hAnsi="Calibri"/>
        </w:rPr>
      </w:pPr>
      <w:r w:rsidDel="00000000" w:rsidR="00000000" w:rsidRPr="00000000">
        <w:rPr>
          <w:rFonts w:ascii="Calibri" w:cs="Calibri" w:eastAsia="Calibri" w:hAnsi="Calibri"/>
          <w:b w:val="1"/>
          <w:bCs w:val="1"/>
          <w:rtl w:val="0"/>
        </w:rPr>
        <w:t xml:space="preserve">Taps from quote page to order submission:</w:t>
      </w:r>
      <w:r w:rsidDel="00000000" w:rsidR="00000000" w:rsidRPr="00000000">
        <w:rPr>
          <w:rFonts w:ascii="Calibri" w:cs="Calibri" w:eastAsia="Calibri" w:hAnsi="Calibri"/>
          <w:rtl w:val="0"/>
        </w:rPr>
        <w:t xml:space="preserve"> 4-5</w:t>
      </w:r>
    </w:p>
    <w:p w:rsidR="00000000" w:rsidDel="00000000" w:rsidP="00000000" w:rsidRDefault="00000000" w:rsidRPr="00000000" w14:paraId="000000D4">
      <w:pPr>
        <w:rPr>
          <w:rFonts w:ascii="Calibri" w:cs="Calibri" w:eastAsia="Calibri" w:hAnsi="Calibri"/>
        </w:rPr>
      </w:pPr>
      <w:r w:rsidDel="00000000" w:rsidR="00000000" w:rsidRPr="00000000">
        <w:rPr>
          <w:rFonts w:ascii="Calibri" w:cs="Calibri" w:eastAsia="Calibri" w:hAnsi="Calibri"/>
          <w:b w:val="1"/>
          <w:bCs w:val="1"/>
          <w:rtl w:val="0"/>
        </w:rPr>
        <w:t xml:space="preserve">Fee disclosure clarity (1–5): </w:t>
      </w:r>
      <w:r w:rsidDel="00000000" w:rsidR="00000000" w:rsidRPr="00000000">
        <w:rPr>
          <w:rFonts w:ascii="Calibri" w:cs="Calibri" w:eastAsia="Calibri" w:hAnsi="Calibri"/>
          <w:rtl w:val="0"/>
        </w:rPr>
        <w:t xml:space="preserve">There is a full fee page which is different and more transparent than most. </w:t>
      </w:r>
    </w:p>
    <w:p w:rsidR="00000000" w:rsidDel="00000000" w:rsidP="00000000" w:rsidRDefault="00000000" w:rsidRPr="00000000" w14:paraId="000000D5">
      <w:pPr>
        <w:rPr>
          <w:rFonts w:ascii="Calibri" w:cs="Calibri" w:eastAsia="Calibri" w:hAnsi="Calibri"/>
        </w:rPr>
      </w:pPr>
      <w:r w:rsidDel="00000000" w:rsidR="00000000" w:rsidRPr="00000000">
        <w:rPr>
          <w:rFonts w:ascii="Calibri" w:cs="Calibri" w:eastAsia="Calibri" w:hAnsi="Calibri"/>
          <w:b w:val="1"/>
          <w:bCs w:val="1"/>
          <w:rtl w:val="0"/>
        </w:rPr>
        <w:t xml:space="preserve">“Are you sure?” confirmation:</w:t>
      </w:r>
      <w:r w:rsidDel="00000000" w:rsidR="00000000" w:rsidRPr="00000000">
        <w:rPr>
          <w:rFonts w:ascii="Calibri" w:cs="Calibri" w:eastAsia="Calibri" w:hAnsi="Calibri"/>
          <w:rtl w:val="0"/>
        </w:rPr>
        <w:t xml:space="preserve"> [/] Yes  [ ] No </w:t>
      </w:r>
    </w:p>
    <w:p w:rsidR="00000000" w:rsidDel="00000000" w:rsidP="00000000" w:rsidRDefault="00000000" w:rsidRPr="00000000" w14:paraId="000000D6">
      <w:pPr>
        <w:rPr>
          <w:rFonts w:ascii="Calibri" w:cs="Calibri" w:eastAsia="Calibri" w:hAnsi="Calibri"/>
        </w:rPr>
      </w:pPr>
      <w:r w:rsidDel="00000000" w:rsidR="00000000" w:rsidRPr="00000000">
        <w:rPr>
          <w:rFonts w:ascii="Calibri" w:cs="Calibri" w:eastAsia="Calibri" w:hAnsi="Calibri"/>
          <w:b w:val="1"/>
          <w:bCs w:val="1"/>
          <w:rtl w:val="0"/>
        </w:rPr>
        <w:t xml:space="preserve">Execution speed:</w:t>
      </w:r>
      <w:r w:rsidDel="00000000" w:rsidR="00000000" w:rsidRPr="00000000">
        <w:rPr>
          <w:rFonts w:ascii="Calibri" w:cs="Calibri" w:eastAsia="Calibri" w:hAnsi="Calibri"/>
          <w:rtl w:val="0"/>
        </w:rPr>
        <w:t xml:space="preserve"> [] Instant   [/] Acceptable   [ ] Slow</w:t>
      </w:r>
    </w:p>
    <w:p w:rsidR="00000000" w:rsidDel="00000000" w:rsidP="00000000" w:rsidRDefault="00000000" w:rsidRPr="00000000" w14:paraId="000000D7">
      <w:pPr>
        <w:rPr>
          <w:rFonts w:ascii="Calibri" w:cs="Calibri" w:eastAsia="Calibri" w:hAnsi="Calibri"/>
        </w:rPr>
      </w:pPr>
      <w:r w:rsidDel="00000000" w:rsidR="00000000" w:rsidRPr="00000000">
        <w:rPr>
          <w:rFonts w:ascii="Calibri" w:cs="Calibri" w:eastAsia="Calibri" w:hAnsi="Calibri"/>
          <w:b w:val="1"/>
          <w:bCs w:val="1"/>
          <w:rtl w:val="0"/>
        </w:rPr>
        <w:t xml:space="preserve">Confirmation style (popup/toast/push/email):</w:t>
      </w:r>
      <w:r w:rsidDel="00000000" w:rsidR="00000000" w:rsidRPr="00000000">
        <w:rPr>
          <w:rFonts w:ascii="Calibri" w:cs="Calibri" w:eastAsia="Calibri" w:hAnsi="Calibri"/>
          <w:rtl w:val="0"/>
        </w:rPr>
        <w:t xml:space="preserve"> On screen popup + email confirmation </w:t>
      </w:r>
    </w:p>
    <w:p w:rsidR="00000000" w:rsidDel="00000000" w:rsidP="00000000" w:rsidRDefault="00000000" w:rsidRPr="00000000" w14:paraId="000000D8">
      <w:pPr>
        <w:rPr>
          <w:rFonts w:ascii="Calibri" w:cs="Calibri" w:eastAsia="Calibri" w:hAnsi="Calibri"/>
        </w:rPr>
      </w:pPr>
      <w:r w:rsidDel="00000000" w:rsidR="00000000" w:rsidRPr="00000000">
        <w:rPr>
          <w:rFonts w:ascii="Calibri" w:cs="Calibri" w:eastAsia="Calibri" w:hAnsi="Calibri"/>
          <w:b w:val="1"/>
          <w:bCs w:val="1"/>
          <w:rtl w:val="0"/>
        </w:rPr>
        <w:t xml:space="preserve">Timing: </w:t>
      </w:r>
      <w:r w:rsidDel="00000000" w:rsidR="00000000" w:rsidRPr="00000000">
        <w:rPr>
          <w:rFonts w:ascii="Calibri" w:cs="Calibri" w:eastAsia="Calibri" w:hAnsi="Calibri"/>
          <w:rtl w:val="0"/>
        </w:rPr>
        <w:t xml:space="preserve">Immediate on-screen confirmation email follows shortly after execution </w:t>
      </w:r>
    </w:p>
    <w:p w:rsidR="00000000" w:rsidDel="00000000" w:rsidP="00000000" w:rsidRDefault="00000000" w:rsidRPr="00000000" w14:paraId="000000D9">
      <w:pP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4.3 Order Management</w:t>
      </w:r>
    </w:p>
    <w:p w:rsidR="00000000" w:rsidDel="00000000" w:rsidP="00000000" w:rsidRDefault="00000000" w:rsidRPr="00000000" w14:paraId="000000DA">
      <w:pPr>
        <w:rPr>
          <w:rFonts w:ascii="Calibri" w:cs="Calibri" w:eastAsia="Calibri" w:hAnsi="Calibri"/>
        </w:rPr>
      </w:pPr>
      <w:r w:rsidDel="00000000" w:rsidR="00000000" w:rsidRPr="00000000">
        <w:rPr>
          <w:rFonts w:ascii="Calibri" w:cs="Calibri" w:eastAsia="Calibri" w:hAnsi="Calibri"/>
          <w:b w:val="1"/>
          <w:bCs w:val="1"/>
          <w:rtl w:val="0"/>
        </w:rPr>
        <w:t xml:space="preserve">Modify open orders?</w:t>
      </w:r>
      <w:r w:rsidDel="00000000" w:rsidR="00000000" w:rsidRPr="00000000">
        <w:rPr>
          <w:rFonts w:ascii="Calibri" w:cs="Calibri" w:eastAsia="Calibri" w:hAnsi="Calibri"/>
          <w:rtl w:val="0"/>
        </w:rPr>
        <w:t xml:space="preserve"> [/] Yes   [ ] No</w:t>
      </w:r>
    </w:p>
    <w:p w:rsidR="00000000" w:rsidDel="00000000" w:rsidP="00000000" w:rsidRDefault="00000000" w:rsidRPr="00000000" w14:paraId="000000DB">
      <w:pPr>
        <w:rPr>
          <w:rFonts w:ascii="Calibri" w:cs="Calibri" w:eastAsia="Calibri" w:hAnsi="Calibri"/>
        </w:rPr>
      </w:pPr>
      <w:r w:rsidDel="00000000" w:rsidR="00000000" w:rsidRPr="00000000">
        <w:rPr>
          <w:rFonts w:ascii="Calibri" w:cs="Calibri" w:eastAsia="Calibri" w:hAnsi="Calibri"/>
          <w:b w:val="1"/>
          <w:bCs w:val="1"/>
          <w:rtl w:val="0"/>
        </w:rPr>
        <w:t xml:space="preserve">Cancel orders easily?</w:t>
      </w:r>
      <w:r w:rsidDel="00000000" w:rsidR="00000000" w:rsidRPr="00000000">
        <w:rPr>
          <w:rFonts w:ascii="Calibri" w:cs="Calibri" w:eastAsia="Calibri" w:hAnsi="Calibri"/>
          <w:rtl w:val="0"/>
        </w:rPr>
        <w:t xml:space="preserve"> [/] Yes   [ ] No</w:t>
      </w:r>
    </w:p>
    <w:p w:rsidR="00000000" w:rsidDel="00000000" w:rsidP="00000000" w:rsidRDefault="00000000" w:rsidRPr="00000000" w14:paraId="000000DC">
      <w:pPr>
        <w:rPr>
          <w:rFonts w:ascii="Calibri" w:cs="Calibri" w:eastAsia="Calibri" w:hAnsi="Calibri"/>
        </w:rPr>
      </w:pPr>
      <w:r w:rsidDel="00000000" w:rsidR="00000000" w:rsidRPr="00000000">
        <w:rPr>
          <w:rFonts w:ascii="Calibri" w:cs="Calibri" w:eastAsia="Calibri" w:hAnsi="Calibri"/>
          <w:b w:val="1"/>
          <w:bCs w:val="1"/>
          <w:rtl w:val="0"/>
        </w:rPr>
        <w:t xml:space="preserve">Order history easy to find?</w:t>
      </w:r>
      <w:r w:rsidDel="00000000" w:rsidR="00000000" w:rsidRPr="00000000">
        <w:rPr>
          <w:rFonts w:ascii="Calibri" w:cs="Calibri" w:eastAsia="Calibri" w:hAnsi="Calibri"/>
          <w:rtl w:val="0"/>
        </w:rPr>
        <w:t xml:space="preserve"> (1–5): 3 </w:t>
      </w:r>
    </w:p>
    <w:p w:rsidR="00000000" w:rsidDel="00000000" w:rsidP="00000000" w:rsidRDefault="00000000" w:rsidRPr="00000000" w14:paraId="000000D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Functionality exists but isn’t especially intuitive—order history is accessible, though navigation isn’t as streamlined or prominent as on more modern trading platforms.</w:t>
      </w:r>
    </w:p>
    <w:p w:rsidR="00000000" w:rsidDel="00000000" w:rsidP="00000000" w:rsidRDefault="00000000" w:rsidRPr="00000000" w14:paraId="000000DE">
      <w:pPr>
        <w:pStyle w:val="Heading2"/>
        <w:rPr>
          <w:rFonts w:ascii="Calibri" w:cs="Calibri" w:eastAsia="Calibri" w:hAnsi="Calibri"/>
        </w:rPr>
      </w:pPr>
      <w:r w:rsidDel="00000000" w:rsidR="00000000" w:rsidRPr="00000000">
        <w:rPr>
          <w:rFonts w:ascii="Calibri" w:cs="Calibri" w:eastAsia="Calibri" w:hAnsi="Calibri"/>
          <w:rtl w:val="0"/>
        </w:rPr>
        <w:t xml:space="preserve">5. Portfolio &amp; Account Management (Phase A – 2.5)</w:t>
      </w:r>
    </w:p>
    <w:p w:rsidR="00000000" w:rsidDel="00000000" w:rsidP="00000000" w:rsidRDefault="00000000" w:rsidRPr="00000000" w14:paraId="000000DF">
      <w:pP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5.1 Portfolio Presentation</w:t>
      </w:r>
    </w:p>
    <w:p w:rsidR="00000000" w:rsidDel="00000000" w:rsidP="00000000" w:rsidRDefault="00000000" w:rsidRPr="00000000" w14:paraId="000000E0">
      <w:pPr>
        <w:rPr>
          <w:rFonts w:ascii="Calibri" w:cs="Calibri" w:eastAsia="Calibri" w:hAnsi="Calibri"/>
        </w:rPr>
      </w:pPr>
      <w:r w:rsidDel="00000000" w:rsidR="00000000" w:rsidRPr="00000000">
        <w:rPr>
          <w:rFonts w:ascii="Calibri" w:cs="Calibri" w:eastAsia="Calibri" w:hAnsi="Calibri"/>
          <w:b w:val="1"/>
          <w:bCs w:val="1"/>
          <w:rtl w:val="0"/>
        </w:rPr>
        <w:t xml:space="preserve">Visuals used (tick):</w:t>
      </w:r>
      <w:r w:rsidDel="00000000" w:rsidR="00000000" w:rsidRPr="00000000">
        <w:rPr>
          <w:rFonts w:ascii="Calibri" w:cs="Calibri" w:eastAsia="Calibri" w:hAnsi="Calibri"/>
          <w:rtl w:val="0"/>
        </w:rPr>
        <w:t xml:space="preserve"> [] Pie   [/] Line charts   [ ] Tables only</w:t>
      </w:r>
    </w:p>
    <w:p w:rsidR="00000000" w:rsidDel="00000000" w:rsidP="00000000" w:rsidRDefault="00000000" w:rsidRPr="00000000" w14:paraId="000000E1">
      <w:pPr>
        <w:rPr>
          <w:rFonts w:ascii="Calibri" w:cs="Calibri" w:eastAsia="Calibri" w:hAnsi="Calibri"/>
        </w:rPr>
      </w:pPr>
      <w:r w:rsidDel="00000000" w:rsidR="00000000" w:rsidRPr="00000000">
        <w:rPr>
          <w:rFonts w:ascii="Calibri" w:cs="Calibri" w:eastAsia="Calibri" w:hAnsi="Calibri"/>
          <w:b w:val="1"/>
          <w:bCs w:val="1"/>
          <w:rtl w:val="0"/>
        </w:rPr>
        <w:t xml:space="preserve">Shows (tick):</w:t>
      </w:r>
      <w:r w:rsidDel="00000000" w:rsidR="00000000" w:rsidRPr="00000000">
        <w:rPr>
          <w:rFonts w:ascii="Calibri" w:cs="Calibri" w:eastAsia="Calibri" w:hAnsi="Calibri"/>
          <w:rtl w:val="0"/>
        </w:rPr>
        <w:t xml:space="preserve"> [/] Cost basis   [/] Realised P/L   [/] Unrealised P/L   [ ] Time-weighted return   [] Currency breakdown</w:t>
      </w:r>
    </w:p>
    <w:p w:rsidR="00000000" w:rsidDel="00000000" w:rsidP="00000000" w:rsidRDefault="00000000" w:rsidRPr="00000000" w14:paraId="000000E2">
      <w:pPr>
        <w:rPr>
          <w:rFonts w:ascii="Calibri" w:cs="Calibri" w:eastAsia="Calibri" w:hAnsi="Calibri"/>
        </w:rPr>
      </w:pPr>
      <w:r w:rsidDel="00000000" w:rsidR="00000000" w:rsidRPr="00000000">
        <w:rPr>
          <w:rFonts w:ascii="Calibri" w:cs="Calibri" w:eastAsia="Calibri" w:hAnsi="Calibri"/>
          <w:b w:val="1"/>
          <w:bCs w:val="1"/>
          <w:rtl w:val="0"/>
        </w:rPr>
        <w:t xml:space="preserve">Clarity of portfolio view (1–5): </w:t>
      </w:r>
      <w:r w:rsidDel="00000000" w:rsidR="00000000" w:rsidRPr="00000000">
        <w:rPr>
          <w:rFonts w:ascii="Calibri" w:cs="Calibri" w:eastAsia="Calibri" w:hAnsi="Calibri"/>
          <w:rtl w:val="0"/>
        </w:rPr>
        <w:t xml:space="preserve">3</w:t>
      </w:r>
    </w:p>
    <w:p w:rsidR="00000000" w:rsidDel="00000000" w:rsidP="00000000" w:rsidRDefault="00000000" w:rsidRPr="00000000" w14:paraId="000000E3">
      <w:pPr>
        <w:numPr>
          <w:ilvl w:val="0"/>
          <w:numId w:val="19"/>
        </w:numPr>
        <w:ind w:left="720" w:hanging="360"/>
        <w:rPr>
          <w:rFonts w:ascii="Calibri" w:cs="Calibri" w:eastAsia="Calibri" w:hAnsi="Calibri"/>
        </w:rPr>
      </w:pPr>
      <w:r w:rsidDel="00000000" w:rsidR="00000000" w:rsidRPr="00000000">
        <w:rPr>
          <w:rFonts w:ascii="Calibri" w:cs="Calibri" w:eastAsia="Calibri" w:hAnsi="Calibri"/>
          <w:rtl w:val="0"/>
        </w:rPr>
        <w:t xml:space="preserve">Notes: Portfolio view is functional but quite basic. Core information (holdings, P/L, valuation) is available, but visualisation is limited and lacks deeper analytics (e.g. performance attribution, currency exposure, or time-weighted returns). The interface prioritises simplicity over insight, which may suit casual investors but feels underpowered for more active users.</w:t>
      </w:r>
    </w:p>
    <w:p w:rsidR="00000000" w:rsidDel="00000000" w:rsidP="00000000" w:rsidRDefault="00000000" w:rsidRPr="00000000" w14:paraId="000000E4">
      <w:pP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5.2 Dividend Management</w:t>
      </w:r>
    </w:p>
    <w:p w:rsidR="00000000" w:rsidDel="00000000" w:rsidP="00000000" w:rsidRDefault="00000000" w:rsidRPr="00000000" w14:paraId="000000E5">
      <w:pPr>
        <w:rPr>
          <w:rFonts w:ascii="Calibri" w:cs="Calibri" w:eastAsia="Calibri" w:hAnsi="Calibri"/>
        </w:rPr>
      </w:pPr>
      <w:r w:rsidDel="00000000" w:rsidR="00000000" w:rsidRPr="00000000">
        <w:rPr>
          <w:rFonts w:ascii="Calibri" w:cs="Calibri" w:eastAsia="Calibri" w:hAnsi="Calibri"/>
          <w:b w:val="1"/>
          <w:bCs w:val="1"/>
          <w:rtl w:val="0"/>
        </w:rPr>
        <w:t xml:space="preserve">Dividend view present?</w:t>
      </w:r>
      <w:r w:rsidDel="00000000" w:rsidR="00000000" w:rsidRPr="00000000">
        <w:rPr>
          <w:rFonts w:ascii="Calibri" w:cs="Calibri" w:eastAsia="Calibri" w:hAnsi="Calibri"/>
          <w:rtl w:val="0"/>
        </w:rPr>
        <w:t xml:space="preserve"> [/] Yes   [ ] No</w:t>
      </w:r>
    </w:p>
    <w:p w:rsidR="00000000" w:rsidDel="00000000" w:rsidP="00000000" w:rsidRDefault="00000000" w:rsidRPr="00000000" w14:paraId="000000E6">
      <w:pPr>
        <w:rPr>
          <w:rFonts w:ascii="Calibri" w:cs="Calibri" w:eastAsia="Calibri" w:hAnsi="Calibri"/>
        </w:rPr>
      </w:pPr>
      <w:r w:rsidDel="00000000" w:rsidR="00000000" w:rsidRPr="00000000">
        <w:rPr>
          <w:rFonts w:ascii="Calibri" w:cs="Calibri" w:eastAsia="Calibri" w:hAnsi="Calibri"/>
          <w:b w:val="1"/>
          <w:bCs w:val="1"/>
          <w:rtl w:val="0"/>
        </w:rPr>
        <w:t xml:space="preserve">DRIP/reinvestment option?</w:t>
      </w:r>
      <w:r w:rsidDel="00000000" w:rsidR="00000000" w:rsidRPr="00000000">
        <w:rPr>
          <w:rFonts w:ascii="Calibri" w:cs="Calibri" w:eastAsia="Calibri" w:hAnsi="Calibri"/>
          <w:rtl w:val="0"/>
        </w:rPr>
        <w:t xml:space="preserve"> [/] Yes   [ ] No</w:t>
      </w:r>
    </w:p>
    <w:p w:rsidR="00000000" w:rsidDel="00000000" w:rsidP="00000000" w:rsidRDefault="00000000" w:rsidRPr="00000000" w14:paraId="000000E7">
      <w:pPr>
        <w:rPr>
          <w:rFonts w:ascii="Calibri" w:cs="Calibri" w:eastAsia="Calibri" w:hAnsi="Calibri"/>
        </w:rPr>
      </w:pPr>
      <w:r w:rsidDel="00000000" w:rsidR="00000000" w:rsidRPr="00000000">
        <w:rPr>
          <w:rFonts w:ascii="Calibri" w:cs="Calibri" w:eastAsia="Calibri" w:hAnsi="Calibri"/>
          <w:b w:val="1"/>
          <w:bCs w:val="1"/>
          <w:rtl w:val="0"/>
        </w:rPr>
        <w:t xml:space="preserve">Notes:</w:t>
      </w:r>
      <w:r w:rsidDel="00000000" w:rsidR="00000000" w:rsidRPr="00000000">
        <w:rPr>
          <w:rFonts w:ascii="Calibri" w:cs="Calibri" w:eastAsia="Calibri" w:hAnsi="Calibri"/>
          <w:rtl w:val="0"/>
        </w:rPr>
        <w:t xml:space="preserve"> Dividend information is available but fairly basic—users can view payments and history, though insights (e.g. yield tracking or forecasts) are limited. A dividend reinvestment (DRIP) option is offered, but it is not highly visible in the interface and requires manual setup rather than being seamlessly integrated into the portfolio experience.</w:t>
      </w:r>
    </w:p>
    <w:p w:rsidR="00000000" w:rsidDel="00000000" w:rsidP="00000000" w:rsidRDefault="00000000" w:rsidRPr="00000000" w14:paraId="000000E8">
      <w:pP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5.3 Reporting &amp; Tax</w:t>
      </w:r>
    </w:p>
    <w:p w:rsidR="00000000" w:rsidDel="00000000" w:rsidP="00000000" w:rsidRDefault="00000000" w:rsidRPr="00000000" w14:paraId="000000E9">
      <w:pPr>
        <w:rPr>
          <w:rFonts w:ascii="Calibri" w:cs="Calibri" w:eastAsia="Calibri" w:hAnsi="Calibri"/>
          <w:b w:val="1"/>
          <w:bCs w:val="1"/>
          <w:u w:val="single"/>
        </w:rPr>
      </w:pPr>
      <w:r w:rsidDel="00000000" w:rsidR="00000000" w:rsidRPr="00000000">
        <w:rPr>
          <w:rFonts w:ascii="Calibri" w:cs="Calibri" w:eastAsia="Calibri" w:hAnsi="Calibri"/>
          <w:b w:val="1"/>
          <w:bCs w:val="1"/>
          <w:rtl w:val="0"/>
        </w:rPr>
        <w:t xml:space="preserve">Export options:</w:t>
      </w:r>
      <w:r w:rsidDel="00000000" w:rsidR="00000000" w:rsidRPr="00000000">
        <w:rPr>
          <w:rFonts w:ascii="Calibri" w:cs="Calibri" w:eastAsia="Calibri" w:hAnsi="Calibri"/>
          <w:rtl w:val="0"/>
        </w:rPr>
        <w:t xml:space="preserve"> [/] CSV   [/] PDF   [/] Tax forms (e.g. 1099): UK tax certificates (Consolidated Tax Certificate, Capital Gains reports)</w:t>
      </w:r>
      <w:r w:rsidDel="00000000" w:rsidR="00000000" w:rsidRPr="00000000">
        <w:rPr>
          <w:rtl w:val="0"/>
        </w:rPr>
      </w:r>
    </w:p>
    <w:p w:rsidR="00000000" w:rsidDel="00000000" w:rsidP="00000000" w:rsidRDefault="00000000" w:rsidRPr="00000000" w14:paraId="000000EA">
      <w:pPr>
        <w:rPr>
          <w:rFonts w:ascii="Calibri" w:cs="Calibri" w:eastAsia="Calibri" w:hAnsi="Calibri"/>
        </w:rPr>
      </w:pPr>
      <w:r w:rsidDel="00000000" w:rsidR="00000000" w:rsidRPr="00000000">
        <w:rPr>
          <w:rFonts w:ascii="Calibri" w:cs="Calibri" w:eastAsia="Calibri" w:hAnsi="Calibri"/>
          <w:b w:val="1"/>
          <w:bCs w:val="1"/>
          <w:rtl w:val="0"/>
        </w:rPr>
        <w:t xml:space="preserve">Realised vs unrealised clearly separated?</w:t>
      </w:r>
      <w:r w:rsidDel="00000000" w:rsidR="00000000" w:rsidRPr="00000000">
        <w:rPr>
          <w:rFonts w:ascii="Calibri" w:cs="Calibri" w:eastAsia="Calibri" w:hAnsi="Calibri"/>
          <w:rtl w:val="0"/>
        </w:rPr>
        <w:t xml:space="preserve"> [/] Yes   [ ] No </w:t>
      </w:r>
    </w:p>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b w:val="1"/>
          <w:bCs w:val="1"/>
          <w:rtl w:val="0"/>
        </w:rPr>
        <w:t xml:space="preserve">Overall reporting quality (1–5):</w:t>
      </w:r>
      <w:r w:rsidDel="00000000" w:rsidR="00000000" w:rsidRPr="00000000">
        <w:rPr>
          <w:rFonts w:ascii="Calibri" w:cs="Calibri" w:eastAsia="Calibri" w:hAnsi="Calibri"/>
          <w:rtl w:val="0"/>
        </w:rPr>
        <w:t xml:space="preserve"> 3</w:t>
      </w:r>
    </w:p>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Reporting is relatively strong compared to other areas—clear and compliant for UK tax purposes—but still lacks advanced customisation and analytical depth (e.g. scenario analysis or more granular breakdowns).</w:t>
      </w:r>
    </w:p>
    <w:p w:rsidR="00000000" w:rsidDel="00000000" w:rsidP="00000000" w:rsidRDefault="00000000" w:rsidRPr="00000000" w14:paraId="000000ED">
      <w:pPr>
        <w:pStyle w:val="Heading2"/>
        <w:rPr>
          <w:rFonts w:ascii="Calibri" w:cs="Calibri" w:eastAsia="Calibri" w:hAnsi="Calibri"/>
        </w:rPr>
      </w:pPr>
      <w:r w:rsidDel="00000000" w:rsidR="00000000" w:rsidRPr="00000000">
        <w:rPr>
          <w:rFonts w:ascii="Calibri" w:cs="Calibri" w:eastAsia="Calibri" w:hAnsi="Calibri"/>
          <w:rtl w:val="0"/>
        </w:rPr>
        <w:t xml:space="preserve">6. Research, Education &amp; Community (Phase A – 2.6)</w:t>
      </w:r>
    </w:p>
    <w:p w:rsidR="00000000" w:rsidDel="00000000" w:rsidP="00000000" w:rsidRDefault="00000000" w:rsidRPr="00000000" w14:paraId="000000E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6.1 Market Research Tools</w:t>
      </w:r>
    </w:p>
    <w:p w:rsidR="00000000" w:rsidDel="00000000" w:rsidP="00000000" w:rsidRDefault="00000000" w:rsidRPr="00000000" w14:paraId="000000EF">
      <w:pPr>
        <w:rPr>
          <w:rFonts w:ascii="Calibri" w:cs="Calibri" w:eastAsia="Calibri" w:hAnsi="Calibri"/>
        </w:rPr>
      </w:pPr>
      <w:r w:rsidDel="00000000" w:rsidR="00000000" w:rsidRPr="00000000">
        <w:rPr>
          <w:rFonts w:ascii="Calibri" w:cs="Calibri" w:eastAsia="Calibri" w:hAnsi="Calibri"/>
          <w:b w:val="1"/>
          <w:bCs w:val="1"/>
          <w:rtl w:val="0"/>
        </w:rPr>
        <w:t xml:space="preserve">News feed:</w:t>
      </w:r>
      <w:r w:rsidDel="00000000" w:rsidR="00000000" w:rsidRPr="00000000">
        <w:rPr>
          <w:rFonts w:ascii="Calibri" w:cs="Calibri" w:eastAsia="Calibri" w:hAnsi="Calibri"/>
          <w:rtl w:val="0"/>
        </w:rPr>
        <w:t xml:space="preserve"> [/] Yes   [ ] No </w:t>
      </w:r>
    </w:p>
    <w:p w:rsidR="00000000" w:rsidDel="00000000" w:rsidP="00000000" w:rsidRDefault="00000000" w:rsidRPr="00000000" w14:paraId="000000F0">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Notes: Basic news feed available (e.g. ShareCast), but limited depth and not well integrated into investment decision-making.</w:t>
      </w:r>
    </w:p>
    <w:p w:rsidR="00000000" w:rsidDel="00000000" w:rsidP="00000000" w:rsidRDefault="00000000" w:rsidRPr="00000000" w14:paraId="000000F1">
      <w:pPr>
        <w:rPr>
          <w:rFonts w:ascii="Calibri" w:cs="Calibri" w:eastAsia="Calibri" w:hAnsi="Calibri"/>
        </w:rPr>
      </w:pPr>
      <w:r w:rsidDel="00000000" w:rsidR="00000000" w:rsidRPr="00000000">
        <w:rPr>
          <w:rFonts w:ascii="Calibri" w:cs="Calibri" w:eastAsia="Calibri" w:hAnsi="Calibri"/>
          <w:b w:val="1"/>
          <w:bCs w:val="1"/>
          <w:rtl w:val="0"/>
        </w:rPr>
        <w:t xml:space="preserve">Analyst ratings:</w:t>
      </w:r>
      <w:r w:rsidDel="00000000" w:rsidR="00000000" w:rsidRPr="00000000">
        <w:rPr>
          <w:rFonts w:ascii="Calibri" w:cs="Calibri" w:eastAsia="Calibri" w:hAnsi="Calibri"/>
          <w:rtl w:val="0"/>
        </w:rPr>
        <w:t xml:space="preserve"> [ ] Yes   [/] No</w:t>
      </w:r>
    </w:p>
    <w:p w:rsidR="00000000" w:rsidDel="00000000" w:rsidP="00000000" w:rsidRDefault="00000000" w:rsidRPr="00000000" w14:paraId="000000F2">
      <w:pPr>
        <w:rPr>
          <w:rFonts w:ascii="Calibri" w:cs="Calibri" w:eastAsia="Calibri" w:hAnsi="Calibri"/>
        </w:rPr>
      </w:pPr>
      <w:r w:rsidDel="00000000" w:rsidR="00000000" w:rsidRPr="00000000">
        <w:rPr>
          <w:rFonts w:ascii="Calibri" w:cs="Calibri" w:eastAsia="Calibri" w:hAnsi="Calibri"/>
          <w:b w:val="1"/>
          <w:bCs w:val="1"/>
          <w:rtl w:val="0"/>
        </w:rPr>
        <w:t xml:space="preserve">Stock screener:</w:t>
      </w:r>
      <w:r w:rsidDel="00000000" w:rsidR="00000000" w:rsidRPr="00000000">
        <w:rPr>
          <w:rFonts w:ascii="Calibri" w:cs="Calibri" w:eastAsia="Calibri" w:hAnsi="Calibri"/>
          <w:rtl w:val="0"/>
        </w:rPr>
        <w:t xml:space="preserve"> [/] Yes   [ ] No</w:t>
      </w:r>
    </w:p>
    <w:p w:rsidR="00000000" w:rsidDel="00000000" w:rsidP="00000000" w:rsidRDefault="00000000" w:rsidRPr="00000000" w14:paraId="000000F3">
      <w:pPr>
        <w:numPr>
          <w:ilvl w:val="0"/>
          <w:numId w:val="20"/>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Notes:</w:t>
      </w:r>
      <w:r w:rsidDel="00000000" w:rsidR="00000000" w:rsidRPr="00000000">
        <w:rPr>
          <w:rFonts w:ascii="Calibri" w:cs="Calibri" w:eastAsia="Calibri" w:hAnsi="Calibri"/>
          <w:rtl w:val="0"/>
        </w:rPr>
        <w:t xml:space="preserve"> Screener exists but is relatively simplistic—more geared toward funds than equities, with limited filtering and comparison capabilities.</w:t>
      </w:r>
    </w:p>
    <w:p w:rsidR="00000000" w:rsidDel="00000000" w:rsidP="00000000" w:rsidRDefault="00000000" w:rsidRPr="00000000" w14:paraId="000000F4">
      <w:pPr>
        <w:rPr>
          <w:rFonts w:ascii="Calibri" w:cs="Calibri" w:eastAsia="Calibri" w:hAnsi="Calibri"/>
        </w:rPr>
      </w:pPr>
      <w:r w:rsidDel="00000000" w:rsidR="00000000" w:rsidRPr="00000000">
        <w:rPr>
          <w:rFonts w:ascii="Calibri" w:cs="Calibri" w:eastAsia="Calibri" w:hAnsi="Calibri"/>
          <w:b w:val="1"/>
          <w:bCs w:val="1"/>
          <w:rtl w:val="0"/>
        </w:rPr>
        <w:t xml:space="preserve">Earnings calendar:</w:t>
      </w:r>
      <w:r w:rsidDel="00000000" w:rsidR="00000000" w:rsidRPr="00000000">
        <w:rPr>
          <w:rFonts w:ascii="Calibri" w:cs="Calibri" w:eastAsia="Calibri" w:hAnsi="Calibri"/>
          <w:rtl w:val="0"/>
        </w:rPr>
        <w:t xml:space="preserve"> [] Yes    [] No</w:t>
      </w:r>
    </w:p>
    <w:p w:rsidR="00000000" w:rsidDel="00000000" w:rsidP="00000000" w:rsidRDefault="00000000" w:rsidRPr="00000000" w14:paraId="000000F5">
      <w:pPr>
        <w:rPr>
          <w:rFonts w:ascii="Calibri" w:cs="Calibri" w:eastAsia="Calibri" w:hAnsi="Calibri"/>
        </w:rPr>
      </w:pPr>
      <w:r w:rsidDel="00000000" w:rsidR="00000000" w:rsidRPr="00000000">
        <w:rPr>
          <w:rFonts w:ascii="Calibri" w:cs="Calibri" w:eastAsia="Calibri" w:hAnsi="Calibri"/>
          <w:b w:val="1"/>
          <w:bCs w:val="1"/>
          <w:rtl w:val="0"/>
        </w:rPr>
        <w:t xml:space="preserve">Other tools (fundamentals, ESG, etc.):</w:t>
      </w:r>
      <w:r w:rsidDel="00000000" w:rsidR="00000000" w:rsidRPr="00000000">
        <w:rPr>
          <w:rFonts w:ascii="Calibri" w:cs="Calibri" w:eastAsia="Calibri" w:hAnsi="Calibri"/>
          <w:rtl w:val="0"/>
        </w:rPr>
        <w:t xml:space="preserve"> Very limited—basic fund factsheets and some high-level data, but little in the way of detailed fundamentals, ESG scoring, or advanced analytics.</w:t>
      </w:r>
    </w:p>
    <w:p w:rsidR="00000000" w:rsidDel="00000000" w:rsidP="00000000" w:rsidRDefault="00000000" w:rsidRPr="00000000" w14:paraId="000000F6">
      <w:pPr>
        <w:rPr>
          <w:rFonts w:ascii="Calibri" w:cs="Calibri" w:eastAsia="Calibri" w:hAnsi="Calibri"/>
        </w:rPr>
      </w:pPr>
      <w:r w:rsidDel="00000000" w:rsidR="00000000" w:rsidRPr="00000000">
        <w:rPr>
          <w:rFonts w:ascii="Calibri" w:cs="Calibri" w:eastAsia="Calibri" w:hAnsi="Calibri"/>
          <w:b w:val="1"/>
          <w:bCs w:val="1"/>
          <w:rtl w:val="0"/>
        </w:rPr>
        <w:t xml:space="preserve">Paywalled features?</w:t>
      </w:r>
      <w:r w:rsidDel="00000000" w:rsidR="00000000" w:rsidRPr="00000000">
        <w:rPr>
          <w:rFonts w:ascii="Calibri" w:cs="Calibri" w:eastAsia="Calibri" w:hAnsi="Calibri"/>
          <w:rtl w:val="0"/>
        </w:rPr>
        <w:t xml:space="preserve"> [ ] Yes   [/] No   </w:t>
      </w:r>
      <w:r w:rsidDel="00000000" w:rsidR="00000000" w:rsidRPr="00000000">
        <w:rPr>
          <w:rFonts w:ascii="Calibri" w:cs="Calibri" w:eastAsia="Calibri" w:hAnsi="Calibri"/>
          <w:b w:val="1"/>
          <w:bCs w:val="1"/>
          <w:rtl w:val="0"/>
        </w:rPr>
        <w:t xml:space="preserve">If yes, which:</w:t>
      </w:r>
      <w:r w:rsidDel="00000000" w:rsidR="00000000" w:rsidRPr="00000000">
        <w:rPr>
          <w:rFonts w:ascii="Calibri" w:cs="Calibri" w:eastAsia="Calibri" w:hAnsi="Calibri"/>
          <w:rtl w:val="0"/>
        </w:rPr>
        <w:t xml:space="preserve"> _________________</w:t>
      </w:r>
    </w:p>
    <w:p w:rsidR="00000000" w:rsidDel="00000000" w:rsidP="00000000" w:rsidRDefault="00000000" w:rsidRPr="00000000" w14:paraId="000000F7">
      <w:pP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6.2 Educational Content</w:t>
      </w:r>
    </w:p>
    <w:p w:rsidR="00000000" w:rsidDel="00000000" w:rsidP="00000000" w:rsidRDefault="00000000" w:rsidRPr="00000000" w14:paraId="000000F8">
      <w:pPr>
        <w:rPr>
          <w:rFonts w:ascii="Calibri" w:cs="Calibri" w:eastAsia="Calibri" w:hAnsi="Calibri"/>
        </w:rPr>
      </w:pPr>
      <w:r w:rsidDel="00000000" w:rsidR="00000000" w:rsidRPr="00000000">
        <w:rPr>
          <w:rFonts w:ascii="Calibri" w:cs="Calibri" w:eastAsia="Calibri" w:hAnsi="Calibri"/>
          <w:b w:val="1"/>
          <w:bCs w:val="1"/>
          <w:rtl w:val="0"/>
        </w:rPr>
        <w:t xml:space="preserve">Types:</w:t>
      </w:r>
      <w:r w:rsidDel="00000000" w:rsidR="00000000" w:rsidRPr="00000000">
        <w:rPr>
          <w:rFonts w:ascii="Calibri" w:cs="Calibri" w:eastAsia="Calibri" w:hAnsi="Calibri"/>
          <w:rtl w:val="0"/>
        </w:rPr>
        <w:t xml:space="preserve"> [/] Articles   [/] Videos   [ ] Quizzes   [ ] Courses/Academy</w:t>
      </w:r>
    </w:p>
    <w:p w:rsidR="00000000" w:rsidDel="00000000" w:rsidP="00000000" w:rsidRDefault="00000000" w:rsidRPr="00000000" w14:paraId="000000F9">
      <w:pPr>
        <w:rPr>
          <w:rFonts w:ascii="Calibri" w:cs="Calibri" w:eastAsia="Calibri" w:hAnsi="Calibri"/>
        </w:rPr>
      </w:pPr>
      <w:r w:rsidDel="00000000" w:rsidR="00000000" w:rsidRPr="00000000">
        <w:rPr>
          <w:rFonts w:ascii="Calibri" w:cs="Calibri" w:eastAsia="Calibri" w:hAnsi="Calibri"/>
          <w:b w:val="1"/>
          <w:bCs w:val="1"/>
          <w:rtl w:val="0"/>
        </w:rPr>
        <w:t xml:space="preserve">Quality for beginners (1–5):</w:t>
      </w:r>
      <w:r w:rsidDel="00000000" w:rsidR="00000000" w:rsidRPr="00000000">
        <w:rPr>
          <w:rFonts w:ascii="Calibri" w:cs="Calibri" w:eastAsia="Calibri" w:hAnsi="Calibri"/>
          <w:rtl w:val="0"/>
        </w:rPr>
        <w:t xml:space="preserve"> 4</w:t>
      </w:r>
    </w:p>
    <w:p w:rsidR="00000000" w:rsidDel="00000000" w:rsidP="00000000" w:rsidRDefault="00000000" w:rsidRPr="00000000" w14:paraId="000000FA">
      <w:pPr>
        <w:rPr>
          <w:rFonts w:ascii="Calibri" w:cs="Calibri" w:eastAsia="Calibri" w:hAnsi="Calibri"/>
        </w:rPr>
      </w:pPr>
      <w:r w:rsidDel="00000000" w:rsidR="00000000" w:rsidRPr="00000000">
        <w:rPr>
          <w:rFonts w:ascii="Calibri" w:cs="Calibri" w:eastAsia="Calibri" w:hAnsi="Calibri"/>
          <w:b w:val="1"/>
          <w:bCs w:val="1"/>
          <w:rtl w:val="0"/>
        </w:rPr>
        <w:t xml:space="preserve">Notes on pacing/structure:</w:t>
      </w:r>
      <w:r w:rsidDel="00000000" w:rsidR="00000000" w:rsidRPr="00000000">
        <w:rPr>
          <w:rFonts w:ascii="Calibri" w:cs="Calibri" w:eastAsia="Calibri" w:hAnsi="Calibri"/>
          <w:rtl w:val="0"/>
        </w:rPr>
        <w:t xml:space="preserve"> Content is clear, well-written, and accessible for beginners, with a strong focus on explaining basic investing concepts and products. However, it is not structured as a progressive learning journey—more a collection of articles and guides than a cohesive curriculum. Limited interactivity and depth for more advanced users.</w:t>
      </w:r>
    </w:p>
    <w:p w:rsidR="00000000" w:rsidDel="00000000" w:rsidP="00000000" w:rsidRDefault="00000000" w:rsidRPr="00000000" w14:paraId="000000FB">
      <w:pP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6.3 Community &amp; Social Trading</w:t>
      </w:r>
    </w:p>
    <w:p w:rsidR="00000000" w:rsidDel="00000000" w:rsidP="00000000" w:rsidRDefault="00000000" w:rsidRPr="00000000" w14:paraId="000000FC">
      <w:pPr>
        <w:rPr>
          <w:rFonts w:ascii="Calibri" w:cs="Calibri" w:eastAsia="Calibri" w:hAnsi="Calibri"/>
        </w:rPr>
      </w:pPr>
      <w:r w:rsidDel="00000000" w:rsidR="00000000" w:rsidRPr="00000000">
        <w:rPr>
          <w:rFonts w:ascii="Calibri" w:cs="Calibri" w:eastAsia="Calibri" w:hAnsi="Calibri"/>
          <w:b w:val="1"/>
          <w:bCs w:val="1"/>
          <w:rtl w:val="0"/>
        </w:rPr>
        <w:t xml:space="preserve">Social/copy trading present?</w:t>
      </w:r>
      <w:r w:rsidDel="00000000" w:rsidR="00000000" w:rsidRPr="00000000">
        <w:rPr>
          <w:rFonts w:ascii="Calibri" w:cs="Calibri" w:eastAsia="Calibri" w:hAnsi="Calibri"/>
          <w:rtl w:val="0"/>
        </w:rPr>
        <w:t xml:space="preserve"> [] Yes   [/] No</w:t>
      </w:r>
    </w:p>
    <w:p w:rsidR="00000000" w:rsidDel="00000000" w:rsidP="00000000" w:rsidRDefault="00000000" w:rsidRPr="00000000" w14:paraId="000000FD">
      <w:pPr>
        <w:rPr>
          <w:rFonts w:ascii="Calibri" w:cs="Calibri" w:eastAsia="Calibri" w:hAnsi="Calibri"/>
        </w:rPr>
      </w:pPr>
      <w:r w:rsidDel="00000000" w:rsidR="00000000" w:rsidRPr="00000000">
        <w:rPr>
          <w:rFonts w:ascii="Calibri" w:cs="Calibri" w:eastAsia="Calibri" w:hAnsi="Calibri"/>
          <w:b w:val="1"/>
          <w:bCs w:val="1"/>
          <w:rtl w:val="0"/>
        </w:rPr>
        <w:t xml:space="preserve">Community quality (toxic/helpful/quiet):</w:t>
      </w:r>
      <w:r w:rsidDel="00000000" w:rsidR="00000000" w:rsidRPr="00000000">
        <w:rPr>
          <w:rFonts w:ascii="Calibri" w:cs="Calibri" w:eastAsia="Calibri" w:hAnsi="Calibri"/>
          <w:rtl w:val="0"/>
        </w:rPr>
        <w:t xml:space="preserve"> NA</w:t>
      </w:r>
    </w:p>
    <w:p w:rsidR="00000000" w:rsidDel="00000000" w:rsidP="00000000" w:rsidRDefault="00000000" w:rsidRPr="00000000" w14:paraId="000000FE">
      <w:pPr>
        <w:rPr>
          <w:rFonts w:ascii="Calibri" w:cs="Calibri" w:eastAsia="Calibri" w:hAnsi="Calibri"/>
        </w:rPr>
      </w:pPr>
      <w:r w:rsidDel="00000000" w:rsidR="00000000" w:rsidRPr="00000000">
        <w:rPr>
          <w:rFonts w:ascii="Calibri" w:cs="Calibri" w:eastAsia="Calibri" w:hAnsi="Calibri"/>
          <w:b w:val="1"/>
          <w:bCs w:val="1"/>
          <w:rtl w:val="0"/>
        </w:rPr>
        <w:t xml:space="preserve">Moderation quality (1–5):</w:t>
      </w:r>
      <w:r w:rsidDel="00000000" w:rsidR="00000000" w:rsidRPr="00000000">
        <w:rPr>
          <w:rFonts w:ascii="Calibri" w:cs="Calibri" w:eastAsia="Calibri" w:hAnsi="Calibri"/>
          <w:rtl w:val="0"/>
        </w:rPr>
        <w:t xml:space="preserve"> NA</w:t>
      </w:r>
    </w:p>
    <w:p w:rsidR="00000000" w:rsidDel="00000000" w:rsidP="00000000" w:rsidRDefault="00000000" w:rsidRPr="00000000" w14:paraId="000000FF">
      <w:pPr>
        <w:pStyle w:val="Heading2"/>
        <w:rPr>
          <w:rFonts w:ascii="Calibri" w:cs="Calibri" w:eastAsia="Calibri" w:hAnsi="Calibri"/>
        </w:rPr>
      </w:pPr>
      <w:r w:rsidDel="00000000" w:rsidR="00000000" w:rsidRPr="00000000">
        <w:rPr>
          <w:rFonts w:ascii="Calibri" w:cs="Calibri" w:eastAsia="Calibri" w:hAnsi="Calibri"/>
          <w:rtl w:val="0"/>
        </w:rPr>
        <w:t xml:space="preserve">7. Support &amp; Security (Phase A – 2.7)</w:t>
      </w:r>
    </w:p>
    <w:p w:rsidR="00000000" w:rsidDel="00000000" w:rsidP="00000000" w:rsidRDefault="00000000" w:rsidRPr="00000000" w14:paraId="00000100">
      <w:pP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7.1 Customer Support</w:t>
      </w:r>
    </w:p>
    <w:p w:rsidR="00000000" w:rsidDel="00000000" w:rsidP="00000000" w:rsidRDefault="00000000" w:rsidRPr="00000000" w14:paraId="00000101">
      <w:pPr>
        <w:rPr>
          <w:rFonts w:ascii="Calibri" w:cs="Calibri" w:eastAsia="Calibri" w:hAnsi="Calibri"/>
        </w:rPr>
      </w:pPr>
      <w:r w:rsidDel="00000000" w:rsidR="00000000" w:rsidRPr="00000000">
        <w:rPr>
          <w:rFonts w:ascii="Calibri" w:cs="Calibri" w:eastAsia="Calibri" w:hAnsi="Calibri"/>
          <w:b w:val="1"/>
          <w:bCs w:val="1"/>
          <w:rtl w:val="0"/>
        </w:rPr>
        <w:t xml:space="preserve">Channels available:</w:t>
      </w:r>
      <w:r w:rsidDel="00000000" w:rsidR="00000000" w:rsidRPr="00000000">
        <w:rPr>
          <w:rFonts w:ascii="Calibri" w:cs="Calibri" w:eastAsia="Calibri" w:hAnsi="Calibri"/>
          <w:rtl w:val="0"/>
        </w:rPr>
        <w:t xml:space="preserve"> [] Live chat   [/] Email   [/] Phone   [ ] Tickets   [/] FAQ</w:t>
      </w:r>
    </w:p>
    <w:p w:rsidR="00000000" w:rsidDel="00000000" w:rsidP="00000000" w:rsidRDefault="00000000" w:rsidRPr="00000000" w14:paraId="00000102">
      <w:pPr>
        <w:rPr>
          <w:rFonts w:ascii="Calibri" w:cs="Calibri" w:eastAsia="Calibri" w:hAnsi="Calibri"/>
        </w:rPr>
      </w:pPr>
      <w:r w:rsidDel="00000000" w:rsidR="00000000" w:rsidRPr="00000000">
        <w:rPr>
          <w:rFonts w:ascii="Calibri" w:cs="Calibri" w:eastAsia="Calibri" w:hAnsi="Calibri"/>
          <w:b w:val="1"/>
          <w:bCs w:val="1"/>
          <w:rtl w:val="0"/>
        </w:rPr>
        <w:t xml:space="preserve">Tested channel: </w:t>
      </w:r>
      <w:r w:rsidDel="00000000" w:rsidR="00000000" w:rsidRPr="00000000">
        <w:rPr>
          <w:rFonts w:ascii="Calibri" w:cs="Calibri" w:eastAsia="Calibri" w:hAnsi="Calibri"/>
          <w:rtl w:val="0"/>
        </w:rPr>
        <w:t xml:space="preserve">FAQ</w:t>
      </w:r>
    </w:p>
    <w:p w:rsidR="00000000" w:rsidDel="00000000" w:rsidP="00000000" w:rsidRDefault="00000000" w:rsidRPr="00000000" w14:paraId="00000103">
      <w:pPr>
        <w:rPr>
          <w:rFonts w:ascii="Calibri" w:cs="Calibri" w:eastAsia="Calibri" w:hAnsi="Calibri"/>
        </w:rPr>
      </w:pPr>
      <w:r w:rsidDel="00000000" w:rsidR="00000000" w:rsidRPr="00000000">
        <w:rPr>
          <w:rFonts w:ascii="Calibri" w:cs="Calibri" w:eastAsia="Calibri" w:hAnsi="Calibri"/>
          <w:b w:val="1"/>
          <w:bCs w:val="1"/>
          <w:rtl w:val="0"/>
        </w:rPr>
        <w:t xml:space="preserve">Response time: </w:t>
      </w:r>
      <w:r w:rsidDel="00000000" w:rsidR="00000000" w:rsidRPr="00000000">
        <w:rPr>
          <w:rFonts w:ascii="Calibri" w:cs="Calibri" w:eastAsia="Calibri" w:hAnsi="Calibri"/>
          <w:rtl w:val="0"/>
        </w:rPr>
        <w:t xml:space="preserve">NA</w:t>
      </w:r>
    </w:p>
    <w:p w:rsidR="00000000" w:rsidDel="00000000" w:rsidP="00000000" w:rsidRDefault="00000000" w:rsidRPr="00000000" w14:paraId="00000104">
      <w:pPr>
        <w:rPr>
          <w:rFonts w:ascii="Calibri" w:cs="Calibri" w:eastAsia="Calibri" w:hAnsi="Calibri"/>
        </w:rPr>
      </w:pPr>
      <w:r w:rsidDel="00000000" w:rsidR="00000000" w:rsidRPr="00000000">
        <w:rPr>
          <w:rFonts w:ascii="Calibri" w:cs="Calibri" w:eastAsia="Calibri" w:hAnsi="Calibri"/>
          <w:b w:val="1"/>
          <w:bCs w:val="1"/>
          <w:rtl w:val="0"/>
        </w:rPr>
        <w:t xml:space="preserve">Quality (1–5): </w:t>
      </w:r>
      <w:r w:rsidDel="00000000" w:rsidR="00000000" w:rsidRPr="00000000">
        <w:rPr>
          <w:rFonts w:ascii="Calibri" w:cs="Calibri" w:eastAsia="Calibri" w:hAnsi="Calibri"/>
          <w:rtl w:val="0"/>
        </w:rPr>
        <w:t xml:space="preserve">2</w:t>
      </w:r>
    </w:p>
    <w:p w:rsidR="00000000" w:rsidDel="00000000" w:rsidP="00000000" w:rsidRDefault="00000000" w:rsidRPr="00000000" w14:paraId="00000105">
      <w:pPr>
        <w:rPr>
          <w:rFonts w:ascii="Calibri" w:cs="Calibri" w:eastAsia="Calibri" w:hAnsi="Calibri"/>
        </w:rPr>
      </w:pPr>
      <w:r w:rsidDel="00000000" w:rsidR="00000000" w:rsidRPr="00000000">
        <w:rPr>
          <w:rFonts w:ascii="Calibri" w:cs="Calibri" w:eastAsia="Calibri" w:hAnsi="Calibri"/>
          <w:b w:val="1"/>
          <w:bCs w:val="1"/>
          <w:rtl w:val="0"/>
        </w:rPr>
        <w:t xml:space="preserve">Notes:</w:t>
      </w:r>
      <w:r w:rsidDel="00000000" w:rsidR="00000000" w:rsidRPr="00000000">
        <w:rPr>
          <w:rFonts w:ascii="Calibri" w:cs="Calibri" w:eastAsia="Calibri" w:hAnsi="Calibri"/>
          <w:rtl w:val="0"/>
        </w:rPr>
        <w:t xml:space="preserve"> FAQ is reasonably comprehensive and easy to access, but answers can be generic and not always tailored to specific user scenarios. Absence of live chat limits quick issue resolution, and users may need to escalate to phone/email for anything beyond basic queries.</w:t>
      </w:r>
    </w:p>
    <w:p w:rsidR="00000000" w:rsidDel="00000000" w:rsidP="00000000" w:rsidRDefault="00000000" w:rsidRPr="00000000" w14:paraId="00000106">
      <w:pP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7.2 Security Features</w:t>
      </w:r>
    </w:p>
    <w:p w:rsidR="00000000" w:rsidDel="00000000" w:rsidP="00000000" w:rsidRDefault="00000000" w:rsidRPr="00000000" w14:paraId="00000107">
      <w:pPr>
        <w:rPr>
          <w:rFonts w:ascii="Calibri" w:cs="Calibri" w:eastAsia="Calibri" w:hAnsi="Calibri"/>
        </w:rPr>
      </w:pPr>
      <w:r w:rsidDel="00000000" w:rsidR="00000000" w:rsidRPr="00000000">
        <w:rPr>
          <w:rFonts w:ascii="Calibri" w:cs="Calibri" w:eastAsia="Calibri" w:hAnsi="Calibri"/>
          <w:b w:val="1"/>
          <w:bCs w:val="1"/>
          <w:rtl w:val="0"/>
        </w:rPr>
        <w:t xml:space="preserve">Login</w:t>
      </w:r>
      <w:r w:rsidDel="00000000" w:rsidR="00000000" w:rsidRPr="00000000">
        <w:rPr>
          <w:rFonts w:ascii="Calibri" w:cs="Calibri" w:eastAsia="Calibri" w:hAnsi="Calibri"/>
          <w:rtl w:val="0"/>
        </w:rPr>
        <w:t xml:space="preserve">: [/] Password   [/] Biometric   [/ ] 2FA (SMS)   [ ] 2FA (App) </w:t>
      </w:r>
    </w:p>
    <w:p w:rsidR="00000000" w:rsidDel="00000000" w:rsidP="00000000" w:rsidRDefault="00000000" w:rsidRPr="00000000" w14:paraId="00000108">
      <w:pPr>
        <w:ind w:firstLine="720"/>
        <w:rPr>
          <w:rFonts w:ascii="Calibri" w:cs="Calibri" w:eastAsia="Calibri" w:hAnsi="Calibri"/>
        </w:rPr>
      </w:pPr>
      <w:r w:rsidDel="00000000" w:rsidR="00000000" w:rsidRPr="00000000">
        <w:rPr>
          <w:rFonts w:ascii="Calibri" w:cs="Calibri" w:eastAsia="Calibri" w:hAnsi="Calibri"/>
          <w:b w:val="1"/>
          <w:bCs w:val="1"/>
          <w:rtl w:val="0"/>
        </w:rPr>
        <w:t xml:space="preserve">Notes:</w:t>
      </w:r>
      <w:r w:rsidDel="00000000" w:rsidR="00000000" w:rsidRPr="00000000">
        <w:rPr>
          <w:rFonts w:ascii="Calibri" w:cs="Calibri" w:eastAsia="Calibri" w:hAnsi="Calibri"/>
          <w:rtl w:val="0"/>
        </w:rPr>
        <w:t xml:space="preserve"> Standard security setup—biometric login available on mobile and SMS-based 2FA for added verification. However, no authenticator app support (e.g. Google Authenticator), which feels outdated compared to more security-focused platforms.</w:t>
      </w:r>
    </w:p>
    <w:p w:rsidR="00000000" w:rsidDel="00000000" w:rsidP="00000000" w:rsidRDefault="00000000" w:rsidRPr="00000000" w14:paraId="00000109">
      <w:pPr>
        <w:rPr>
          <w:rFonts w:ascii="Calibri" w:cs="Calibri" w:eastAsia="Calibri" w:hAnsi="Calibri"/>
        </w:rPr>
      </w:pPr>
      <w:r w:rsidDel="00000000" w:rsidR="00000000" w:rsidRPr="00000000">
        <w:rPr>
          <w:rFonts w:ascii="Calibri" w:cs="Calibri" w:eastAsia="Calibri" w:hAnsi="Calibri"/>
          <w:b w:val="1"/>
          <w:bCs w:val="1"/>
          <w:rtl w:val="0"/>
        </w:rPr>
        <w:t xml:space="preserve">Session timeout behaviour:</w:t>
      </w:r>
      <w:r w:rsidDel="00000000" w:rsidR="00000000" w:rsidRPr="00000000">
        <w:rPr>
          <w:rFonts w:ascii="Calibri" w:cs="Calibri" w:eastAsia="Calibri" w:hAnsi="Calibri"/>
          <w:rtl w:val="0"/>
        </w:rPr>
        <w:t xml:space="preserve"> Auto-logout after a period of inactivity; reasonably strict, requiring re-authentication to continue.</w:t>
      </w:r>
    </w:p>
    <w:p w:rsidR="00000000" w:rsidDel="00000000" w:rsidP="00000000" w:rsidRDefault="00000000" w:rsidRPr="00000000" w14:paraId="0000010A">
      <w:pPr>
        <w:rPr>
          <w:rFonts w:ascii="Calibri" w:cs="Calibri" w:eastAsia="Calibri" w:hAnsi="Calibri"/>
        </w:rPr>
      </w:pPr>
      <w:r w:rsidDel="00000000" w:rsidR="00000000" w:rsidRPr="00000000">
        <w:rPr>
          <w:rFonts w:ascii="Calibri" w:cs="Calibri" w:eastAsia="Calibri" w:hAnsi="Calibri"/>
          <w:b w:val="1"/>
          <w:bCs w:val="1"/>
          <w:rtl w:val="0"/>
        </w:rPr>
        <w:t xml:space="preserve">Investor protection scheme (e.g. SIPC/FSCS):</w:t>
      </w:r>
      <w:r w:rsidDel="00000000" w:rsidR="00000000" w:rsidRPr="00000000">
        <w:rPr>
          <w:rFonts w:ascii="Calibri" w:cs="Calibri" w:eastAsia="Calibri" w:hAnsi="Calibri"/>
          <w:rtl w:val="0"/>
        </w:rPr>
        <w:t xml:space="preserve"> </w:t>
      </w:r>
    </w:p>
    <w:p w:rsidR="00000000" w:rsidDel="00000000" w:rsidP="00000000" w:rsidRDefault="00000000" w:rsidRPr="00000000" w14:paraId="0000010B">
      <w:pPr>
        <w:rPr>
          <w:rFonts w:ascii="Calibri" w:cs="Calibri" w:eastAsia="Calibri" w:hAnsi="Calibri"/>
        </w:rPr>
      </w:pPr>
      <w:r w:rsidDel="00000000" w:rsidR="00000000" w:rsidRPr="00000000">
        <w:rPr>
          <w:rFonts w:ascii="Calibri" w:cs="Calibri" w:eastAsia="Calibri" w:hAnsi="Calibri"/>
          <w:rtl w:val="0"/>
        </w:rPr>
        <w:t xml:space="preserve">FSCS (UK) – protection up to £85,000</w:t>
      </w:r>
    </w:p>
    <w:p w:rsidR="00000000" w:rsidDel="00000000" w:rsidP="00000000" w:rsidRDefault="00000000" w:rsidRPr="00000000" w14:paraId="0000010C">
      <w:pPr>
        <w:pStyle w:val="Heading2"/>
        <w:rPr>
          <w:rFonts w:ascii="Calibri" w:cs="Calibri" w:eastAsia="Calibri" w:hAnsi="Calibri"/>
        </w:rPr>
      </w:pPr>
      <w:r w:rsidDel="00000000" w:rsidR="00000000" w:rsidRPr="00000000">
        <w:rPr>
          <w:rFonts w:ascii="Calibri" w:cs="Calibri" w:eastAsia="Calibri" w:hAnsi="Calibri"/>
          <w:rtl w:val="0"/>
        </w:rPr>
        <w:t xml:space="preserve">8. User Experience Synthesis (Phase A – 2.8)</w:t>
      </w:r>
    </w:p>
    <w:p w:rsidR="00000000" w:rsidDel="00000000" w:rsidP="00000000" w:rsidRDefault="00000000" w:rsidRPr="00000000" w14:paraId="0000010D">
      <w:pP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8.1 Design Aesthetic</w:t>
      </w:r>
    </w:p>
    <w:p w:rsidR="00000000" w:rsidDel="00000000" w:rsidP="00000000" w:rsidRDefault="00000000" w:rsidRPr="00000000" w14:paraId="0000010E">
      <w:pPr>
        <w:rPr>
          <w:rFonts w:ascii="Calibri" w:cs="Calibri" w:eastAsia="Calibri" w:hAnsi="Calibri"/>
        </w:rPr>
      </w:pPr>
      <w:r w:rsidDel="00000000" w:rsidR="00000000" w:rsidRPr="00000000">
        <w:rPr>
          <w:rFonts w:ascii="Calibri" w:cs="Calibri" w:eastAsia="Calibri" w:hAnsi="Calibri"/>
          <w:b w:val="1"/>
          <w:bCs w:val="1"/>
          <w:rtl w:val="0"/>
        </w:rPr>
        <w:t xml:space="preserve">Style (modern/minimal/corporate/cluttered):</w:t>
      </w:r>
      <w:r w:rsidDel="00000000" w:rsidR="00000000" w:rsidRPr="00000000">
        <w:rPr>
          <w:rFonts w:ascii="Calibri" w:cs="Calibri" w:eastAsia="Calibri" w:hAnsi="Calibri"/>
          <w:rtl w:val="0"/>
        </w:rPr>
        <w:t xml:space="preserve"> Clean, minimal, but distinctly corporate</w:t>
      </w:r>
    </w:p>
    <w:p w:rsidR="00000000" w:rsidDel="00000000" w:rsidP="00000000" w:rsidRDefault="00000000" w:rsidRPr="00000000" w14:paraId="0000010F">
      <w:pPr>
        <w:rPr>
          <w:rFonts w:ascii="Calibri" w:cs="Calibri" w:eastAsia="Calibri" w:hAnsi="Calibri"/>
        </w:rPr>
      </w:pPr>
      <w:r w:rsidDel="00000000" w:rsidR="00000000" w:rsidRPr="00000000">
        <w:rPr>
          <w:rFonts w:ascii="Calibri" w:cs="Calibri" w:eastAsia="Calibri" w:hAnsi="Calibri"/>
          <w:b w:val="1"/>
          <w:bCs w:val="1"/>
          <w:rtl w:val="0"/>
        </w:rPr>
        <w:t xml:space="preserve">Visual appeal (1–5):</w:t>
      </w:r>
      <w:r w:rsidDel="00000000" w:rsidR="00000000" w:rsidRPr="00000000">
        <w:rPr>
          <w:rFonts w:ascii="Calibri" w:cs="Calibri" w:eastAsia="Calibri" w:hAnsi="Calibri"/>
          <w:rtl w:val="0"/>
        </w:rPr>
        <w:t xml:space="preserve"> 3</w:t>
      </w:r>
    </w:p>
    <w:p w:rsidR="00000000" w:rsidDel="00000000" w:rsidP="00000000" w:rsidRDefault="00000000" w:rsidRPr="00000000" w14:paraId="00000110">
      <w:pP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8.2 Emotional Response</w:t>
      </w:r>
    </w:p>
    <w:p w:rsidR="00000000" w:rsidDel="00000000" w:rsidP="00000000" w:rsidRDefault="00000000" w:rsidRPr="00000000" w14:paraId="00000111">
      <w:pPr>
        <w:rPr>
          <w:rFonts w:ascii="Calibri" w:cs="Calibri" w:eastAsia="Calibri" w:hAnsi="Calibri"/>
        </w:rPr>
      </w:pPr>
      <w:r w:rsidDel="00000000" w:rsidR="00000000" w:rsidRPr="00000000">
        <w:rPr>
          <w:rFonts w:ascii="Calibri" w:cs="Calibri" w:eastAsia="Calibri" w:hAnsi="Calibri"/>
          <w:b w:val="1"/>
          <w:bCs w:val="1"/>
          <w:rtl w:val="0"/>
        </w:rPr>
        <w:t xml:space="preserve">What delighted you?</w:t>
      </w:r>
      <w:r w:rsidDel="00000000" w:rsidR="00000000" w:rsidRPr="00000000">
        <w:rPr>
          <w:rFonts w:ascii="Calibri" w:cs="Calibri" w:eastAsia="Calibri" w:hAnsi="Calibri"/>
          <w:rtl w:val="0"/>
        </w:rPr>
        <w:t xml:space="preserve"> The interface is clean and uncluttered, making basic navigation and portfolio checks straightforward.</w:t>
      </w:r>
    </w:p>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b w:val="1"/>
          <w:bCs w:val="1"/>
          <w:rtl w:val="0"/>
        </w:rPr>
        <w:t xml:space="preserve">What frustrated you?</w:t>
      </w:r>
      <w:r w:rsidDel="00000000" w:rsidR="00000000" w:rsidRPr="00000000">
        <w:rPr>
          <w:rFonts w:ascii="Calibri" w:cs="Calibri" w:eastAsia="Calibri" w:hAnsi="Calibri"/>
          <w:rtl w:val="0"/>
        </w:rPr>
        <w:t xml:space="preserve"> The app feels overly basic and lacks depth—there is minimal data, limited visualisation, and no standout or innovative features. Searching for stocks is unintuitive, with results that prioritise structure over clarity and make it harder than expected to quickly find and evaluate assets. Overall, the experience is functional but unengaging.</w:t>
      </w:r>
    </w:p>
    <w:p w:rsidR="00000000" w:rsidDel="00000000" w:rsidP="00000000" w:rsidRDefault="00000000" w:rsidRPr="00000000" w14:paraId="00000113">
      <w:pP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8.3 Stand-Out Elements</w:t>
      </w:r>
    </w:p>
    <w:p w:rsidR="00000000" w:rsidDel="00000000" w:rsidP="00000000" w:rsidRDefault="00000000" w:rsidRPr="00000000" w14:paraId="0000011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Unique UX wins: </w:t>
      </w:r>
    </w:p>
    <w:p w:rsidR="00000000" w:rsidDel="00000000" w:rsidP="00000000" w:rsidRDefault="00000000" w:rsidRPr="00000000" w14:paraId="00000115">
      <w:pPr>
        <w:numPr>
          <w:ilvl w:val="0"/>
          <w:numId w:val="17"/>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Clean, uncluttered interface that keeps core tasks simple</w:t>
      </w:r>
    </w:p>
    <w:p w:rsidR="00000000" w:rsidDel="00000000" w:rsidP="00000000" w:rsidRDefault="00000000" w:rsidRPr="00000000" w14:paraId="00000116">
      <w:pPr>
        <w:numPr>
          <w:ilvl w:val="0"/>
          <w:numId w:val="17"/>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Strong sense of stability and trust (feels reliable, if not exciting)</w:t>
      </w:r>
    </w:p>
    <w:p w:rsidR="00000000" w:rsidDel="00000000" w:rsidP="00000000" w:rsidRDefault="00000000" w:rsidRPr="00000000" w14:paraId="00000117">
      <w:pPr>
        <w:rPr>
          <w:rFonts w:ascii="Calibri" w:cs="Calibri" w:eastAsia="Calibri" w:hAnsi="Calibri"/>
        </w:rPr>
      </w:pPr>
      <w:r w:rsidDel="00000000" w:rsidR="00000000" w:rsidRPr="00000000">
        <w:rPr>
          <w:rFonts w:ascii="Calibri" w:cs="Calibri" w:eastAsia="Calibri" w:hAnsi="Calibri"/>
          <w:b w:val="1"/>
          <w:bCs w:val="1"/>
          <w:rtl w:val="0"/>
        </w:rPr>
        <w:t xml:space="preserve">Major UX flaws:</w:t>
      </w:r>
      <w:r w:rsidDel="00000000" w:rsidR="00000000" w:rsidRPr="00000000">
        <w:rPr>
          <w:rFonts w:ascii="Calibri" w:cs="Calibri" w:eastAsia="Calibri" w:hAnsi="Calibri"/>
          <w:rtl w:val="0"/>
        </w:rPr>
        <w:t xml:space="preserve"> </w:t>
      </w:r>
    </w:p>
    <w:p w:rsidR="00000000" w:rsidDel="00000000" w:rsidP="00000000" w:rsidRDefault="00000000" w:rsidRPr="00000000" w14:paraId="00000118">
      <w:pPr>
        <w:numPr>
          <w:ilvl w:val="0"/>
          <w:numId w:val="18"/>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Search is unintuitive and inefficient, making it harder than expected to find and compare assets</w:t>
      </w:r>
    </w:p>
    <w:p w:rsidR="00000000" w:rsidDel="00000000" w:rsidP="00000000" w:rsidRDefault="00000000" w:rsidRPr="00000000" w14:paraId="00000119">
      <w:pPr>
        <w:numPr>
          <w:ilvl w:val="0"/>
          <w:numId w:val="18"/>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Very limited data and lack of embedded research or insights</w:t>
      </w:r>
    </w:p>
    <w:p w:rsidR="00000000" w:rsidDel="00000000" w:rsidP="00000000" w:rsidRDefault="00000000" w:rsidRPr="00000000" w14:paraId="0000011A">
      <w:pPr>
        <w:numPr>
          <w:ilvl w:val="0"/>
          <w:numId w:val="18"/>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No innovative or standout features—nothing that differentiates the experience</w:t>
      </w:r>
    </w:p>
    <w:p w:rsidR="00000000" w:rsidDel="00000000" w:rsidP="00000000" w:rsidRDefault="00000000" w:rsidRPr="00000000" w14:paraId="0000011B">
      <w:pPr>
        <w:numPr>
          <w:ilvl w:val="0"/>
          <w:numId w:val="18"/>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Feels more like an account dashboard than a fully functional investing platform</w:t>
      </w:r>
    </w:p>
    <w:p w:rsidR="00000000" w:rsidDel="00000000" w:rsidP="00000000" w:rsidRDefault="00000000" w:rsidRPr="00000000" w14:paraId="0000011C">
      <w:pPr>
        <w:numPr>
          <w:ilvl w:val="0"/>
          <w:numId w:val="18"/>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Lack of modern UX elements (e.g. smart discovery, personalisation, or interactive tools)</w:t>
      </w:r>
    </w:p>
    <w:p w:rsidR="00000000" w:rsidDel="00000000" w:rsidP="00000000" w:rsidRDefault="00000000" w:rsidRPr="00000000" w14:paraId="0000011D">
      <w:pPr>
        <w:pStyle w:val="Heading2"/>
        <w:rPr>
          <w:rFonts w:ascii="Calibri" w:cs="Calibri" w:eastAsia="Calibri" w:hAnsi="Calibri"/>
        </w:rPr>
      </w:pPr>
      <w:bookmarkStart w:colFirst="0" w:colLast="0" w:name="_heading=h.47o20h26ekxn" w:id="0"/>
      <w:bookmarkEnd w:id="0"/>
      <w:r w:rsidDel="00000000" w:rsidR="00000000" w:rsidRPr="00000000">
        <w:rPr>
          <w:rFonts w:ascii="Calibri" w:cs="Calibri" w:eastAsia="Calibri" w:hAnsi="Calibri"/>
          <w:rtl w:val="0"/>
        </w:rPr>
        <w:t xml:space="preserve">9. AI Features &amp; Stand-Outs (Phase C)</w:t>
      </w:r>
    </w:p>
    <w:p w:rsidR="00000000" w:rsidDel="00000000" w:rsidP="00000000" w:rsidRDefault="00000000" w:rsidRPr="00000000" w14:paraId="0000011E">
      <w:pP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9.1 AI Features Present (tick)</w:t>
      </w:r>
    </w:p>
    <w:p w:rsidR="00000000" w:rsidDel="00000000" w:rsidP="00000000" w:rsidRDefault="00000000" w:rsidRPr="00000000" w14:paraId="0000011F">
      <w:pPr>
        <w:rPr>
          <w:rFonts w:ascii="Calibri" w:cs="Calibri" w:eastAsia="Calibri" w:hAnsi="Calibri"/>
        </w:rPr>
      </w:pPr>
      <w:r w:rsidDel="00000000" w:rsidR="00000000" w:rsidRPr="00000000">
        <w:rPr>
          <w:rFonts w:ascii="Calibri" w:cs="Calibri" w:eastAsia="Calibri" w:hAnsi="Calibri"/>
          <w:rtl w:val="0"/>
        </w:rPr>
        <w:t xml:space="preserve">[] Robo-advisory portfolios   [ ] Predictive analytics   [ ] Personalised recommendations</w:t>
      </w:r>
    </w:p>
    <w:p w:rsidR="00000000" w:rsidDel="00000000" w:rsidP="00000000" w:rsidRDefault="00000000" w:rsidRPr="00000000" w14:paraId="00000120">
      <w:pPr>
        <w:rPr>
          <w:rFonts w:ascii="Calibri" w:cs="Calibri" w:eastAsia="Calibri" w:hAnsi="Calibri"/>
        </w:rPr>
      </w:pPr>
      <w:r w:rsidDel="00000000" w:rsidR="00000000" w:rsidRPr="00000000">
        <w:rPr>
          <w:rFonts w:ascii="Calibri" w:cs="Calibri" w:eastAsia="Calibri" w:hAnsi="Calibri"/>
          <w:rtl w:val="0"/>
        </w:rPr>
        <w:t xml:space="preserve">[] Summarised earnings/reports   [] AI chatbot assistant   [ ] AI compliance/risk checks</w:t>
      </w:r>
    </w:p>
    <w:p w:rsidR="00000000" w:rsidDel="00000000" w:rsidP="00000000" w:rsidRDefault="00000000" w:rsidRPr="00000000" w14:paraId="0000012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Notes per feature:</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122">
      <w:pPr>
        <w:numPr>
          <w:ilvl w:val="0"/>
          <w:numId w:val="13"/>
        </w:numPr>
        <w:spacing w:after="0" w:afterAutospacing="0"/>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Robo-advisory portfolios: </w:t>
      </w:r>
      <w:r w:rsidDel="00000000" w:rsidR="00000000" w:rsidRPr="00000000">
        <w:rPr>
          <w:rFonts w:ascii="Calibri" w:cs="Calibri" w:eastAsia="Calibri" w:hAnsi="Calibri"/>
          <w:rtl w:val="0"/>
        </w:rPr>
        <w:t xml:space="preserve">NA</w:t>
      </w:r>
    </w:p>
    <w:p w:rsidR="00000000" w:rsidDel="00000000" w:rsidP="00000000" w:rsidRDefault="00000000" w:rsidRPr="00000000" w14:paraId="00000123">
      <w:pPr>
        <w:numPr>
          <w:ilvl w:val="0"/>
          <w:numId w:val="13"/>
        </w:numPr>
        <w:spacing w:after="0" w:afterAutospacing="0"/>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Predictive analytics:</w:t>
      </w:r>
      <w:r w:rsidDel="00000000" w:rsidR="00000000" w:rsidRPr="00000000">
        <w:rPr>
          <w:rFonts w:ascii="Calibri" w:cs="Calibri" w:eastAsia="Calibri" w:hAnsi="Calibri"/>
          <w:rtl w:val="0"/>
        </w:rPr>
        <w:t xml:space="preserve"> NA</w:t>
      </w:r>
    </w:p>
    <w:p w:rsidR="00000000" w:rsidDel="00000000" w:rsidP="00000000" w:rsidRDefault="00000000" w:rsidRPr="00000000" w14:paraId="00000124">
      <w:pPr>
        <w:numPr>
          <w:ilvl w:val="0"/>
          <w:numId w:val="13"/>
        </w:numPr>
        <w:spacing w:after="0" w:afterAutospacing="0"/>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Personalised recommendations: </w:t>
      </w:r>
      <w:r w:rsidDel="00000000" w:rsidR="00000000" w:rsidRPr="00000000">
        <w:rPr>
          <w:rFonts w:ascii="Calibri" w:cs="Calibri" w:eastAsia="Calibri" w:hAnsi="Calibri"/>
          <w:rtl w:val="0"/>
        </w:rPr>
        <w:t xml:space="preserve">NA</w:t>
      </w:r>
    </w:p>
    <w:p w:rsidR="00000000" w:rsidDel="00000000" w:rsidP="00000000" w:rsidRDefault="00000000" w:rsidRPr="00000000" w14:paraId="00000125">
      <w:pPr>
        <w:numPr>
          <w:ilvl w:val="0"/>
          <w:numId w:val="13"/>
        </w:numPr>
        <w:spacing w:after="0" w:afterAutospacing="0"/>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Summarised earning/reports: </w:t>
      </w:r>
      <w:r w:rsidDel="00000000" w:rsidR="00000000" w:rsidRPr="00000000">
        <w:rPr>
          <w:rFonts w:ascii="Calibri" w:cs="Calibri" w:eastAsia="Calibri" w:hAnsi="Calibri"/>
          <w:rtl w:val="0"/>
        </w:rPr>
        <w:t xml:space="preserve">NA</w:t>
      </w:r>
    </w:p>
    <w:p w:rsidR="00000000" w:rsidDel="00000000" w:rsidP="00000000" w:rsidRDefault="00000000" w:rsidRPr="00000000" w14:paraId="00000126">
      <w:pPr>
        <w:numPr>
          <w:ilvl w:val="0"/>
          <w:numId w:val="13"/>
        </w:numPr>
        <w:spacing w:after="0" w:afterAutospacing="0"/>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AI chatbot assistant: </w:t>
      </w:r>
      <w:r w:rsidDel="00000000" w:rsidR="00000000" w:rsidRPr="00000000">
        <w:rPr>
          <w:rFonts w:ascii="Calibri" w:cs="Calibri" w:eastAsia="Calibri" w:hAnsi="Calibri"/>
          <w:rtl w:val="0"/>
        </w:rPr>
        <w:t xml:space="preserve">NA</w:t>
      </w:r>
    </w:p>
    <w:p w:rsidR="00000000" w:rsidDel="00000000" w:rsidP="00000000" w:rsidRDefault="00000000" w:rsidRPr="00000000" w14:paraId="00000127">
      <w:pPr>
        <w:numPr>
          <w:ilvl w:val="0"/>
          <w:numId w:val="13"/>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AI compliance/risk checks: </w:t>
      </w:r>
      <w:r w:rsidDel="00000000" w:rsidR="00000000" w:rsidRPr="00000000">
        <w:rPr>
          <w:rFonts w:ascii="Calibri" w:cs="Calibri" w:eastAsia="Calibri" w:hAnsi="Calibri"/>
          <w:rtl w:val="0"/>
        </w:rPr>
        <w:t xml:space="preserve">NA </w:t>
      </w:r>
    </w:p>
    <w:p w:rsidR="00000000" w:rsidDel="00000000" w:rsidP="00000000" w:rsidRDefault="00000000" w:rsidRPr="00000000" w14:paraId="00000128">
      <w:pP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9.2 Chatbots &amp; Virtual Assistants</w:t>
      </w:r>
    </w:p>
    <w:p w:rsidR="00000000" w:rsidDel="00000000" w:rsidP="00000000" w:rsidRDefault="00000000" w:rsidRPr="00000000" w14:paraId="00000129">
      <w:pPr>
        <w:rPr>
          <w:rFonts w:ascii="Calibri" w:cs="Calibri" w:eastAsia="Calibri" w:hAnsi="Calibri"/>
        </w:rPr>
      </w:pPr>
      <w:r w:rsidDel="00000000" w:rsidR="00000000" w:rsidRPr="00000000">
        <w:rPr>
          <w:rFonts w:ascii="Calibri" w:cs="Calibri" w:eastAsia="Calibri" w:hAnsi="Calibri"/>
          <w:b w:val="1"/>
          <w:bCs w:val="1"/>
          <w:rtl w:val="0"/>
        </w:rPr>
        <w:t xml:space="preserve">Entry point:</w:t>
      </w:r>
      <w:r w:rsidDel="00000000" w:rsidR="00000000" w:rsidRPr="00000000">
        <w:rPr>
          <w:rFonts w:ascii="Calibri" w:cs="Calibri" w:eastAsia="Calibri" w:hAnsi="Calibri"/>
          <w:rtl w:val="0"/>
        </w:rPr>
        <w:t xml:space="preserve"> NA </w:t>
      </w:r>
    </w:p>
    <w:p w:rsidR="00000000" w:rsidDel="00000000" w:rsidP="00000000" w:rsidRDefault="00000000" w:rsidRPr="00000000" w14:paraId="0000012A">
      <w:pPr>
        <w:rPr>
          <w:rFonts w:ascii="Calibri" w:cs="Calibri" w:eastAsia="Calibri" w:hAnsi="Calibri"/>
        </w:rPr>
      </w:pPr>
      <w:r w:rsidDel="00000000" w:rsidR="00000000" w:rsidRPr="00000000">
        <w:rPr>
          <w:rFonts w:ascii="Calibri" w:cs="Calibri" w:eastAsia="Calibri" w:hAnsi="Calibri"/>
          <w:b w:val="1"/>
          <w:bCs w:val="1"/>
          <w:rtl w:val="0"/>
        </w:rPr>
        <w:t xml:space="preserve">Prompt comprehension (1–5):</w:t>
      </w:r>
      <w:r w:rsidDel="00000000" w:rsidR="00000000" w:rsidRPr="00000000">
        <w:rPr>
          <w:rFonts w:ascii="Calibri" w:cs="Calibri" w:eastAsia="Calibri" w:hAnsi="Calibri"/>
          <w:rtl w:val="0"/>
        </w:rPr>
        <w:t xml:space="preserve"> NA</w:t>
      </w:r>
    </w:p>
    <w:p w:rsidR="00000000" w:rsidDel="00000000" w:rsidP="00000000" w:rsidRDefault="00000000" w:rsidRPr="00000000" w14:paraId="0000012B">
      <w:pPr>
        <w:rPr>
          <w:rFonts w:ascii="Calibri" w:cs="Calibri" w:eastAsia="Calibri" w:hAnsi="Calibri"/>
        </w:rPr>
      </w:pPr>
      <w:r w:rsidDel="00000000" w:rsidR="00000000" w:rsidRPr="00000000">
        <w:rPr>
          <w:rFonts w:ascii="Calibri" w:cs="Calibri" w:eastAsia="Calibri" w:hAnsi="Calibri"/>
          <w:b w:val="1"/>
          <w:bCs w:val="1"/>
          <w:rtl w:val="0"/>
        </w:rPr>
        <w:t xml:space="preserve">Accuracy (1–5): NA</w:t>
      </w:r>
      <w:r w:rsidDel="00000000" w:rsidR="00000000" w:rsidRPr="00000000">
        <w:rPr>
          <w:rtl w:val="0"/>
        </w:rPr>
      </w:r>
    </w:p>
    <w:p w:rsidR="00000000" w:rsidDel="00000000" w:rsidP="00000000" w:rsidRDefault="00000000" w:rsidRPr="00000000" w14:paraId="0000012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Escalation to human: </w:t>
      </w:r>
      <w:r w:rsidDel="00000000" w:rsidR="00000000" w:rsidRPr="00000000">
        <w:rPr>
          <w:rFonts w:ascii="Calibri" w:cs="Calibri" w:eastAsia="Calibri" w:hAnsi="Calibri"/>
          <w:rtl w:val="0"/>
        </w:rPr>
        <w:t xml:space="preserve">[ ] Smooth   [] Clunky   [/] Not available</w:t>
      </w:r>
      <w:r w:rsidDel="00000000" w:rsidR="00000000" w:rsidRPr="00000000">
        <w:rPr>
          <w:rtl w:val="0"/>
        </w:rPr>
      </w:r>
    </w:p>
    <w:p w:rsidR="00000000" w:rsidDel="00000000" w:rsidP="00000000" w:rsidRDefault="00000000" w:rsidRPr="00000000" w14:paraId="0000012D">
      <w:pPr>
        <w:rPr>
          <w:rFonts w:ascii="Calibri" w:cs="Calibri" w:eastAsia="Calibri" w:hAnsi="Calibri"/>
        </w:rPr>
      </w:pPr>
      <w:r w:rsidDel="00000000" w:rsidR="00000000" w:rsidRPr="00000000">
        <w:rPr>
          <w:rFonts w:ascii="Calibri" w:cs="Calibri" w:eastAsia="Calibri" w:hAnsi="Calibri"/>
          <w:b w:val="1"/>
          <w:bCs w:val="1"/>
          <w:rtl w:val="0"/>
        </w:rPr>
        <w:t xml:space="preserve">Notes:</w:t>
      </w:r>
      <w:r w:rsidDel="00000000" w:rsidR="00000000" w:rsidRPr="00000000">
        <w:rPr>
          <w:rFonts w:ascii="Calibri" w:cs="Calibri" w:eastAsia="Calibri" w:hAnsi="Calibri"/>
          <w:rtl w:val="0"/>
        </w:rPr>
        <w:t xml:space="preserve"> No chatbot or virtual assistant is available within the app or support flow. All support is handled through traditional channels (FAQ, phone, email), with no conversational or AI-driven interface.</w:t>
      </w:r>
    </w:p>
    <w:p w:rsidR="00000000" w:rsidDel="00000000" w:rsidP="00000000" w:rsidRDefault="00000000" w:rsidRPr="00000000" w14:paraId="0000012E">
      <w:pP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9.3 Personalisation</w:t>
      </w:r>
    </w:p>
    <w:p w:rsidR="00000000" w:rsidDel="00000000" w:rsidP="00000000" w:rsidRDefault="00000000" w:rsidRPr="00000000" w14:paraId="0000012F">
      <w:pPr>
        <w:rPr>
          <w:rFonts w:ascii="Calibri" w:cs="Calibri" w:eastAsia="Calibri" w:hAnsi="Calibri"/>
        </w:rPr>
      </w:pPr>
      <w:r w:rsidDel="00000000" w:rsidR="00000000" w:rsidRPr="00000000">
        <w:rPr>
          <w:rFonts w:ascii="Calibri" w:cs="Calibri" w:eastAsia="Calibri" w:hAnsi="Calibri"/>
          <w:b w:val="1"/>
          <w:bCs w:val="1"/>
          <w:rtl w:val="0"/>
        </w:rPr>
        <w:t xml:space="preserve">Personalises:</w:t>
      </w:r>
      <w:r w:rsidDel="00000000" w:rsidR="00000000" w:rsidRPr="00000000">
        <w:rPr>
          <w:rFonts w:ascii="Calibri" w:cs="Calibri" w:eastAsia="Calibri" w:hAnsi="Calibri"/>
          <w:rtl w:val="0"/>
        </w:rPr>
        <w:t xml:space="preserve"> [ ] Education   [] News   [/] Alerts   [] Product suggestions</w:t>
      </w:r>
    </w:p>
    <w:p w:rsidR="00000000" w:rsidDel="00000000" w:rsidP="00000000" w:rsidRDefault="00000000" w:rsidRPr="00000000" w14:paraId="00000130">
      <w:pPr>
        <w:rPr>
          <w:rFonts w:ascii="Calibri" w:cs="Calibri" w:eastAsia="Calibri" w:hAnsi="Calibri"/>
        </w:rPr>
      </w:pPr>
      <w:r w:rsidDel="00000000" w:rsidR="00000000" w:rsidRPr="00000000">
        <w:rPr>
          <w:rFonts w:ascii="Calibri" w:cs="Calibri" w:eastAsia="Calibri" w:hAnsi="Calibri"/>
          <w:b w:val="1"/>
          <w:bCs w:val="1"/>
          <w:rtl w:val="0"/>
        </w:rPr>
        <w:t xml:space="preserve">Quality of match to behaviour:</w:t>
      </w:r>
      <w:r w:rsidDel="00000000" w:rsidR="00000000" w:rsidRPr="00000000">
        <w:rPr>
          <w:rFonts w:ascii="Calibri" w:cs="Calibri" w:eastAsia="Calibri" w:hAnsi="Calibri"/>
          <w:rtl w:val="0"/>
        </w:rPr>
        <w:t xml:space="preserve"> 2 </w:t>
      </w:r>
    </w:p>
    <w:p w:rsidR="00000000" w:rsidDel="00000000" w:rsidP="00000000" w:rsidRDefault="00000000" w:rsidRPr="00000000" w14:paraId="00000131">
      <w:pPr>
        <w:rPr>
          <w:rFonts w:ascii="Calibri" w:cs="Calibri" w:eastAsia="Calibri" w:hAnsi="Calibri"/>
        </w:rPr>
      </w:pPr>
      <w:r w:rsidDel="00000000" w:rsidR="00000000" w:rsidRPr="00000000">
        <w:rPr>
          <w:rFonts w:ascii="Calibri" w:cs="Calibri" w:eastAsia="Calibri" w:hAnsi="Calibri"/>
          <w:rtl w:val="0"/>
        </w:rPr>
        <w:t xml:space="preserve">Personalisation is very limited. Alerts can be set, but they are </w:t>
      </w:r>
      <w:r w:rsidDel="00000000" w:rsidR="00000000" w:rsidRPr="00000000">
        <w:rPr>
          <w:rFonts w:ascii="Calibri" w:cs="Calibri" w:eastAsia="Calibri" w:hAnsi="Calibri"/>
          <w:b w:val="1"/>
          <w:bCs w:val="1"/>
          <w:rtl w:val="0"/>
        </w:rPr>
        <w:t xml:space="preserve">manual and rule-based (e.g. price alerts)</w:t>
      </w:r>
      <w:r w:rsidDel="00000000" w:rsidR="00000000" w:rsidRPr="00000000">
        <w:rPr>
          <w:rFonts w:ascii="Calibri" w:cs="Calibri" w:eastAsia="Calibri" w:hAnsi="Calibri"/>
          <w:rtl w:val="0"/>
        </w:rPr>
        <w:t xml:space="preserve"> rather than behaviour-driven or intelligent. There is no meaningful tailoring of content, news, or product recommendations based on user activity or portfolio. </w:t>
      </w:r>
    </w:p>
    <w:p w:rsidR="00000000" w:rsidDel="00000000" w:rsidP="00000000" w:rsidRDefault="00000000" w:rsidRPr="00000000" w14:paraId="00000132">
      <w:pP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9.4 Compliance &amp; Risk Management</w:t>
      </w:r>
    </w:p>
    <w:p w:rsidR="00000000" w:rsidDel="00000000" w:rsidP="00000000" w:rsidRDefault="00000000" w:rsidRPr="00000000" w14:paraId="00000133">
      <w:pPr>
        <w:rPr>
          <w:rFonts w:ascii="Calibri" w:cs="Calibri" w:eastAsia="Calibri" w:hAnsi="Calibri"/>
        </w:rPr>
      </w:pPr>
      <w:r w:rsidDel="00000000" w:rsidR="00000000" w:rsidRPr="00000000">
        <w:rPr>
          <w:rFonts w:ascii="Calibri" w:cs="Calibri" w:eastAsia="Calibri" w:hAnsi="Calibri"/>
          <w:b w:val="1"/>
          <w:bCs w:val="1"/>
          <w:rtl w:val="0"/>
        </w:rPr>
        <w:t xml:space="preserve">Visible AI-driven risk/AML/suitability nudges?</w:t>
      </w:r>
      <w:r w:rsidDel="00000000" w:rsidR="00000000" w:rsidRPr="00000000">
        <w:rPr>
          <w:rFonts w:ascii="Calibri" w:cs="Calibri" w:eastAsia="Calibri" w:hAnsi="Calibri"/>
          <w:rtl w:val="0"/>
        </w:rPr>
        <w:t xml:space="preserve"> No</w:t>
      </w:r>
    </w:p>
    <w:p w:rsidR="00000000" w:rsidDel="00000000" w:rsidP="00000000" w:rsidRDefault="00000000" w:rsidRPr="00000000" w14:paraId="00000134">
      <w:pP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9.5 Transparency &amp; Ethics</w:t>
      </w:r>
    </w:p>
    <w:p w:rsidR="00000000" w:rsidDel="00000000" w:rsidP="00000000" w:rsidRDefault="00000000" w:rsidRPr="00000000" w14:paraId="00000135">
      <w:pPr>
        <w:rPr>
          <w:rFonts w:ascii="Calibri" w:cs="Calibri" w:eastAsia="Calibri" w:hAnsi="Calibri"/>
        </w:rPr>
      </w:pPr>
      <w:r w:rsidDel="00000000" w:rsidR="00000000" w:rsidRPr="00000000">
        <w:rPr>
          <w:rFonts w:ascii="Calibri" w:cs="Calibri" w:eastAsia="Calibri" w:hAnsi="Calibri"/>
          <w:b w:val="1"/>
          <w:bCs w:val="1"/>
          <w:rtl w:val="0"/>
        </w:rPr>
        <w:t xml:space="preserve">Explains how AI works?</w:t>
      </w:r>
      <w:r w:rsidDel="00000000" w:rsidR="00000000" w:rsidRPr="00000000">
        <w:rPr>
          <w:rFonts w:ascii="Calibri" w:cs="Calibri" w:eastAsia="Calibri" w:hAnsi="Calibri"/>
          <w:rtl w:val="0"/>
        </w:rPr>
        <w:t xml:space="preserve"> [ ] Yes   [/] No</w:t>
      </w:r>
    </w:p>
    <w:p w:rsidR="00000000" w:rsidDel="00000000" w:rsidP="00000000" w:rsidRDefault="00000000" w:rsidRPr="00000000" w14:paraId="00000136">
      <w:pPr>
        <w:rPr>
          <w:rFonts w:ascii="Calibri" w:cs="Calibri" w:eastAsia="Calibri" w:hAnsi="Calibri"/>
        </w:rPr>
      </w:pPr>
      <w:r w:rsidDel="00000000" w:rsidR="00000000" w:rsidRPr="00000000">
        <w:rPr>
          <w:rFonts w:ascii="Calibri" w:cs="Calibri" w:eastAsia="Calibri" w:hAnsi="Calibri"/>
          <w:b w:val="1"/>
          <w:bCs w:val="1"/>
          <w:rtl w:val="0"/>
        </w:rPr>
        <w:t xml:space="preserve">Can user opt out of AI?</w:t>
      </w:r>
      <w:r w:rsidDel="00000000" w:rsidR="00000000" w:rsidRPr="00000000">
        <w:rPr>
          <w:rFonts w:ascii="Calibri" w:cs="Calibri" w:eastAsia="Calibri" w:hAnsi="Calibri"/>
          <w:rtl w:val="0"/>
        </w:rPr>
        <w:t xml:space="preserve"> [ ] Yes   [/] No</w:t>
      </w:r>
    </w:p>
    <w:p w:rsidR="00000000" w:rsidDel="00000000" w:rsidP="00000000" w:rsidRDefault="00000000" w:rsidRPr="00000000" w14:paraId="00000137">
      <w:pPr>
        <w:rPr>
          <w:rFonts w:ascii="Calibri" w:cs="Calibri" w:eastAsia="Calibri" w:hAnsi="Calibri"/>
        </w:rPr>
      </w:pPr>
      <w:r w:rsidDel="00000000" w:rsidR="00000000" w:rsidRPr="00000000">
        <w:rPr>
          <w:rtl w:val="0"/>
        </w:rPr>
      </w:r>
    </w:p>
    <w:p w:rsidR="00000000" w:rsidDel="00000000" w:rsidP="00000000" w:rsidRDefault="00000000" w:rsidRPr="00000000" w14:paraId="00000138">
      <w:pPr>
        <w:rPr>
          <w:rFonts w:ascii="Calibri" w:cs="Calibri" w:eastAsia="Calibri" w:hAnsi="Calibri"/>
        </w:rPr>
      </w:pPr>
      <w:r w:rsidDel="00000000" w:rsidR="00000000" w:rsidRPr="00000000">
        <w:rPr>
          <w:rtl w:val="0"/>
        </w:rPr>
      </w:r>
    </w:p>
    <w:p w:rsidR="00000000" w:rsidDel="00000000" w:rsidP="00000000" w:rsidRDefault="00000000" w:rsidRPr="00000000" w14:paraId="00000139">
      <w:pPr>
        <w:rPr>
          <w:rFonts w:ascii="Calibri" w:cs="Calibri" w:eastAsia="Calibri" w:hAnsi="Calibri"/>
          <w:b w:val="1"/>
          <w:bCs w:val="1"/>
          <w:u w:val="single"/>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9900E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900E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900E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900EA"/>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9900EA"/>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9900E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9900E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9900E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9900E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9900E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9900E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9900E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9900E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9900E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9900E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9900EA"/>
    <w:rPr>
      <w:i w:val="1"/>
      <w:iCs w:val="1"/>
      <w:color w:val="404040" w:themeColor="text1" w:themeTint="0000BF"/>
    </w:rPr>
  </w:style>
  <w:style w:type="paragraph" w:styleId="ListParagraph">
    <w:name w:val="List Paragraph"/>
    <w:basedOn w:val="Normal"/>
    <w:uiPriority w:val="34"/>
    <w:qFormat w:val="1"/>
    <w:rsid w:val="009900EA"/>
    <w:pPr>
      <w:ind w:left="720"/>
      <w:contextualSpacing w:val="1"/>
    </w:pPr>
  </w:style>
  <w:style w:type="character" w:styleId="IntenseEmphasis">
    <w:name w:val="Intense Emphasis"/>
    <w:basedOn w:val="DefaultParagraphFont"/>
    <w:uiPriority w:val="21"/>
    <w:qFormat w:val="1"/>
    <w:rsid w:val="009900EA"/>
    <w:rPr>
      <w:i w:val="1"/>
      <w:iCs w:val="1"/>
      <w:color w:val="0f4761" w:themeColor="accent1" w:themeShade="0000BF"/>
    </w:rPr>
  </w:style>
  <w:style w:type="paragraph" w:styleId="IntenseQuote">
    <w:name w:val="Intense Quote"/>
    <w:basedOn w:val="Normal"/>
    <w:next w:val="Normal"/>
    <w:link w:val="IntenseQuoteChar"/>
    <w:uiPriority w:val="30"/>
    <w:qFormat w:val="1"/>
    <w:rsid w:val="009900E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9900EA"/>
    <w:rPr>
      <w:i w:val="1"/>
      <w:iCs w:val="1"/>
      <w:color w:val="0f4761" w:themeColor="accent1" w:themeShade="0000BF"/>
    </w:rPr>
  </w:style>
  <w:style w:type="character" w:styleId="IntenseReference">
    <w:name w:val="Intense Reference"/>
    <w:basedOn w:val="DefaultParagraphFont"/>
    <w:uiPriority w:val="32"/>
    <w:qFormat w:val="1"/>
    <w:rsid w:val="009900EA"/>
    <w:rPr>
      <w:b w:val="1"/>
      <w:bCs w:val="1"/>
      <w:smallCaps w:val="1"/>
      <w:color w:val="0f4761" w:themeColor="accent1" w:themeShade="0000BF"/>
      <w:spacing w:val="5"/>
    </w:rPr>
  </w:style>
  <w:style w:type="paragraph" w:styleId="Header">
    <w:name w:val="header"/>
    <w:basedOn w:val="Normal"/>
    <w:link w:val="HeaderChar"/>
    <w:uiPriority w:val="99"/>
    <w:unhideWhenUsed w:val="1"/>
    <w:rsid w:val="009900EA"/>
    <w:pPr>
      <w:tabs>
        <w:tab w:val="center" w:pos="4680"/>
        <w:tab w:val="right" w:pos="9360"/>
      </w:tabs>
      <w:spacing w:after="0" w:line="240" w:lineRule="auto"/>
    </w:pPr>
  </w:style>
  <w:style w:type="character" w:styleId="HeaderChar" w:customStyle="1">
    <w:name w:val="Header Char"/>
    <w:basedOn w:val="DefaultParagraphFont"/>
    <w:link w:val="Header"/>
    <w:uiPriority w:val="99"/>
    <w:rsid w:val="009900EA"/>
    <w:rPr>
      <w:rFonts w:eastAsiaTheme="minorEastAsia"/>
      <w:kern w:val="0"/>
      <w:sz w:val="22"/>
      <w:szCs w:val="22"/>
      <w:lang w:val="en-US"/>
    </w:rPr>
  </w:style>
  <w:style w:type="paragraph" w:styleId="Footer">
    <w:name w:val="footer"/>
    <w:basedOn w:val="Normal"/>
    <w:link w:val="FooterChar"/>
    <w:uiPriority w:val="99"/>
    <w:unhideWhenUsed w:val="1"/>
    <w:rsid w:val="009900EA"/>
    <w:pPr>
      <w:tabs>
        <w:tab w:val="center" w:pos="4680"/>
        <w:tab w:val="right" w:pos="9360"/>
      </w:tabs>
      <w:spacing w:after="0" w:line="240" w:lineRule="auto"/>
    </w:pPr>
  </w:style>
  <w:style w:type="character" w:styleId="FooterChar" w:customStyle="1">
    <w:name w:val="Footer Char"/>
    <w:basedOn w:val="DefaultParagraphFont"/>
    <w:link w:val="Footer"/>
    <w:uiPriority w:val="99"/>
    <w:rsid w:val="009900EA"/>
    <w:rPr>
      <w:rFonts w:eastAsiaTheme="minorEastAsia"/>
      <w:kern w:val="0"/>
      <w:sz w:val="22"/>
      <w:szCs w:val="22"/>
      <w:lang w:val="en-US"/>
    </w:rPr>
  </w:style>
  <w:style w:type="paragraph" w:styleId="NoSpacing">
    <w:name w:val="No Spacing"/>
    <w:uiPriority w:val="1"/>
    <w:qFormat w:val="1"/>
    <w:rsid w:val="009900EA"/>
    <w:pPr>
      <w:spacing w:after="0" w:line="240" w:lineRule="auto"/>
    </w:pPr>
    <w:rPr>
      <w:rFonts w:eastAsiaTheme="minorEastAsia"/>
      <w:kern w:val="0"/>
      <w:sz w:val="22"/>
      <w:szCs w:val="22"/>
      <w:lang w:val="en-US"/>
    </w:rPr>
  </w:style>
  <w:style w:type="paragraph" w:styleId="BodyText">
    <w:name w:val="Body Text"/>
    <w:basedOn w:val="Normal"/>
    <w:link w:val="BodyTextChar"/>
    <w:uiPriority w:val="99"/>
    <w:unhideWhenUsed w:val="1"/>
    <w:rsid w:val="009900EA"/>
    <w:pPr>
      <w:spacing w:after="120"/>
    </w:pPr>
  </w:style>
  <w:style w:type="character" w:styleId="BodyTextChar" w:customStyle="1">
    <w:name w:val="Body Text Char"/>
    <w:basedOn w:val="DefaultParagraphFont"/>
    <w:link w:val="BodyText"/>
    <w:uiPriority w:val="99"/>
    <w:rsid w:val="009900EA"/>
    <w:rPr>
      <w:rFonts w:eastAsiaTheme="minorEastAsia"/>
      <w:kern w:val="0"/>
      <w:sz w:val="22"/>
      <w:szCs w:val="22"/>
      <w:lang w:val="en-US"/>
    </w:rPr>
  </w:style>
  <w:style w:type="paragraph" w:styleId="BodyText2">
    <w:name w:val="Body Text 2"/>
    <w:basedOn w:val="Normal"/>
    <w:link w:val="BodyText2Char"/>
    <w:uiPriority w:val="99"/>
    <w:unhideWhenUsed w:val="1"/>
    <w:rsid w:val="009900EA"/>
    <w:pPr>
      <w:spacing w:after="120" w:line="480" w:lineRule="auto"/>
    </w:pPr>
  </w:style>
  <w:style w:type="character" w:styleId="BodyText2Char" w:customStyle="1">
    <w:name w:val="Body Text 2 Char"/>
    <w:basedOn w:val="DefaultParagraphFont"/>
    <w:link w:val="BodyText2"/>
    <w:uiPriority w:val="99"/>
    <w:rsid w:val="009900EA"/>
    <w:rPr>
      <w:rFonts w:eastAsiaTheme="minorEastAsia"/>
      <w:kern w:val="0"/>
      <w:sz w:val="22"/>
      <w:szCs w:val="22"/>
      <w:lang w:val="en-US"/>
    </w:rPr>
  </w:style>
  <w:style w:type="paragraph" w:styleId="BodyText3">
    <w:name w:val="Body Text 3"/>
    <w:basedOn w:val="Normal"/>
    <w:link w:val="BodyText3Char"/>
    <w:uiPriority w:val="99"/>
    <w:unhideWhenUsed w:val="1"/>
    <w:rsid w:val="009900EA"/>
    <w:pPr>
      <w:spacing w:after="120"/>
    </w:pPr>
    <w:rPr>
      <w:sz w:val="16"/>
      <w:szCs w:val="16"/>
    </w:rPr>
  </w:style>
  <w:style w:type="character" w:styleId="BodyText3Char" w:customStyle="1">
    <w:name w:val="Body Text 3 Char"/>
    <w:basedOn w:val="DefaultParagraphFont"/>
    <w:link w:val="BodyText3"/>
    <w:uiPriority w:val="99"/>
    <w:rsid w:val="009900EA"/>
    <w:rPr>
      <w:rFonts w:eastAsiaTheme="minorEastAsia"/>
      <w:kern w:val="0"/>
      <w:sz w:val="16"/>
      <w:szCs w:val="16"/>
      <w:lang w:val="en-US"/>
    </w:rPr>
  </w:style>
  <w:style w:type="paragraph" w:styleId="List">
    <w:name w:val="List"/>
    <w:basedOn w:val="Normal"/>
    <w:uiPriority w:val="99"/>
    <w:unhideWhenUsed w:val="1"/>
    <w:rsid w:val="009900EA"/>
    <w:pPr>
      <w:ind w:left="360" w:hanging="360"/>
      <w:contextualSpacing w:val="1"/>
    </w:pPr>
  </w:style>
  <w:style w:type="paragraph" w:styleId="List2">
    <w:name w:val="List 2"/>
    <w:basedOn w:val="Normal"/>
    <w:uiPriority w:val="99"/>
    <w:unhideWhenUsed w:val="1"/>
    <w:rsid w:val="009900EA"/>
    <w:pPr>
      <w:ind w:left="720" w:hanging="360"/>
      <w:contextualSpacing w:val="1"/>
    </w:pPr>
  </w:style>
  <w:style w:type="paragraph" w:styleId="List3">
    <w:name w:val="List 3"/>
    <w:basedOn w:val="Normal"/>
    <w:uiPriority w:val="99"/>
    <w:unhideWhenUsed w:val="1"/>
    <w:rsid w:val="009900EA"/>
    <w:pPr>
      <w:ind w:left="1080" w:hanging="360"/>
      <w:contextualSpacing w:val="1"/>
    </w:pPr>
  </w:style>
  <w:style w:type="paragraph" w:styleId="ListBullet">
    <w:name w:val="List Bullet"/>
    <w:basedOn w:val="Normal"/>
    <w:uiPriority w:val="99"/>
    <w:unhideWhenUsed w:val="1"/>
    <w:rsid w:val="009900EA"/>
    <w:pPr>
      <w:numPr>
        <w:numId w:val="1"/>
      </w:numPr>
      <w:contextualSpacing w:val="1"/>
    </w:pPr>
  </w:style>
  <w:style w:type="paragraph" w:styleId="ListBullet2">
    <w:name w:val="List Bullet 2"/>
    <w:basedOn w:val="Normal"/>
    <w:uiPriority w:val="99"/>
    <w:unhideWhenUsed w:val="1"/>
    <w:rsid w:val="009900EA"/>
    <w:pPr>
      <w:numPr>
        <w:numId w:val="2"/>
      </w:numPr>
      <w:contextualSpacing w:val="1"/>
    </w:pPr>
  </w:style>
  <w:style w:type="paragraph" w:styleId="ListBullet3">
    <w:name w:val="List Bullet 3"/>
    <w:basedOn w:val="Normal"/>
    <w:uiPriority w:val="99"/>
    <w:unhideWhenUsed w:val="1"/>
    <w:rsid w:val="009900EA"/>
    <w:pPr>
      <w:numPr>
        <w:numId w:val="3"/>
      </w:numPr>
      <w:contextualSpacing w:val="1"/>
    </w:pPr>
  </w:style>
  <w:style w:type="paragraph" w:styleId="ListNumber">
    <w:name w:val="List Number"/>
    <w:basedOn w:val="Normal"/>
    <w:uiPriority w:val="99"/>
    <w:unhideWhenUsed w:val="1"/>
    <w:rsid w:val="009900EA"/>
    <w:pPr>
      <w:numPr>
        <w:numId w:val="5"/>
      </w:numPr>
      <w:contextualSpacing w:val="1"/>
    </w:pPr>
  </w:style>
  <w:style w:type="paragraph" w:styleId="ListNumber2">
    <w:name w:val="List Number 2"/>
    <w:basedOn w:val="Normal"/>
    <w:uiPriority w:val="99"/>
    <w:unhideWhenUsed w:val="1"/>
    <w:rsid w:val="009900EA"/>
    <w:pPr>
      <w:numPr>
        <w:numId w:val="6"/>
      </w:numPr>
      <w:contextualSpacing w:val="1"/>
    </w:pPr>
  </w:style>
  <w:style w:type="paragraph" w:styleId="ListNumber3">
    <w:name w:val="List Number 3"/>
    <w:basedOn w:val="Normal"/>
    <w:uiPriority w:val="99"/>
    <w:unhideWhenUsed w:val="1"/>
    <w:rsid w:val="009900EA"/>
    <w:pPr>
      <w:numPr>
        <w:numId w:val="7"/>
      </w:numPr>
      <w:contextualSpacing w:val="1"/>
    </w:pPr>
  </w:style>
  <w:style w:type="paragraph" w:styleId="ListContinue">
    <w:name w:val="List Continue"/>
    <w:basedOn w:val="Normal"/>
    <w:uiPriority w:val="99"/>
    <w:unhideWhenUsed w:val="1"/>
    <w:rsid w:val="009900EA"/>
    <w:pPr>
      <w:spacing w:after="120"/>
      <w:ind w:left="360"/>
      <w:contextualSpacing w:val="1"/>
    </w:pPr>
  </w:style>
  <w:style w:type="paragraph" w:styleId="ListContinue2">
    <w:name w:val="List Continue 2"/>
    <w:basedOn w:val="Normal"/>
    <w:uiPriority w:val="99"/>
    <w:unhideWhenUsed w:val="1"/>
    <w:rsid w:val="009900EA"/>
    <w:pPr>
      <w:spacing w:after="120"/>
      <w:ind w:left="720"/>
      <w:contextualSpacing w:val="1"/>
    </w:pPr>
  </w:style>
  <w:style w:type="paragraph" w:styleId="ListContinue3">
    <w:name w:val="List Continue 3"/>
    <w:basedOn w:val="Normal"/>
    <w:uiPriority w:val="99"/>
    <w:unhideWhenUsed w:val="1"/>
    <w:rsid w:val="009900EA"/>
    <w:pPr>
      <w:spacing w:after="120"/>
      <w:ind w:left="1080"/>
      <w:contextualSpacing w:val="1"/>
    </w:pPr>
  </w:style>
  <w:style w:type="paragraph" w:styleId="MacroText">
    <w:name w:val="macro"/>
    <w:link w:val="MacroTextChar"/>
    <w:uiPriority w:val="99"/>
    <w:unhideWhenUsed w:val="1"/>
    <w:rsid w:val="009900EA"/>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kern w:val="0"/>
      <w:sz w:val="20"/>
      <w:szCs w:val="20"/>
      <w:lang w:val="en-US"/>
    </w:rPr>
  </w:style>
  <w:style w:type="character" w:styleId="MacroTextChar" w:customStyle="1">
    <w:name w:val="Macro Text Char"/>
    <w:basedOn w:val="DefaultParagraphFont"/>
    <w:link w:val="MacroText"/>
    <w:uiPriority w:val="99"/>
    <w:rsid w:val="009900EA"/>
    <w:rPr>
      <w:rFonts w:ascii="Courier" w:hAnsi="Courier" w:eastAsiaTheme="minorEastAsia"/>
      <w:kern w:val="0"/>
      <w:sz w:val="20"/>
      <w:szCs w:val="20"/>
      <w:lang w:val="en-US"/>
    </w:rPr>
  </w:style>
  <w:style w:type="paragraph" w:styleId="Caption">
    <w:name w:val="caption"/>
    <w:basedOn w:val="Normal"/>
    <w:next w:val="Normal"/>
    <w:uiPriority w:val="35"/>
    <w:semiHidden w:val="1"/>
    <w:unhideWhenUsed w:val="1"/>
    <w:qFormat w:val="1"/>
    <w:rsid w:val="009900EA"/>
    <w:pPr>
      <w:spacing w:line="240" w:lineRule="auto"/>
    </w:pPr>
    <w:rPr>
      <w:b w:val="1"/>
      <w:bCs w:val="1"/>
      <w:color w:val="156082" w:themeColor="accent1"/>
      <w:sz w:val="18"/>
      <w:szCs w:val="18"/>
    </w:rPr>
  </w:style>
  <w:style w:type="character" w:styleId="Strong">
    <w:name w:val="Strong"/>
    <w:basedOn w:val="DefaultParagraphFont"/>
    <w:uiPriority w:val="22"/>
    <w:qFormat w:val="1"/>
    <w:rsid w:val="009900EA"/>
    <w:rPr>
      <w:b w:val="1"/>
      <w:bCs w:val="1"/>
    </w:rPr>
  </w:style>
  <w:style w:type="character" w:styleId="Emphasis">
    <w:name w:val="Emphasis"/>
    <w:basedOn w:val="DefaultParagraphFont"/>
    <w:uiPriority w:val="20"/>
    <w:qFormat w:val="1"/>
    <w:rsid w:val="009900EA"/>
    <w:rPr>
      <w:i w:val="1"/>
      <w:iCs w:val="1"/>
    </w:rPr>
  </w:style>
  <w:style w:type="character" w:styleId="SubtleEmphasis">
    <w:name w:val="Subtle Emphasis"/>
    <w:basedOn w:val="DefaultParagraphFont"/>
    <w:uiPriority w:val="19"/>
    <w:qFormat w:val="1"/>
    <w:rsid w:val="009900EA"/>
    <w:rPr>
      <w:i w:val="1"/>
      <w:iCs w:val="1"/>
      <w:color w:val="808080" w:themeColor="text1" w:themeTint="00007F"/>
    </w:rPr>
  </w:style>
  <w:style w:type="character" w:styleId="SubtleReference">
    <w:name w:val="Subtle Reference"/>
    <w:basedOn w:val="DefaultParagraphFont"/>
    <w:uiPriority w:val="31"/>
    <w:qFormat w:val="1"/>
    <w:rsid w:val="009900EA"/>
    <w:rPr>
      <w:smallCaps w:val="1"/>
      <w:color w:val="e97132" w:themeColor="accent2"/>
      <w:u w:val="single"/>
    </w:rPr>
  </w:style>
  <w:style w:type="character" w:styleId="BookTitle">
    <w:name w:val="Book Title"/>
    <w:basedOn w:val="DefaultParagraphFont"/>
    <w:uiPriority w:val="33"/>
    <w:qFormat w:val="1"/>
    <w:rsid w:val="009900EA"/>
    <w:rPr>
      <w:b w:val="1"/>
      <w:bCs w:val="1"/>
      <w:smallCaps w:val="1"/>
      <w:spacing w:val="5"/>
    </w:rPr>
  </w:style>
  <w:style w:type="paragraph" w:styleId="TOCHeading">
    <w:name w:val="TOC Heading"/>
    <w:basedOn w:val="Heading1"/>
    <w:next w:val="Normal"/>
    <w:uiPriority w:val="39"/>
    <w:semiHidden w:val="1"/>
    <w:unhideWhenUsed w:val="1"/>
    <w:qFormat w:val="1"/>
    <w:rsid w:val="009900EA"/>
    <w:pPr>
      <w:spacing w:after="0" w:before="480"/>
      <w:outlineLvl w:val="9"/>
    </w:pPr>
    <w:rPr>
      <w:b w:val="1"/>
      <w:bCs w:val="1"/>
      <w:sz w:val="28"/>
      <w:szCs w:val="28"/>
    </w:rPr>
  </w:style>
  <w:style w:type="table" w:styleId="TableGrid">
    <w:name w:val="Table Grid"/>
    <w:basedOn w:val="TableNormal"/>
    <w:uiPriority w:val="59"/>
    <w:rsid w:val="009900EA"/>
    <w:pPr>
      <w:spacing w:after="0" w:line="240" w:lineRule="auto"/>
    </w:pPr>
    <w:rPr>
      <w:rFonts w:eastAsiaTheme="minorEastAsia"/>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9900EA"/>
    <w:pPr>
      <w:spacing w:after="0" w:line="240" w:lineRule="auto"/>
    </w:pPr>
    <w:rPr>
      <w:rFonts w:eastAsiaTheme="minorEastAsia"/>
      <w:color w:val="000000" w:themeColor="text1" w:themeShade="0000BF"/>
      <w:kern w:val="0"/>
      <w:sz w:val="22"/>
      <w:szCs w:val="22"/>
      <w:lang w:val="en-US"/>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9900EA"/>
    <w:pPr>
      <w:spacing w:after="0" w:line="240" w:lineRule="auto"/>
    </w:pPr>
    <w:rPr>
      <w:rFonts w:eastAsiaTheme="minorEastAsia"/>
      <w:color w:val="0f4761" w:themeColor="accent1" w:themeShade="0000BF"/>
      <w:kern w:val="0"/>
      <w:sz w:val="22"/>
      <w:szCs w:val="22"/>
      <w:lang w:val="en-US"/>
    </w:rPr>
    <w:tblPr>
      <w:tblStyleRowBandSize w:val="1"/>
      <w:tblStyleColBandSize w:val="1"/>
      <w:tblBorders>
        <w:top w:color="156082" w:space="0" w:sz="8" w:themeColor="accent1" w:val="single"/>
        <w:bottom w:color="156082" w:space="0" w:sz="8" w:themeColor="accent1" w:val="single"/>
      </w:tblBorders>
    </w:tblPr>
    <w:tblStylePr w:type="firstRow">
      <w:pPr>
        <w:spacing w:after="0" w:before="0" w:line="240" w:lineRule="auto"/>
      </w:pPr>
      <w:rPr>
        <w:b w:val="1"/>
        <w:bCs w:val="1"/>
      </w:rPr>
      <w:tblPr/>
      <w:tcPr>
        <w:tcBorders>
          <w:top w:color="156082" w:space="0" w:sz="8" w:themeColor="accent1" w:val="single"/>
          <w:left w:space="0" w:sz="0" w:val="nil"/>
          <w:bottom w:color="156082"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156082" w:space="0" w:sz="8" w:themeColor="accent1" w:val="single"/>
          <w:left w:space="0" w:sz="0" w:val="nil"/>
          <w:bottom w:color="156082"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b2def2" w:themeFill="accent1" w:themeFillTint="00003F" w:val="clear"/>
      </w:tcPr>
    </w:tblStylePr>
    <w:tblStylePr w:type="band1Horz">
      <w:tblPr/>
      <w:tcPr>
        <w:tcBorders>
          <w:left w:space="0" w:sz="0" w:val="nil"/>
          <w:right w:space="0" w:sz="0" w:val="nil"/>
          <w:insideH w:space="0" w:sz="0" w:val="nil"/>
          <w:insideV w:space="0" w:sz="0" w:val="nil"/>
        </w:tcBorders>
        <w:shd w:color="auto" w:fill="b2def2" w:themeFill="accent1" w:themeFillTint="00003F" w:val="clear"/>
      </w:tcPr>
    </w:tblStylePr>
  </w:style>
  <w:style w:type="table" w:styleId="LightShading-Accent2">
    <w:name w:val="Light Shading Accent 2"/>
    <w:basedOn w:val="TableNormal"/>
    <w:uiPriority w:val="60"/>
    <w:rsid w:val="009900EA"/>
    <w:pPr>
      <w:spacing w:after="0" w:line="240" w:lineRule="auto"/>
    </w:pPr>
    <w:rPr>
      <w:rFonts w:eastAsiaTheme="minorEastAsia"/>
      <w:color w:val="bf4e14" w:themeColor="accent2" w:themeShade="0000BF"/>
      <w:kern w:val="0"/>
      <w:sz w:val="22"/>
      <w:szCs w:val="22"/>
      <w:lang w:val="en-US"/>
    </w:rPr>
    <w:tblPr>
      <w:tblStyleRowBandSize w:val="1"/>
      <w:tblStyleColBandSize w:val="1"/>
      <w:tblBorders>
        <w:top w:color="e97132" w:space="0" w:sz="8" w:themeColor="accent2" w:val="single"/>
        <w:bottom w:color="e97132" w:space="0" w:sz="8" w:themeColor="accent2" w:val="single"/>
      </w:tblBorders>
    </w:tblPr>
    <w:tblStylePr w:type="firstRow">
      <w:pPr>
        <w:spacing w:after="0" w:before="0" w:line="240" w:lineRule="auto"/>
      </w:pPr>
      <w:rPr>
        <w:b w:val="1"/>
        <w:bCs w:val="1"/>
      </w:rPr>
      <w:tblPr/>
      <w:tcPr>
        <w:tcBorders>
          <w:top w:color="e97132" w:space="0" w:sz="8" w:themeColor="accent2" w:val="single"/>
          <w:left w:space="0" w:sz="0" w:val="nil"/>
          <w:bottom w:color="e97132"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e97132" w:space="0" w:sz="8" w:themeColor="accent2" w:val="single"/>
          <w:left w:space="0" w:sz="0" w:val="nil"/>
          <w:bottom w:color="e97132"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9dbcc" w:themeFill="accent2" w:themeFillTint="00003F" w:val="clear"/>
      </w:tcPr>
    </w:tblStylePr>
    <w:tblStylePr w:type="band1Horz">
      <w:tblPr/>
      <w:tcPr>
        <w:tcBorders>
          <w:left w:space="0" w:sz="0" w:val="nil"/>
          <w:right w:space="0" w:sz="0" w:val="nil"/>
          <w:insideH w:space="0" w:sz="0" w:val="nil"/>
          <w:insideV w:space="0" w:sz="0" w:val="nil"/>
        </w:tcBorders>
        <w:shd w:color="auto" w:fill="f9dbcc" w:themeFill="accent2" w:themeFillTint="00003F" w:val="clear"/>
      </w:tcPr>
    </w:tblStylePr>
  </w:style>
  <w:style w:type="table" w:styleId="LightShading-Accent3">
    <w:name w:val="Light Shading Accent 3"/>
    <w:basedOn w:val="TableNormal"/>
    <w:uiPriority w:val="60"/>
    <w:rsid w:val="009900EA"/>
    <w:pPr>
      <w:spacing w:after="0" w:line="240" w:lineRule="auto"/>
    </w:pPr>
    <w:rPr>
      <w:rFonts w:eastAsiaTheme="minorEastAsia"/>
      <w:color w:val="124f1a" w:themeColor="accent3" w:themeShade="0000BF"/>
      <w:kern w:val="0"/>
      <w:sz w:val="22"/>
      <w:szCs w:val="22"/>
      <w:lang w:val="en-US"/>
    </w:rPr>
    <w:tblPr>
      <w:tblStyleRowBandSize w:val="1"/>
      <w:tblStyleColBandSize w:val="1"/>
      <w:tblBorders>
        <w:top w:color="196b24" w:space="0" w:sz="8" w:themeColor="accent3" w:val="single"/>
        <w:bottom w:color="196b24" w:space="0" w:sz="8" w:themeColor="accent3" w:val="single"/>
      </w:tblBorders>
    </w:tblPr>
    <w:tblStylePr w:type="firstRow">
      <w:pPr>
        <w:spacing w:after="0" w:before="0" w:line="240" w:lineRule="auto"/>
      </w:pPr>
      <w:rPr>
        <w:b w:val="1"/>
        <w:bCs w:val="1"/>
      </w:rPr>
      <w:tblPr/>
      <w:tcPr>
        <w:tcBorders>
          <w:top w:color="196b24" w:space="0" w:sz="8" w:themeColor="accent3" w:val="single"/>
          <w:left w:space="0" w:sz="0" w:val="nil"/>
          <w:bottom w:color="196b24"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196b24" w:space="0" w:sz="8" w:themeColor="accent3" w:val="single"/>
          <w:left w:space="0" w:sz="0" w:val="nil"/>
          <w:bottom w:color="196b24"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b3edba" w:themeFill="accent3" w:themeFillTint="00003F" w:val="clear"/>
      </w:tcPr>
    </w:tblStylePr>
    <w:tblStylePr w:type="band1Horz">
      <w:tblPr/>
      <w:tcPr>
        <w:tcBorders>
          <w:left w:space="0" w:sz="0" w:val="nil"/>
          <w:right w:space="0" w:sz="0" w:val="nil"/>
          <w:insideH w:space="0" w:sz="0" w:val="nil"/>
          <w:insideV w:space="0" w:sz="0" w:val="nil"/>
        </w:tcBorders>
        <w:shd w:color="auto" w:fill="b3edba" w:themeFill="accent3" w:themeFillTint="00003F" w:val="clear"/>
      </w:tcPr>
    </w:tblStylePr>
  </w:style>
  <w:style w:type="table" w:styleId="LightShading-Accent4">
    <w:name w:val="Light Shading Accent 4"/>
    <w:basedOn w:val="TableNormal"/>
    <w:uiPriority w:val="60"/>
    <w:rsid w:val="009900EA"/>
    <w:pPr>
      <w:spacing w:after="0" w:line="240" w:lineRule="auto"/>
    </w:pPr>
    <w:rPr>
      <w:rFonts w:eastAsiaTheme="minorEastAsia"/>
      <w:color w:val="0b769f" w:themeColor="accent4" w:themeShade="0000BF"/>
      <w:kern w:val="0"/>
      <w:sz w:val="22"/>
      <w:szCs w:val="22"/>
      <w:lang w:val="en-US"/>
    </w:rPr>
    <w:tblPr>
      <w:tblStyleRowBandSize w:val="1"/>
      <w:tblStyleColBandSize w:val="1"/>
      <w:tblBorders>
        <w:top w:color="0f9ed5" w:space="0" w:sz="8" w:themeColor="accent4" w:val="single"/>
        <w:bottom w:color="0f9ed5" w:space="0" w:sz="8" w:themeColor="accent4" w:val="single"/>
      </w:tblBorders>
    </w:tblPr>
    <w:tblStylePr w:type="firstRow">
      <w:pPr>
        <w:spacing w:after="0" w:before="0" w:line="240" w:lineRule="auto"/>
      </w:pPr>
      <w:rPr>
        <w:b w:val="1"/>
        <w:bCs w:val="1"/>
      </w:rPr>
      <w:tblPr/>
      <w:tcPr>
        <w:tcBorders>
          <w:top w:color="0f9ed5" w:space="0" w:sz="8" w:themeColor="accent4" w:val="single"/>
          <w:left w:space="0" w:sz="0" w:val="nil"/>
          <w:bottom w:color="0f9ed5"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0f9ed5" w:space="0" w:sz="8" w:themeColor="accent4" w:val="single"/>
          <w:left w:space="0" w:sz="0" w:val="nil"/>
          <w:bottom w:color="0f9ed5"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bde9fa" w:themeFill="accent4" w:themeFillTint="00003F" w:val="clear"/>
      </w:tcPr>
    </w:tblStylePr>
    <w:tblStylePr w:type="band1Horz">
      <w:tblPr/>
      <w:tcPr>
        <w:tcBorders>
          <w:left w:space="0" w:sz="0" w:val="nil"/>
          <w:right w:space="0" w:sz="0" w:val="nil"/>
          <w:insideH w:space="0" w:sz="0" w:val="nil"/>
          <w:insideV w:space="0" w:sz="0" w:val="nil"/>
        </w:tcBorders>
        <w:shd w:color="auto" w:fill="bde9fa" w:themeFill="accent4" w:themeFillTint="00003F" w:val="clear"/>
      </w:tcPr>
    </w:tblStylePr>
  </w:style>
  <w:style w:type="table" w:styleId="LightShading-Accent5">
    <w:name w:val="Light Shading Accent 5"/>
    <w:basedOn w:val="TableNormal"/>
    <w:uiPriority w:val="60"/>
    <w:rsid w:val="009900EA"/>
    <w:pPr>
      <w:spacing w:after="0" w:line="240" w:lineRule="auto"/>
    </w:pPr>
    <w:rPr>
      <w:rFonts w:eastAsiaTheme="minorEastAsia"/>
      <w:color w:val="77206d" w:themeColor="accent5" w:themeShade="0000BF"/>
      <w:kern w:val="0"/>
      <w:sz w:val="22"/>
      <w:szCs w:val="22"/>
      <w:lang w:val="en-US"/>
    </w:rPr>
    <w:tblPr>
      <w:tblStyleRowBandSize w:val="1"/>
      <w:tblStyleColBandSize w:val="1"/>
      <w:tblBorders>
        <w:top w:color="a02b93" w:space="0" w:sz="8" w:themeColor="accent5" w:val="single"/>
        <w:bottom w:color="a02b93" w:space="0" w:sz="8" w:themeColor="accent5" w:val="single"/>
      </w:tblBorders>
    </w:tblPr>
    <w:tblStylePr w:type="firstRow">
      <w:pPr>
        <w:spacing w:after="0" w:before="0" w:line="240" w:lineRule="auto"/>
      </w:pPr>
      <w:rPr>
        <w:b w:val="1"/>
        <w:bCs w:val="1"/>
      </w:rPr>
      <w:tblPr/>
      <w:tcPr>
        <w:tcBorders>
          <w:top w:color="a02b93" w:space="0" w:sz="8" w:themeColor="accent5" w:val="single"/>
          <w:left w:space="0" w:sz="0" w:val="nil"/>
          <w:bottom w:color="a02b93"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a02b93" w:space="0" w:sz="8" w:themeColor="accent5" w:val="single"/>
          <w:left w:space="0" w:sz="0" w:val="nil"/>
          <w:bottom w:color="a02b93"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c3e9" w:themeFill="accent5" w:themeFillTint="00003F" w:val="clear"/>
      </w:tcPr>
    </w:tblStylePr>
    <w:tblStylePr w:type="band1Horz">
      <w:tblPr/>
      <w:tcPr>
        <w:tcBorders>
          <w:left w:space="0" w:sz="0" w:val="nil"/>
          <w:right w:space="0" w:sz="0" w:val="nil"/>
          <w:insideH w:space="0" w:sz="0" w:val="nil"/>
          <w:insideV w:space="0" w:sz="0" w:val="nil"/>
        </w:tcBorders>
        <w:shd w:color="auto" w:fill="efc3e9" w:themeFill="accent5" w:themeFillTint="00003F" w:val="clear"/>
      </w:tcPr>
    </w:tblStylePr>
  </w:style>
  <w:style w:type="table" w:styleId="LightShading-Accent6">
    <w:name w:val="Light Shading Accent 6"/>
    <w:basedOn w:val="TableNormal"/>
    <w:uiPriority w:val="60"/>
    <w:rsid w:val="009900EA"/>
    <w:pPr>
      <w:spacing w:after="0" w:line="240" w:lineRule="auto"/>
    </w:pPr>
    <w:rPr>
      <w:rFonts w:eastAsiaTheme="minorEastAsia"/>
      <w:color w:val="3a7c22" w:themeColor="accent6" w:themeShade="0000BF"/>
      <w:kern w:val="0"/>
      <w:sz w:val="22"/>
      <w:szCs w:val="22"/>
      <w:lang w:val="en-US"/>
    </w:rPr>
    <w:tblPr>
      <w:tblStyleRowBandSize w:val="1"/>
      <w:tblStyleColBandSize w:val="1"/>
      <w:tblBorders>
        <w:top w:color="4ea72e" w:space="0" w:sz="8" w:themeColor="accent6" w:val="single"/>
        <w:bottom w:color="4ea72e" w:space="0" w:sz="8" w:themeColor="accent6" w:val="single"/>
      </w:tblBorders>
    </w:tblPr>
    <w:tblStylePr w:type="firstRow">
      <w:pPr>
        <w:spacing w:after="0" w:before="0" w:line="240" w:lineRule="auto"/>
      </w:pPr>
      <w:rPr>
        <w:b w:val="1"/>
        <w:bCs w:val="1"/>
      </w:rPr>
      <w:tblPr/>
      <w:tcPr>
        <w:tcBorders>
          <w:top w:color="4ea72e" w:space="0" w:sz="8" w:themeColor="accent6" w:val="single"/>
          <w:left w:space="0" w:sz="0" w:val="nil"/>
          <w:bottom w:color="4ea72e"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4ea72e" w:space="0" w:sz="8" w:themeColor="accent6" w:val="single"/>
          <w:left w:space="0" w:sz="0" w:val="nil"/>
          <w:bottom w:color="4ea72e"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0efc5" w:themeFill="accent6" w:themeFillTint="00003F" w:val="clear"/>
      </w:tcPr>
    </w:tblStylePr>
    <w:tblStylePr w:type="band1Horz">
      <w:tblPr/>
      <w:tcPr>
        <w:tcBorders>
          <w:left w:space="0" w:sz="0" w:val="nil"/>
          <w:right w:space="0" w:sz="0" w:val="nil"/>
          <w:insideH w:space="0" w:sz="0" w:val="nil"/>
          <w:insideV w:space="0" w:sz="0" w:val="nil"/>
        </w:tcBorders>
        <w:shd w:color="auto" w:fill="d0efc5" w:themeFill="accent6" w:themeFillTint="00003F" w:val="clear"/>
      </w:tcPr>
    </w:tblStylePr>
  </w:style>
  <w:style w:type="table" w:styleId="LightList">
    <w:name w:val="Light List"/>
    <w:basedOn w:val="TableNormal"/>
    <w:uiPriority w:val="61"/>
    <w:rsid w:val="009900EA"/>
    <w:pPr>
      <w:spacing w:after="0" w:line="240" w:lineRule="auto"/>
    </w:pPr>
    <w:rPr>
      <w:rFonts w:eastAsiaTheme="minorEastAsia"/>
      <w:kern w:val="0"/>
      <w:sz w:val="22"/>
      <w:szCs w:val="22"/>
      <w:lang w:val="en-US"/>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9900EA"/>
    <w:pPr>
      <w:spacing w:after="0" w:line="240" w:lineRule="auto"/>
    </w:pPr>
    <w:rPr>
      <w:rFonts w:eastAsiaTheme="minorEastAsia"/>
      <w:kern w:val="0"/>
      <w:sz w:val="22"/>
      <w:szCs w:val="22"/>
      <w:lang w:val="en-US"/>
    </w:rPr>
    <w:tblPr>
      <w:tblStyleRowBandSize w:val="1"/>
      <w:tblStyleColBandSize w:val="1"/>
      <w:tblBorders>
        <w:top w:color="156082" w:space="0" w:sz="8" w:themeColor="accent1" w:val="single"/>
        <w:left w:color="156082" w:space="0" w:sz="8" w:themeColor="accent1" w:val="single"/>
        <w:bottom w:color="156082" w:space="0" w:sz="8" w:themeColor="accent1" w:val="single"/>
        <w:right w:color="156082" w:space="0" w:sz="8" w:themeColor="accent1" w:val="single"/>
      </w:tblBorders>
    </w:tblPr>
    <w:tblStylePr w:type="firstRow">
      <w:pPr>
        <w:spacing w:after="0" w:before="0" w:line="240" w:lineRule="auto"/>
      </w:pPr>
      <w:rPr>
        <w:b w:val="1"/>
        <w:bCs w:val="1"/>
        <w:color w:val="ffffff" w:themeColor="background1"/>
      </w:rPr>
      <w:tblPr/>
      <w:tcPr>
        <w:shd w:color="auto" w:fill="156082" w:themeFill="accent1" w:val="clear"/>
      </w:tcPr>
    </w:tblStylePr>
    <w:tblStylePr w:type="lastRow">
      <w:pPr>
        <w:spacing w:after="0" w:before="0" w:line="240" w:lineRule="auto"/>
      </w:pPr>
      <w:rPr>
        <w:b w:val="1"/>
        <w:bCs w:val="1"/>
      </w:rPr>
      <w:tblPr/>
      <w:tcPr>
        <w:tcBorders>
          <w:top w:color="156082" w:space="0" w:sz="6" w:themeColor="accent1" w:val="double"/>
          <w:left w:color="156082" w:space="0" w:sz="8" w:themeColor="accent1" w:val="single"/>
          <w:bottom w:color="156082" w:space="0" w:sz="8" w:themeColor="accent1" w:val="single"/>
          <w:right w:color="156082" w:space="0" w:sz="8" w:themeColor="accent1" w:val="single"/>
        </w:tcBorders>
      </w:tcPr>
    </w:tblStylePr>
    <w:tblStylePr w:type="firstCol">
      <w:rPr>
        <w:b w:val="1"/>
        <w:bCs w:val="1"/>
      </w:rPr>
    </w:tblStylePr>
    <w:tblStylePr w:type="lastCol">
      <w:rPr>
        <w:b w:val="1"/>
        <w:bCs w:val="1"/>
      </w:rPr>
    </w:tblStylePr>
    <w:tblStylePr w:type="band1Vert">
      <w:tblPr/>
      <w:tcPr>
        <w:tcBorders>
          <w:top w:color="156082" w:space="0" w:sz="8" w:themeColor="accent1" w:val="single"/>
          <w:left w:color="156082" w:space="0" w:sz="8" w:themeColor="accent1" w:val="single"/>
          <w:bottom w:color="156082" w:space="0" w:sz="8" w:themeColor="accent1" w:val="single"/>
          <w:right w:color="156082" w:space="0" w:sz="8" w:themeColor="accent1" w:val="single"/>
        </w:tcBorders>
      </w:tcPr>
    </w:tblStylePr>
    <w:tblStylePr w:type="band1Horz">
      <w:tblPr/>
      <w:tcPr>
        <w:tcBorders>
          <w:top w:color="156082" w:space="0" w:sz="8" w:themeColor="accent1" w:val="single"/>
          <w:left w:color="156082" w:space="0" w:sz="8" w:themeColor="accent1" w:val="single"/>
          <w:bottom w:color="156082" w:space="0" w:sz="8" w:themeColor="accent1" w:val="single"/>
          <w:right w:color="156082" w:space="0" w:sz="8" w:themeColor="accent1" w:val="single"/>
        </w:tcBorders>
      </w:tcPr>
    </w:tblStylePr>
  </w:style>
  <w:style w:type="table" w:styleId="LightList-Accent2">
    <w:name w:val="Light List Accent 2"/>
    <w:basedOn w:val="TableNormal"/>
    <w:uiPriority w:val="61"/>
    <w:rsid w:val="009900EA"/>
    <w:pPr>
      <w:spacing w:after="0" w:line="240" w:lineRule="auto"/>
    </w:pPr>
    <w:rPr>
      <w:rFonts w:eastAsiaTheme="minorEastAsia"/>
      <w:kern w:val="0"/>
      <w:sz w:val="22"/>
      <w:szCs w:val="22"/>
      <w:lang w:val="en-US"/>
    </w:rPr>
    <w:tblPr>
      <w:tblStyleRowBandSize w:val="1"/>
      <w:tblStyleColBandSize w:val="1"/>
      <w:tblBorders>
        <w:top w:color="e97132" w:space="0" w:sz="8" w:themeColor="accent2" w:val="single"/>
        <w:left w:color="e97132" w:space="0" w:sz="8" w:themeColor="accent2" w:val="single"/>
        <w:bottom w:color="e97132" w:space="0" w:sz="8" w:themeColor="accent2" w:val="single"/>
        <w:right w:color="e97132" w:space="0" w:sz="8" w:themeColor="accent2" w:val="single"/>
      </w:tblBorders>
    </w:tblPr>
    <w:tblStylePr w:type="firstRow">
      <w:pPr>
        <w:spacing w:after="0" w:before="0" w:line="240" w:lineRule="auto"/>
      </w:pPr>
      <w:rPr>
        <w:b w:val="1"/>
        <w:bCs w:val="1"/>
        <w:color w:val="ffffff" w:themeColor="background1"/>
      </w:rPr>
      <w:tblPr/>
      <w:tcPr>
        <w:shd w:color="auto" w:fill="e97132" w:themeFill="accent2" w:val="clear"/>
      </w:tcPr>
    </w:tblStylePr>
    <w:tblStylePr w:type="lastRow">
      <w:pPr>
        <w:spacing w:after="0" w:before="0" w:line="240" w:lineRule="auto"/>
      </w:pPr>
      <w:rPr>
        <w:b w:val="1"/>
        <w:bCs w:val="1"/>
      </w:rPr>
      <w:tblPr/>
      <w:tcPr>
        <w:tcBorders>
          <w:top w:color="e97132" w:space="0" w:sz="6" w:themeColor="accent2" w:val="double"/>
          <w:left w:color="e97132" w:space="0" w:sz="8" w:themeColor="accent2" w:val="single"/>
          <w:bottom w:color="e97132" w:space="0" w:sz="8" w:themeColor="accent2" w:val="single"/>
          <w:right w:color="e97132" w:space="0" w:sz="8" w:themeColor="accent2" w:val="single"/>
        </w:tcBorders>
      </w:tcPr>
    </w:tblStylePr>
    <w:tblStylePr w:type="firstCol">
      <w:rPr>
        <w:b w:val="1"/>
        <w:bCs w:val="1"/>
      </w:rPr>
    </w:tblStylePr>
    <w:tblStylePr w:type="lastCol">
      <w:rPr>
        <w:b w:val="1"/>
        <w:bCs w:val="1"/>
      </w:rPr>
    </w:tblStylePr>
    <w:tblStylePr w:type="band1Vert">
      <w:tblPr/>
      <w:tcPr>
        <w:tcBorders>
          <w:top w:color="e97132" w:space="0" w:sz="8" w:themeColor="accent2" w:val="single"/>
          <w:left w:color="e97132" w:space="0" w:sz="8" w:themeColor="accent2" w:val="single"/>
          <w:bottom w:color="e97132" w:space="0" w:sz="8" w:themeColor="accent2" w:val="single"/>
          <w:right w:color="e97132" w:space="0" w:sz="8" w:themeColor="accent2" w:val="single"/>
        </w:tcBorders>
      </w:tcPr>
    </w:tblStylePr>
    <w:tblStylePr w:type="band1Horz">
      <w:tblPr/>
      <w:tcPr>
        <w:tcBorders>
          <w:top w:color="e97132" w:space="0" w:sz="8" w:themeColor="accent2" w:val="single"/>
          <w:left w:color="e97132" w:space="0" w:sz="8" w:themeColor="accent2" w:val="single"/>
          <w:bottom w:color="e97132" w:space="0" w:sz="8" w:themeColor="accent2" w:val="single"/>
          <w:right w:color="e97132" w:space="0" w:sz="8" w:themeColor="accent2" w:val="single"/>
        </w:tcBorders>
      </w:tcPr>
    </w:tblStylePr>
  </w:style>
  <w:style w:type="table" w:styleId="LightList-Accent3">
    <w:name w:val="Light List Accent 3"/>
    <w:basedOn w:val="TableNormal"/>
    <w:uiPriority w:val="61"/>
    <w:rsid w:val="009900EA"/>
    <w:pPr>
      <w:spacing w:after="0" w:line="240" w:lineRule="auto"/>
    </w:pPr>
    <w:rPr>
      <w:rFonts w:eastAsiaTheme="minorEastAsia"/>
      <w:kern w:val="0"/>
      <w:sz w:val="22"/>
      <w:szCs w:val="22"/>
      <w:lang w:val="en-US"/>
    </w:rPr>
    <w:tblPr>
      <w:tblStyleRowBandSize w:val="1"/>
      <w:tblStyleColBandSize w:val="1"/>
      <w:tblBorders>
        <w:top w:color="196b24" w:space="0" w:sz="8" w:themeColor="accent3" w:val="single"/>
        <w:left w:color="196b24" w:space="0" w:sz="8" w:themeColor="accent3" w:val="single"/>
        <w:bottom w:color="196b24" w:space="0" w:sz="8" w:themeColor="accent3" w:val="single"/>
        <w:right w:color="196b24" w:space="0" w:sz="8" w:themeColor="accent3" w:val="single"/>
      </w:tblBorders>
    </w:tblPr>
    <w:tblStylePr w:type="firstRow">
      <w:pPr>
        <w:spacing w:after="0" w:before="0" w:line="240" w:lineRule="auto"/>
      </w:pPr>
      <w:rPr>
        <w:b w:val="1"/>
        <w:bCs w:val="1"/>
        <w:color w:val="ffffff" w:themeColor="background1"/>
      </w:rPr>
      <w:tblPr/>
      <w:tcPr>
        <w:shd w:color="auto" w:fill="196b24" w:themeFill="accent3" w:val="clear"/>
      </w:tcPr>
    </w:tblStylePr>
    <w:tblStylePr w:type="lastRow">
      <w:pPr>
        <w:spacing w:after="0" w:before="0" w:line="240" w:lineRule="auto"/>
      </w:pPr>
      <w:rPr>
        <w:b w:val="1"/>
        <w:bCs w:val="1"/>
      </w:rPr>
      <w:tblPr/>
      <w:tcPr>
        <w:tcBorders>
          <w:top w:color="196b24" w:space="0" w:sz="6" w:themeColor="accent3" w:val="double"/>
          <w:left w:color="196b24" w:space="0" w:sz="8" w:themeColor="accent3" w:val="single"/>
          <w:bottom w:color="196b24" w:space="0" w:sz="8" w:themeColor="accent3" w:val="single"/>
          <w:right w:color="196b24" w:space="0" w:sz="8" w:themeColor="accent3" w:val="single"/>
        </w:tcBorders>
      </w:tcPr>
    </w:tblStylePr>
    <w:tblStylePr w:type="firstCol">
      <w:rPr>
        <w:b w:val="1"/>
        <w:bCs w:val="1"/>
      </w:rPr>
    </w:tblStylePr>
    <w:tblStylePr w:type="lastCol">
      <w:rPr>
        <w:b w:val="1"/>
        <w:bCs w:val="1"/>
      </w:rPr>
    </w:tblStylePr>
    <w:tblStylePr w:type="band1Vert">
      <w:tblPr/>
      <w:tcPr>
        <w:tcBorders>
          <w:top w:color="196b24" w:space="0" w:sz="8" w:themeColor="accent3" w:val="single"/>
          <w:left w:color="196b24" w:space="0" w:sz="8" w:themeColor="accent3" w:val="single"/>
          <w:bottom w:color="196b24" w:space="0" w:sz="8" w:themeColor="accent3" w:val="single"/>
          <w:right w:color="196b24" w:space="0" w:sz="8" w:themeColor="accent3" w:val="single"/>
        </w:tcBorders>
      </w:tcPr>
    </w:tblStylePr>
    <w:tblStylePr w:type="band1Horz">
      <w:tblPr/>
      <w:tcPr>
        <w:tcBorders>
          <w:top w:color="196b24" w:space="0" w:sz="8" w:themeColor="accent3" w:val="single"/>
          <w:left w:color="196b24" w:space="0" w:sz="8" w:themeColor="accent3" w:val="single"/>
          <w:bottom w:color="196b24" w:space="0" w:sz="8" w:themeColor="accent3" w:val="single"/>
          <w:right w:color="196b24" w:space="0" w:sz="8" w:themeColor="accent3" w:val="single"/>
        </w:tcBorders>
      </w:tcPr>
    </w:tblStylePr>
  </w:style>
  <w:style w:type="table" w:styleId="LightList-Accent4">
    <w:name w:val="Light List Accent 4"/>
    <w:basedOn w:val="TableNormal"/>
    <w:uiPriority w:val="61"/>
    <w:rsid w:val="009900EA"/>
    <w:pPr>
      <w:spacing w:after="0" w:line="240" w:lineRule="auto"/>
    </w:pPr>
    <w:rPr>
      <w:rFonts w:eastAsiaTheme="minorEastAsia"/>
      <w:kern w:val="0"/>
      <w:sz w:val="22"/>
      <w:szCs w:val="22"/>
      <w:lang w:val="en-US"/>
    </w:rPr>
    <w:tblPr>
      <w:tblStyleRowBandSize w:val="1"/>
      <w:tblStyleColBandSize w:val="1"/>
      <w:tblBorders>
        <w:top w:color="0f9ed5" w:space="0" w:sz="8" w:themeColor="accent4" w:val="single"/>
        <w:left w:color="0f9ed5" w:space="0" w:sz="8" w:themeColor="accent4" w:val="single"/>
        <w:bottom w:color="0f9ed5" w:space="0" w:sz="8" w:themeColor="accent4" w:val="single"/>
        <w:right w:color="0f9ed5" w:space="0" w:sz="8" w:themeColor="accent4" w:val="single"/>
      </w:tblBorders>
    </w:tblPr>
    <w:tblStylePr w:type="firstRow">
      <w:pPr>
        <w:spacing w:after="0" w:before="0" w:line="240" w:lineRule="auto"/>
      </w:pPr>
      <w:rPr>
        <w:b w:val="1"/>
        <w:bCs w:val="1"/>
        <w:color w:val="ffffff" w:themeColor="background1"/>
      </w:rPr>
      <w:tblPr/>
      <w:tcPr>
        <w:shd w:color="auto" w:fill="0f9ed5" w:themeFill="accent4" w:val="clear"/>
      </w:tcPr>
    </w:tblStylePr>
    <w:tblStylePr w:type="lastRow">
      <w:pPr>
        <w:spacing w:after="0" w:before="0" w:line="240" w:lineRule="auto"/>
      </w:pPr>
      <w:rPr>
        <w:b w:val="1"/>
        <w:bCs w:val="1"/>
      </w:rPr>
      <w:tblPr/>
      <w:tcPr>
        <w:tcBorders>
          <w:top w:color="0f9ed5" w:space="0" w:sz="6" w:themeColor="accent4" w:val="double"/>
          <w:left w:color="0f9ed5" w:space="0" w:sz="8" w:themeColor="accent4" w:val="single"/>
          <w:bottom w:color="0f9ed5" w:space="0" w:sz="8" w:themeColor="accent4" w:val="single"/>
          <w:right w:color="0f9ed5" w:space="0" w:sz="8" w:themeColor="accent4" w:val="single"/>
        </w:tcBorders>
      </w:tcPr>
    </w:tblStylePr>
    <w:tblStylePr w:type="firstCol">
      <w:rPr>
        <w:b w:val="1"/>
        <w:bCs w:val="1"/>
      </w:rPr>
    </w:tblStylePr>
    <w:tblStylePr w:type="lastCol">
      <w:rPr>
        <w:b w:val="1"/>
        <w:bCs w:val="1"/>
      </w:rPr>
    </w:tblStylePr>
    <w:tblStylePr w:type="band1Vert">
      <w:tblPr/>
      <w:tcPr>
        <w:tcBorders>
          <w:top w:color="0f9ed5" w:space="0" w:sz="8" w:themeColor="accent4" w:val="single"/>
          <w:left w:color="0f9ed5" w:space="0" w:sz="8" w:themeColor="accent4" w:val="single"/>
          <w:bottom w:color="0f9ed5" w:space="0" w:sz="8" w:themeColor="accent4" w:val="single"/>
          <w:right w:color="0f9ed5" w:space="0" w:sz="8" w:themeColor="accent4" w:val="single"/>
        </w:tcBorders>
      </w:tcPr>
    </w:tblStylePr>
    <w:tblStylePr w:type="band1Horz">
      <w:tblPr/>
      <w:tcPr>
        <w:tcBorders>
          <w:top w:color="0f9ed5" w:space="0" w:sz="8" w:themeColor="accent4" w:val="single"/>
          <w:left w:color="0f9ed5" w:space="0" w:sz="8" w:themeColor="accent4" w:val="single"/>
          <w:bottom w:color="0f9ed5" w:space="0" w:sz="8" w:themeColor="accent4" w:val="single"/>
          <w:right w:color="0f9ed5" w:space="0" w:sz="8" w:themeColor="accent4" w:val="single"/>
        </w:tcBorders>
      </w:tcPr>
    </w:tblStylePr>
  </w:style>
  <w:style w:type="table" w:styleId="LightList-Accent5">
    <w:name w:val="Light List Accent 5"/>
    <w:basedOn w:val="TableNormal"/>
    <w:uiPriority w:val="61"/>
    <w:rsid w:val="009900EA"/>
    <w:pPr>
      <w:spacing w:after="0" w:line="240" w:lineRule="auto"/>
    </w:pPr>
    <w:rPr>
      <w:rFonts w:eastAsiaTheme="minorEastAsia"/>
      <w:kern w:val="0"/>
      <w:sz w:val="22"/>
      <w:szCs w:val="22"/>
      <w:lang w:val="en-US"/>
    </w:rPr>
    <w:tblPr>
      <w:tblStyleRowBandSize w:val="1"/>
      <w:tblStyleColBandSize w:val="1"/>
      <w:tblBorders>
        <w:top w:color="a02b93" w:space="0" w:sz="8" w:themeColor="accent5" w:val="single"/>
        <w:left w:color="a02b93" w:space="0" w:sz="8" w:themeColor="accent5" w:val="single"/>
        <w:bottom w:color="a02b93" w:space="0" w:sz="8" w:themeColor="accent5" w:val="single"/>
        <w:right w:color="a02b93" w:space="0" w:sz="8" w:themeColor="accent5" w:val="single"/>
      </w:tblBorders>
    </w:tblPr>
    <w:tblStylePr w:type="firstRow">
      <w:pPr>
        <w:spacing w:after="0" w:before="0" w:line="240" w:lineRule="auto"/>
      </w:pPr>
      <w:rPr>
        <w:b w:val="1"/>
        <w:bCs w:val="1"/>
        <w:color w:val="ffffff" w:themeColor="background1"/>
      </w:rPr>
      <w:tblPr/>
      <w:tcPr>
        <w:shd w:color="auto" w:fill="a02b93" w:themeFill="accent5" w:val="clear"/>
      </w:tcPr>
    </w:tblStylePr>
    <w:tblStylePr w:type="lastRow">
      <w:pPr>
        <w:spacing w:after="0" w:before="0" w:line="240" w:lineRule="auto"/>
      </w:pPr>
      <w:rPr>
        <w:b w:val="1"/>
        <w:bCs w:val="1"/>
      </w:rPr>
      <w:tblPr/>
      <w:tcPr>
        <w:tcBorders>
          <w:top w:color="a02b93" w:space="0" w:sz="6" w:themeColor="accent5" w:val="double"/>
          <w:left w:color="a02b93" w:space="0" w:sz="8" w:themeColor="accent5" w:val="single"/>
          <w:bottom w:color="a02b93" w:space="0" w:sz="8" w:themeColor="accent5" w:val="single"/>
          <w:right w:color="a02b93" w:space="0" w:sz="8" w:themeColor="accent5" w:val="single"/>
        </w:tcBorders>
      </w:tcPr>
    </w:tblStylePr>
    <w:tblStylePr w:type="firstCol">
      <w:rPr>
        <w:b w:val="1"/>
        <w:bCs w:val="1"/>
      </w:rPr>
    </w:tblStylePr>
    <w:tblStylePr w:type="lastCol">
      <w:rPr>
        <w:b w:val="1"/>
        <w:bCs w:val="1"/>
      </w:rPr>
    </w:tblStylePr>
    <w:tblStylePr w:type="band1Vert">
      <w:tblPr/>
      <w:tcPr>
        <w:tcBorders>
          <w:top w:color="a02b93" w:space="0" w:sz="8" w:themeColor="accent5" w:val="single"/>
          <w:left w:color="a02b93" w:space="0" w:sz="8" w:themeColor="accent5" w:val="single"/>
          <w:bottom w:color="a02b93" w:space="0" w:sz="8" w:themeColor="accent5" w:val="single"/>
          <w:right w:color="a02b93" w:space="0" w:sz="8" w:themeColor="accent5" w:val="single"/>
        </w:tcBorders>
      </w:tcPr>
    </w:tblStylePr>
    <w:tblStylePr w:type="band1Horz">
      <w:tblPr/>
      <w:tcPr>
        <w:tcBorders>
          <w:top w:color="a02b93" w:space="0" w:sz="8" w:themeColor="accent5" w:val="single"/>
          <w:left w:color="a02b93" w:space="0" w:sz="8" w:themeColor="accent5" w:val="single"/>
          <w:bottom w:color="a02b93" w:space="0" w:sz="8" w:themeColor="accent5" w:val="single"/>
          <w:right w:color="a02b93" w:space="0" w:sz="8" w:themeColor="accent5" w:val="single"/>
        </w:tcBorders>
      </w:tcPr>
    </w:tblStylePr>
  </w:style>
  <w:style w:type="table" w:styleId="LightList-Accent6">
    <w:name w:val="Light List Accent 6"/>
    <w:basedOn w:val="TableNormal"/>
    <w:uiPriority w:val="61"/>
    <w:rsid w:val="009900EA"/>
    <w:pPr>
      <w:spacing w:after="0" w:line="240" w:lineRule="auto"/>
    </w:pPr>
    <w:rPr>
      <w:rFonts w:eastAsiaTheme="minorEastAsia"/>
      <w:kern w:val="0"/>
      <w:sz w:val="22"/>
      <w:szCs w:val="22"/>
      <w:lang w:val="en-US"/>
    </w:rPr>
    <w:tblPr>
      <w:tblStyleRowBandSize w:val="1"/>
      <w:tblStyleColBandSize w:val="1"/>
      <w:tblBorders>
        <w:top w:color="4ea72e" w:space="0" w:sz="8" w:themeColor="accent6" w:val="single"/>
        <w:left w:color="4ea72e" w:space="0" w:sz="8" w:themeColor="accent6" w:val="single"/>
        <w:bottom w:color="4ea72e" w:space="0" w:sz="8" w:themeColor="accent6" w:val="single"/>
        <w:right w:color="4ea72e" w:space="0" w:sz="8" w:themeColor="accent6" w:val="single"/>
      </w:tblBorders>
    </w:tblPr>
    <w:tblStylePr w:type="firstRow">
      <w:pPr>
        <w:spacing w:after="0" w:before="0" w:line="240" w:lineRule="auto"/>
      </w:pPr>
      <w:rPr>
        <w:b w:val="1"/>
        <w:bCs w:val="1"/>
        <w:color w:val="ffffff" w:themeColor="background1"/>
      </w:rPr>
      <w:tblPr/>
      <w:tcPr>
        <w:shd w:color="auto" w:fill="4ea72e" w:themeFill="accent6" w:val="clear"/>
      </w:tcPr>
    </w:tblStylePr>
    <w:tblStylePr w:type="lastRow">
      <w:pPr>
        <w:spacing w:after="0" w:before="0" w:line="240" w:lineRule="auto"/>
      </w:pPr>
      <w:rPr>
        <w:b w:val="1"/>
        <w:bCs w:val="1"/>
      </w:rPr>
      <w:tblPr/>
      <w:tcPr>
        <w:tcBorders>
          <w:top w:color="4ea72e" w:space="0" w:sz="6" w:themeColor="accent6" w:val="double"/>
          <w:left w:color="4ea72e" w:space="0" w:sz="8" w:themeColor="accent6" w:val="single"/>
          <w:bottom w:color="4ea72e" w:space="0" w:sz="8" w:themeColor="accent6" w:val="single"/>
          <w:right w:color="4ea72e" w:space="0" w:sz="8" w:themeColor="accent6" w:val="single"/>
        </w:tcBorders>
      </w:tcPr>
    </w:tblStylePr>
    <w:tblStylePr w:type="firstCol">
      <w:rPr>
        <w:b w:val="1"/>
        <w:bCs w:val="1"/>
      </w:rPr>
    </w:tblStylePr>
    <w:tblStylePr w:type="lastCol">
      <w:rPr>
        <w:b w:val="1"/>
        <w:bCs w:val="1"/>
      </w:rPr>
    </w:tblStylePr>
    <w:tblStylePr w:type="band1Vert">
      <w:tblPr/>
      <w:tcPr>
        <w:tcBorders>
          <w:top w:color="4ea72e" w:space="0" w:sz="8" w:themeColor="accent6" w:val="single"/>
          <w:left w:color="4ea72e" w:space="0" w:sz="8" w:themeColor="accent6" w:val="single"/>
          <w:bottom w:color="4ea72e" w:space="0" w:sz="8" w:themeColor="accent6" w:val="single"/>
          <w:right w:color="4ea72e" w:space="0" w:sz="8" w:themeColor="accent6" w:val="single"/>
        </w:tcBorders>
      </w:tcPr>
    </w:tblStylePr>
    <w:tblStylePr w:type="band1Horz">
      <w:tblPr/>
      <w:tcPr>
        <w:tcBorders>
          <w:top w:color="4ea72e" w:space="0" w:sz="8" w:themeColor="accent6" w:val="single"/>
          <w:left w:color="4ea72e" w:space="0" w:sz="8" w:themeColor="accent6" w:val="single"/>
          <w:bottom w:color="4ea72e" w:space="0" w:sz="8" w:themeColor="accent6" w:val="single"/>
          <w:right w:color="4ea72e" w:space="0" w:sz="8" w:themeColor="accent6" w:val="single"/>
        </w:tcBorders>
      </w:tcPr>
    </w:tblStylePr>
  </w:style>
  <w:style w:type="table" w:styleId="LightGrid">
    <w:name w:val="Light Grid"/>
    <w:basedOn w:val="TableNormal"/>
    <w:uiPriority w:val="62"/>
    <w:rsid w:val="009900EA"/>
    <w:pPr>
      <w:spacing w:after="0" w:line="240" w:lineRule="auto"/>
    </w:pPr>
    <w:rPr>
      <w:rFonts w:eastAsiaTheme="minorEastAsia"/>
      <w:kern w:val="0"/>
      <w:sz w:val="22"/>
      <w:szCs w:val="22"/>
      <w:lang w:val="en-US"/>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9900EA"/>
    <w:pPr>
      <w:spacing w:after="0" w:line="240" w:lineRule="auto"/>
    </w:pPr>
    <w:rPr>
      <w:rFonts w:eastAsiaTheme="minorEastAsia"/>
      <w:kern w:val="0"/>
      <w:sz w:val="22"/>
      <w:szCs w:val="22"/>
      <w:lang w:val="en-US"/>
    </w:rPr>
    <w:tblPr>
      <w:tblStyleRowBandSize w:val="1"/>
      <w:tblStyleColBandSize w:val="1"/>
      <w:tblBorders>
        <w:top w:color="156082" w:space="0" w:sz="8" w:themeColor="accent1" w:val="single"/>
        <w:left w:color="156082" w:space="0" w:sz="8" w:themeColor="accent1" w:val="single"/>
        <w:bottom w:color="156082" w:space="0" w:sz="8" w:themeColor="accent1" w:val="single"/>
        <w:right w:color="156082" w:space="0" w:sz="8" w:themeColor="accent1" w:val="single"/>
        <w:insideH w:color="156082" w:space="0" w:sz="8" w:themeColor="accent1" w:val="single"/>
        <w:insideV w:color="156082"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156082" w:space="0" w:sz="8" w:themeColor="accent1" w:val="single"/>
          <w:left w:color="156082" w:space="0" w:sz="8" w:themeColor="accent1" w:val="single"/>
          <w:bottom w:color="156082" w:space="0" w:sz="18" w:themeColor="accent1" w:val="single"/>
          <w:right w:color="156082" w:space="0" w:sz="8" w:themeColor="accent1" w:val="single"/>
          <w:insideH w:space="0" w:sz="0" w:val="nil"/>
          <w:insideV w:color="156082"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156082" w:space="0" w:sz="6" w:themeColor="accent1" w:val="double"/>
          <w:left w:color="156082" w:space="0" w:sz="8" w:themeColor="accent1" w:val="single"/>
          <w:bottom w:color="156082" w:space="0" w:sz="8" w:themeColor="accent1" w:val="single"/>
          <w:right w:color="156082" w:space="0" w:sz="8" w:themeColor="accent1" w:val="single"/>
          <w:insideH w:space="0" w:sz="0" w:val="nil"/>
          <w:insideV w:color="156082"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156082" w:space="0" w:sz="8" w:themeColor="accent1" w:val="single"/>
          <w:left w:color="156082" w:space="0" w:sz="8" w:themeColor="accent1" w:val="single"/>
          <w:bottom w:color="156082" w:space="0" w:sz="8" w:themeColor="accent1" w:val="single"/>
          <w:right w:color="156082" w:space="0" w:sz="8" w:themeColor="accent1" w:val="single"/>
        </w:tcBorders>
      </w:tcPr>
    </w:tblStylePr>
    <w:tblStylePr w:type="band1Vert">
      <w:tblPr/>
      <w:tcPr>
        <w:tcBorders>
          <w:top w:color="156082" w:space="0" w:sz="8" w:themeColor="accent1" w:val="single"/>
          <w:left w:color="156082" w:space="0" w:sz="8" w:themeColor="accent1" w:val="single"/>
          <w:bottom w:color="156082" w:space="0" w:sz="8" w:themeColor="accent1" w:val="single"/>
          <w:right w:color="156082" w:space="0" w:sz="8" w:themeColor="accent1" w:val="single"/>
        </w:tcBorders>
        <w:shd w:color="auto" w:fill="b2def2" w:themeFill="accent1" w:themeFillTint="00003F" w:val="clear"/>
      </w:tcPr>
    </w:tblStylePr>
    <w:tblStylePr w:type="band1Horz">
      <w:tblPr/>
      <w:tcPr>
        <w:tcBorders>
          <w:top w:color="156082" w:space="0" w:sz="8" w:themeColor="accent1" w:val="single"/>
          <w:left w:color="156082" w:space="0" w:sz="8" w:themeColor="accent1" w:val="single"/>
          <w:bottom w:color="156082" w:space="0" w:sz="8" w:themeColor="accent1" w:val="single"/>
          <w:right w:color="156082" w:space="0" w:sz="8" w:themeColor="accent1" w:val="single"/>
          <w:insideV w:color="156082" w:space="0" w:sz="8" w:themeColor="accent1" w:val="single"/>
        </w:tcBorders>
        <w:shd w:color="auto" w:fill="b2def2" w:themeFill="accent1" w:themeFillTint="00003F" w:val="clear"/>
      </w:tcPr>
    </w:tblStylePr>
    <w:tblStylePr w:type="band2Horz">
      <w:tblPr/>
      <w:tcPr>
        <w:tcBorders>
          <w:top w:color="156082" w:space="0" w:sz="8" w:themeColor="accent1" w:val="single"/>
          <w:left w:color="156082" w:space="0" w:sz="8" w:themeColor="accent1" w:val="single"/>
          <w:bottom w:color="156082" w:space="0" w:sz="8" w:themeColor="accent1" w:val="single"/>
          <w:right w:color="156082" w:space="0" w:sz="8" w:themeColor="accent1" w:val="single"/>
          <w:insideV w:color="156082" w:space="0" w:sz="8" w:themeColor="accent1" w:val="single"/>
        </w:tcBorders>
      </w:tcPr>
    </w:tblStylePr>
  </w:style>
  <w:style w:type="table" w:styleId="LightGrid-Accent2">
    <w:name w:val="Light Grid Accent 2"/>
    <w:basedOn w:val="TableNormal"/>
    <w:uiPriority w:val="62"/>
    <w:rsid w:val="009900EA"/>
    <w:pPr>
      <w:spacing w:after="0" w:line="240" w:lineRule="auto"/>
    </w:pPr>
    <w:rPr>
      <w:rFonts w:eastAsiaTheme="minorEastAsia"/>
      <w:kern w:val="0"/>
      <w:sz w:val="22"/>
      <w:szCs w:val="22"/>
      <w:lang w:val="en-US"/>
    </w:rPr>
    <w:tblPr>
      <w:tblStyleRowBandSize w:val="1"/>
      <w:tblStyleColBandSize w:val="1"/>
      <w:tblBorders>
        <w:top w:color="e97132" w:space="0" w:sz="8" w:themeColor="accent2" w:val="single"/>
        <w:left w:color="e97132" w:space="0" w:sz="8" w:themeColor="accent2" w:val="single"/>
        <w:bottom w:color="e97132" w:space="0" w:sz="8" w:themeColor="accent2" w:val="single"/>
        <w:right w:color="e97132" w:space="0" w:sz="8" w:themeColor="accent2" w:val="single"/>
        <w:insideH w:color="e97132" w:space="0" w:sz="8" w:themeColor="accent2" w:val="single"/>
        <w:insideV w:color="e97132"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e97132" w:space="0" w:sz="8" w:themeColor="accent2" w:val="single"/>
          <w:left w:color="e97132" w:space="0" w:sz="8" w:themeColor="accent2" w:val="single"/>
          <w:bottom w:color="e97132" w:space="0" w:sz="18" w:themeColor="accent2" w:val="single"/>
          <w:right w:color="e97132" w:space="0" w:sz="8" w:themeColor="accent2" w:val="single"/>
          <w:insideH w:space="0" w:sz="0" w:val="nil"/>
          <w:insideV w:color="e97132"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e97132" w:space="0" w:sz="6" w:themeColor="accent2" w:val="double"/>
          <w:left w:color="e97132" w:space="0" w:sz="8" w:themeColor="accent2" w:val="single"/>
          <w:bottom w:color="e97132" w:space="0" w:sz="8" w:themeColor="accent2" w:val="single"/>
          <w:right w:color="e97132" w:space="0" w:sz="8" w:themeColor="accent2" w:val="single"/>
          <w:insideH w:space="0" w:sz="0" w:val="nil"/>
          <w:insideV w:color="e97132"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e97132" w:space="0" w:sz="8" w:themeColor="accent2" w:val="single"/>
          <w:left w:color="e97132" w:space="0" w:sz="8" w:themeColor="accent2" w:val="single"/>
          <w:bottom w:color="e97132" w:space="0" w:sz="8" w:themeColor="accent2" w:val="single"/>
          <w:right w:color="e97132" w:space="0" w:sz="8" w:themeColor="accent2" w:val="single"/>
        </w:tcBorders>
      </w:tcPr>
    </w:tblStylePr>
    <w:tblStylePr w:type="band1Vert">
      <w:tblPr/>
      <w:tcPr>
        <w:tcBorders>
          <w:top w:color="e97132" w:space="0" w:sz="8" w:themeColor="accent2" w:val="single"/>
          <w:left w:color="e97132" w:space="0" w:sz="8" w:themeColor="accent2" w:val="single"/>
          <w:bottom w:color="e97132" w:space="0" w:sz="8" w:themeColor="accent2" w:val="single"/>
          <w:right w:color="e97132" w:space="0" w:sz="8" w:themeColor="accent2" w:val="single"/>
        </w:tcBorders>
        <w:shd w:color="auto" w:fill="f9dbcc" w:themeFill="accent2" w:themeFillTint="00003F" w:val="clear"/>
      </w:tcPr>
    </w:tblStylePr>
    <w:tblStylePr w:type="band1Horz">
      <w:tblPr/>
      <w:tcPr>
        <w:tcBorders>
          <w:top w:color="e97132" w:space="0" w:sz="8" w:themeColor="accent2" w:val="single"/>
          <w:left w:color="e97132" w:space="0" w:sz="8" w:themeColor="accent2" w:val="single"/>
          <w:bottom w:color="e97132" w:space="0" w:sz="8" w:themeColor="accent2" w:val="single"/>
          <w:right w:color="e97132" w:space="0" w:sz="8" w:themeColor="accent2" w:val="single"/>
          <w:insideV w:color="e97132" w:space="0" w:sz="8" w:themeColor="accent2" w:val="single"/>
        </w:tcBorders>
        <w:shd w:color="auto" w:fill="f9dbcc" w:themeFill="accent2" w:themeFillTint="00003F" w:val="clear"/>
      </w:tcPr>
    </w:tblStylePr>
    <w:tblStylePr w:type="band2Horz">
      <w:tblPr/>
      <w:tcPr>
        <w:tcBorders>
          <w:top w:color="e97132" w:space="0" w:sz="8" w:themeColor="accent2" w:val="single"/>
          <w:left w:color="e97132" w:space="0" w:sz="8" w:themeColor="accent2" w:val="single"/>
          <w:bottom w:color="e97132" w:space="0" w:sz="8" w:themeColor="accent2" w:val="single"/>
          <w:right w:color="e97132" w:space="0" w:sz="8" w:themeColor="accent2" w:val="single"/>
          <w:insideV w:color="e97132" w:space="0" w:sz="8" w:themeColor="accent2" w:val="single"/>
        </w:tcBorders>
      </w:tcPr>
    </w:tblStylePr>
  </w:style>
  <w:style w:type="table" w:styleId="LightGrid-Accent3">
    <w:name w:val="Light Grid Accent 3"/>
    <w:basedOn w:val="TableNormal"/>
    <w:uiPriority w:val="62"/>
    <w:rsid w:val="009900EA"/>
    <w:pPr>
      <w:spacing w:after="0" w:line="240" w:lineRule="auto"/>
    </w:pPr>
    <w:rPr>
      <w:rFonts w:eastAsiaTheme="minorEastAsia"/>
      <w:kern w:val="0"/>
      <w:sz w:val="22"/>
      <w:szCs w:val="22"/>
      <w:lang w:val="en-US"/>
    </w:rPr>
    <w:tblPr>
      <w:tblStyleRowBandSize w:val="1"/>
      <w:tblStyleColBandSize w:val="1"/>
      <w:tblBorders>
        <w:top w:color="196b24" w:space="0" w:sz="8" w:themeColor="accent3" w:val="single"/>
        <w:left w:color="196b24" w:space="0" w:sz="8" w:themeColor="accent3" w:val="single"/>
        <w:bottom w:color="196b24" w:space="0" w:sz="8" w:themeColor="accent3" w:val="single"/>
        <w:right w:color="196b24" w:space="0" w:sz="8" w:themeColor="accent3" w:val="single"/>
        <w:insideH w:color="196b24" w:space="0" w:sz="8" w:themeColor="accent3" w:val="single"/>
        <w:insideV w:color="196b24"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196b24" w:space="0" w:sz="8" w:themeColor="accent3" w:val="single"/>
          <w:left w:color="196b24" w:space="0" w:sz="8" w:themeColor="accent3" w:val="single"/>
          <w:bottom w:color="196b24" w:space="0" w:sz="18" w:themeColor="accent3" w:val="single"/>
          <w:right w:color="196b24" w:space="0" w:sz="8" w:themeColor="accent3" w:val="single"/>
          <w:insideH w:space="0" w:sz="0" w:val="nil"/>
          <w:insideV w:color="196b24"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196b24" w:space="0" w:sz="6" w:themeColor="accent3" w:val="double"/>
          <w:left w:color="196b24" w:space="0" w:sz="8" w:themeColor="accent3" w:val="single"/>
          <w:bottom w:color="196b24" w:space="0" w:sz="8" w:themeColor="accent3" w:val="single"/>
          <w:right w:color="196b24" w:space="0" w:sz="8" w:themeColor="accent3" w:val="single"/>
          <w:insideH w:space="0" w:sz="0" w:val="nil"/>
          <w:insideV w:color="196b24"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196b24" w:space="0" w:sz="8" w:themeColor="accent3" w:val="single"/>
          <w:left w:color="196b24" w:space="0" w:sz="8" w:themeColor="accent3" w:val="single"/>
          <w:bottom w:color="196b24" w:space="0" w:sz="8" w:themeColor="accent3" w:val="single"/>
          <w:right w:color="196b24" w:space="0" w:sz="8" w:themeColor="accent3" w:val="single"/>
        </w:tcBorders>
      </w:tcPr>
    </w:tblStylePr>
    <w:tblStylePr w:type="band1Vert">
      <w:tblPr/>
      <w:tcPr>
        <w:tcBorders>
          <w:top w:color="196b24" w:space="0" w:sz="8" w:themeColor="accent3" w:val="single"/>
          <w:left w:color="196b24" w:space="0" w:sz="8" w:themeColor="accent3" w:val="single"/>
          <w:bottom w:color="196b24" w:space="0" w:sz="8" w:themeColor="accent3" w:val="single"/>
          <w:right w:color="196b24" w:space="0" w:sz="8" w:themeColor="accent3" w:val="single"/>
        </w:tcBorders>
        <w:shd w:color="auto" w:fill="b3edba" w:themeFill="accent3" w:themeFillTint="00003F" w:val="clear"/>
      </w:tcPr>
    </w:tblStylePr>
    <w:tblStylePr w:type="band1Horz">
      <w:tblPr/>
      <w:tcPr>
        <w:tcBorders>
          <w:top w:color="196b24" w:space="0" w:sz="8" w:themeColor="accent3" w:val="single"/>
          <w:left w:color="196b24" w:space="0" w:sz="8" w:themeColor="accent3" w:val="single"/>
          <w:bottom w:color="196b24" w:space="0" w:sz="8" w:themeColor="accent3" w:val="single"/>
          <w:right w:color="196b24" w:space="0" w:sz="8" w:themeColor="accent3" w:val="single"/>
          <w:insideV w:color="196b24" w:space="0" w:sz="8" w:themeColor="accent3" w:val="single"/>
        </w:tcBorders>
        <w:shd w:color="auto" w:fill="b3edba" w:themeFill="accent3" w:themeFillTint="00003F" w:val="clear"/>
      </w:tcPr>
    </w:tblStylePr>
    <w:tblStylePr w:type="band2Horz">
      <w:tblPr/>
      <w:tcPr>
        <w:tcBorders>
          <w:top w:color="196b24" w:space="0" w:sz="8" w:themeColor="accent3" w:val="single"/>
          <w:left w:color="196b24" w:space="0" w:sz="8" w:themeColor="accent3" w:val="single"/>
          <w:bottom w:color="196b24" w:space="0" w:sz="8" w:themeColor="accent3" w:val="single"/>
          <w:right w:color="196b24" w:space="0" w:sz="8" w:themeColor="accent3" w:val="single"/>
          <w:insideV w:color="196b24" w:space="0" w:sz="8" w:themeColor="accent3" w:val="single"/>
        </w:tcBorders>
      </w:tcPr>
    </w:tblStylePr>
  </w:style>
  <w:style w:type="table" w:styleId="LightGrid-Accent4">
    <w:name w:val="Light Grid Accent 4"/>
    <w:basedOn w:val="TableNormal"/>
    <w:uiPriority w:val="62"/>
    <w:rsid w:val="009900EA"/>
    <w:pPr>
      <w:spacing w:after="0" w:line="240" w:lineRule="auto"/>
    </w:pPr>
    <w:rPr>
      <w:rFonts w:eastAsiaTheme="minorEastAsia"/>
      <w:kern w:val="0"/>
      <w:sz w:val="22"/>
      <w:szCs w:val="22"/>
      <w:lang w:val="en-US"/>
    </w:rPr>
    <w:tblPr>
      <w:tblStyleRowBandSize w:val="1"/>
      <w:tblStyleColBandSize w:val="1"/>
      <w:tblBorders>
        <w:top w:color="0f9ed5" w:space="0" w:sz="8" w:themeColor="accent4" w:val="single"/>
        <w:left w:color="0f9ed5" w:space="0" w:sz="8" w:themeColor="accent4" w:val="single"/>
        <w:bottom w:color="0f9ed5" w:space="0" w:sz="8" w:themeColor="accent4" w:val="single"/>
        <w:right w:color="0f9ed5" w:space="0" w:sz="8" w:themeColor="accent4" w:val="single"/>
        <w:insideH w:color="0f9ed5" w:space="0" w:sz="8" w:themeColor="accent4" w:val="single"/>
        <w:insideV w:color="0f9ed5"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f9ed5" w:space="0" w:sz="8" w:themeColor="accent4" w:val="single"/>
          <w:left w:color="0f9ed5" w:space="0" w:sz="8" w:themeColor="accent4" w:val="single"/>
          <w:bottom w:color="0f9ed5" w:space="0" w:sz="18" w:themeColor="accent4" w:val="single"/>
          <w:right w:color="0f9ed5" w:space="0" w:sz="8" w:themeColor="accent4" w:val="single"/>
          <w:insideH w:space="0" w:sz="0" w:val="nil"/>
          <w:insideV w:color="0f9ed5"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f9ed5" w:space="0" w:sz="6" w:themeColor="accent4" w:val="double"/>
          <w:left w:color="0f9ed5" w:space="0" w:sz="8" w:themeColor="accent4" w:val="single"/>
          <w:bottom w:color="0f9ed5" w:space="0" w:sz="8" w:themeColor="accent4" w:val="single"/>
          <w:right w:color="0f9ed5" w:space="0" w:sz="8" w:themeColor="accent4" w:val="single"/>
          <w:insideH w:space="0" w:sz="0" w:val="nil"/>
          <w:insideV w:color="0f9ed5"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f9ed5" w:space="0" w:sz="8" w:themeColor="accent4" w:val="single"/>
          <w:left w:color="0f9ed5" w:space="0" w:sz="8" w:themeColor="accent4" w:val="single"/>
          <w:bottom w:color="0f9ed5" w:space="0" w:sz="8" w:themeColor="accent4" w:val="single"/>
          <w:right w:color="0f9ed5" w:space="0" w:sz="8" w:themeColor="accent4" w:val="single"/>
        </w:tcBorders>
      </w:tcPr>
    </w:tblStylePr>
    <w:tblStylePr w:type="band1Vert">
      <w:tblPr/>
      <w:tcPr>
        <w:tcBorders>
          <w:top w:color="0f9ed5" w:space="0" w:sz="8" w:themeColor="accent4" w:val="single"/>
          <w:left w:color="0f9ed5" w:space="0" w:sz="8" w:themeColor="accent4" w:val="single"/>
          <w:bottom w:color="0f9ed5" w:space="0" w:sz="8" w:themeColor="accent4" w:val="single"/>
          <w:right w:color="0f9ed5" w:space="0" w:sz="8" w:themeColor="accent4" w:val="single"/>
        </w:tcBorders>
        <w:shd w:color="auto" w:fill="bde9fa" w:themeFill="accent4" w:themeFillTint="00003F" w:val="clear"/>
      </w:tcPr>
    </w:tblStylePr>
    <w:tblStylePr w:type="band1Horz">
      <w:tblPr/>
      <w:tcPr>
        <w:tcBorders>
          <w:top w:color="0f9ed5" w:space="0" w:sz="8" w:themeColor="accent4" w:val="single"/>
          <w:left w:color="0f9ed5" w:space="0" w:sz="8" w:themeColor="accent4" w:val="single"/>
          <w:bottom w:color="0f9ed5" w:space="0" w:sz="8" w:themeColor="accent4" w:val="single"/>
          <w:right w:color="0f9ed5" w:space="0" w:sz="8" w:themeColor="accent4" w:val="single"/>
          <w:insideV w:color="0f9ed5" w:space="0" w:sz="8" w:themeColor="accent4" w:val="single"/>
        </w:tcBorders>
        <w:shd w:color="auto" w:fill="bde9fa" w:themeFill="accent4" w:themeFillTint="00003F" w:val="clear"/>
      </w:tcPr>
    </w:tblStylePr>
    <w:tblStylePr w:type="band2Horz">
      <w:tblPr/>
      <w:tcPr>
        <w:tcBorders>
          <w:top w:color="0f9ed5" w:space="0" w:sz="8" w:themeColor="accent4" w:val="single"/>
          <w:left w:color="0f9ed5" w:space="0" w:sz="8" w:themeColor="accent4" w:val="single"/>
          <w:bottom w:color="0f9ed5" w:space="0" w:sz="8" w:themeColor="accent4" w:val="single"/>
          <w:right w:color="0f9ed5" w:space="0" w:sz="8" w:themeColor="accent4" w:val="single"/>
          <w:insideV w:color="0f9ed5" w:space="0" w:sz="8" w:themeColor="accent4" w:val="single"/>
        </w:tcBorders>
      </w:tcPr>
    </w:tblStylePr>
  </w:style>
  <w:style w:type="table" w:styleId="LightGrid-Accent5">
    <w:name w:val="Light Grid Accent 5"/>
    <w:basedOn w:val="TableNormal"/>
    <w:uiPriority w:val="62"/>
    <w:rsid w:val="009900EA"/>
    <w:pPr>
      <w:spacing w:after="0" w:line="240" w:lineRule="auto"/>
    </w:pPr>
    <w:rPr>
      <w:rFonts w:eastAsiaTheme="minorEastAsia"/>
      <w:kern w:val="0"/>
      <w:sz w:val="22"/>
      <w:szCs w:val="22"/>
      <w:lang w:val="en-US"/>
    </w:rPr>
    <w:tblPr>
      <w:tblStyleRowBandSize w:val="1"/>
      <w:tblStyleColBandSize w:val="1"/>
      <w:tblBorders>
        <w:top w:color="a02b93" w:space="0" w:sz="8" w:themeColor="accent5" w:val="single"/>
        <w:left w:color="a02b93" w:space="0" w:sz="8" w:themeColor="accent5" w:val="single"/>
        <w:bottom w:color="a02b93" w:space="0" w:sz="8" w:themeColor="accent5" w:val="single"/>
        <w:right w:color="a02b93" w:space="0" w:sz="8" w:themeColor="accent5" w:val="single"/>
        <w:insideH w:color="a02b93" w:space="0" w:sz="8" w:themeColor="accent5" w:val="single"/>
        <w:insideV w:color="a02b93"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a02b93" w:space="0" w:sz="8" w:themeColor="accent5" w:val="single"/>
          <w:left w:color="a02b93" w:space="0" w:sz="8" w:themeColor="accent5" w:val="single"/>
          <w:bottom w:color="a02b93" w:space="0" w:sz="18" w:themeColor="accent5" w:val="single"/>
          <w:right w:color="a02b93" w:space="0" w:sz="8" w:themeColor="accent5" w:val="single"/>
          <w:insideH w:space="0" w:sz="0" w:val="nil"/>
          <w:insideV w:color="a02b93"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a02b93" w:space="0" w:sz="6" w:themeColor="accent5" w:val="double"/>
          <w:left w:color="a02b93" w:space="0" w:sz="8" w:themeColor="accent5" w:val="single"/>
          <w:bottom w:color="a02b93" w:space="0" w:sz="8" w:themeColor="accent5" w:val="single"/>
          <w:right w:color="a02b93" w:space="0" w:sz="8" w:themeColor="accent5" w:val="single"/>
          <w:insideH w:space="0" w:sz="0" w:val="nil"/>
          <w:insideV w:color="a02b93"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a02b93" w:space="0" w:sz="8" w:themeColor="accent5" w:val="single"/>
          <w:left w:color="a02b93" w:space="0" w:sz="8" w:themeColor="accent5" w:val="single"/>
          <w:bottom w:color="a02b93" w:space="0" w:sz="8" w:themeColor="accent5" w:val="single"/>
          <w:right w:color="a02b93" w:space="0" w:sz="8" w:themeColor="accent5" w:val="single"/>
        </w:tcBorders>
      </w:tcPr>
    </w:tblStylePr>
    <w:tblStylePr w:type="band1Vert">
      <w:tblPr/>
      <w:tcPr>
        <w:tcBorders>
          <w:top w:color="a02b93" w:space="0" w:sz="8" w:themeColor="accent5" w:val="single"/>
          <w:left w:color="a02b93" w:space="0" w:sz="8" w:themeColor="accent5" w:val="single"/>
          <w:bottom w:color="a02b93" w:space="0" w:sz="8" w:themeColor="accent5" w:val="single"/>
          <w:right w:color="a02b93" w:space="0" w:sz="8" w:themeColor="accent5" w:val="single"/>
        </w:tcBorders>
        <w:shd w:color="auto" w:fill="efc3e9" w:themeFill="accent5" w:themeFillTint="00003F" w:val="clear"/>
      </w:tcPr>
    </w:tblStylePr>
    <w:tblStylePr w:type="band1Horz">
      <w:tblPr/>
      <w:tcPr>
        <w:tcBorders>
          <w:top w:color="a02b93" w:space="0" w:sz="8" w:themeColor="accent5" w:val="single"/>
          <w:left w:color="a02b93" w:space="0" w:sz="8" w:themeColor="accent5" w:val="single"/>
          <w:bottom w:color="a02b93" w:space="0" w:sz="8" w:themeColor="accent5" w:val="single"/>
          <w:right w:color="a02b93" w:space="0" w:sz="8" w:themeColor="accent5" w:val="single"/>
          <w:insideV w:color="a02b93" w:space="0" w:sz="8" w:themeColor="accent5" w:val="single"/>
        </w:tcBorders>
        <w:shd w:color="auto" w:fill="efc3e9" w:themeFill="accent5" w:themeFillTint="00003F" w:val="clear"/>
      </w:tcPr>
    </w:tblStylePr>
    <w:tblStylePr w:type="band2Horz">
      <w:tblPr/>
      <w:tcPr>
        <w:tcBorders>
          <w:top w:color="a02b93" w:space="0" w:sz="8" w:themeColor="accent5" w:val="single"/>
          <w:left w:color="a02b93" w:space="0" w:sz="8" w:themeColor="accent5" w:val="single"/>
          <w:bottom w:color="a02b93" w:space="0" w:sz="8" w:themeColor="accent5" w:val="single"/>
          <w:right w:color="a02b93" w:space="0" w:sz="8" w:themeColor="accent5" w:val="single"/>
          <w:insideV w:color="a02b93" w:space="0" w:sz="8" w:themeColor="accent5" w:val="single"/>
        </w:tcBorders>
      </w:tcPr>
    </w:tblStylePr>
  </w:style>
  <w:style w:type="table" w:styleId="LightGrid-Accent6">
    <w:name w:val="Light Grid Accent 6"/>
    <w:basedOn w:val="TableNormal"/>
    <w:uiPriority w:val="62"/>
    <w:rsid w:val="009900EA"/>
    <w:pPr>
      <w:spacing w:after="0" w:line="240" w:lineRule="auto"/>
    </w:pPr>
    <w:rPr>
      <w:rFonts w:eastAsiaTheme="minorEastAsia"/>
      <w:kern w:val="0"/>
      <w:sz w:val="22"/>
      <w:szCs w:val="22"/>
      <w:lang w:val="en-US"/>
    </w:rPr>
    <w:tblPr>
      <w:tblStyleRowBandSize w:val="1"/>
      <w:tblStyleColBandSize w:val="1"/>
      <w:tblBorders>
        <w:top w:color="4ea72e" w:space="0" w:sz="8" w:themeColor="accent6" w:val="single"/>
        <w:left w:color="4ea72e" w:space="0" w:sz="8" w:themeColor="accent6" w:val="single"/>
        <w:bottom w:color="4ea72e" w:space="0" w:sz="8" w:themeColor="accent6" w:val="single"/>
        <w:right w:color="4ea72e" w:space="0" w:sz="8" w:themeColor="accent6" w:val="single"/>
        <w:insideH w:color="4ea72e" w:space="0" w:sz="8" w:themeColor="accent6" w:val="single"/>
        <w:insideV w:color="4ea72e"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ea72e" w:space="0" w:sz="8" w:themeColor="accent6" w:val="single"/>
          <w:left w:color="4ea72e" w:space="0" w:sz="8" w:themeColor="accent6" w:val="single"/>
          <w:bottom w:color="4ea72e" w:space="0" w:sz="18" w:themeColor="accent6" w:val="single"/>
          <w:right w:color="4ea72e" w:space="0" w:sz="8" w:themeColor="accent6" w:val="single"/>
          <w:insideH w:space="0" w:sz="0" w:val="nil"/>
          <w:insideV w:color="4ea72e"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ea72e" w:space="0" w:sz="6" w:themeColor="accent6" w:val="double"/>
          <w:left w:color="4ea72e" w:space="0" w:sz="8" w:themeColor="accent6" w:val="single"/>
          <w:bottom w:color="4ea72e" w:space="0" w:sz="8" w:themeColor="accent6" w:val="single"/>
          <w:right w:color="4ea72e" w:space="0" w:sz="8" w:themeColor="accent6" w:val="single"/>
          <w:insideH w:space="0" w:sz="0" w:val="nil"/>
          <w:insideV w:color="4ea72e"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ea72e" w:space="0" w:sz="8" w:themeColor="accent6" w:val="single"/>
          <w:left w:color="4ea72e" w:space="0" w:sz="8" w:themeColor="accent6" w:val="single"/>
          <w:bottom w:color="4ea72e" w:space="0" w:sz="8" w:themeColor="accent6" w:val="single"/>
          <w:right w:color="4ea72e" w:space="0" w:sz="8" w:themeColor="accent6" w:val="single"/>
        </w:tcBorders>
      </w:tcPr>
    </w:tblStylePr>
    <w:tblStylePr w:type="band1Vert">
      <w:tblPr/>
      <w:tcPr>
        <w:tcBorders>
          <w:top w:color="4ea72e" w:space="0" w:sz="8" w:themeColor="accent6" w:val="single"/>
          <w:left w:color="4ea72e" w:space="0" w:sz="8" w:themeColor="accent6" w:val="single"/>
          <w:bottom w:color="4ea72e" w:space="0" w:sz="8" w:themeColor="accent6" w:val="single"/>
          <w:right w:color="4ea72e" w:space="0" w:sz="8" w:themeColor="accent6" w:val="single"/>
        </w:tcBorders>
        <w:shd w:color="auto" w:fill="d0efc5" w:themeFill="accent6" w:themeFillTint="00003F" w:val="clear"/>
      </w:tcPr>
    </w:tblStylePr>
    <w:tblStylePr w:type="band1Horz">
      <w:tblPr/>
      <w:tcPr>
        <w:tcBorders>
          <w:top w:color="4ea72e" w:space="0" w:sz="8" w:themeColor="accent6" w:val="single"/>
          <w:left w:color="4ea72e" w:space="0" w:sz="8" w:themeColor="accent6" w:val="single"/>
          <w:bottom w:color="4ea72e" w:space="0" w:sz="8" w:themeColor="accent6" w:val="single"/>
          <w:right w:color="4ea72e" w:space="0" w:sz="8" w:themeColor="accent6" w:val="single"/>
          <w:insideV w:color="4ea72e" w:space="0" w:sz="8" w:themeColor="accent6" w:val="single"/>
        </w:tcBorders>
        <w:shd w:color="auto" w:fill="d0efc5" w:themeFill="accent6" w:themeFillTint="00003F" w:val="clear"/>
      </w:tcPr>
    </w:tblStylePr>
    <w:tblStylePr w:type="band2Horz">
      <w:tblPr/>
      <w:tcPr>
        <w:tcBorders>
          <w:top w:color="4ea72e" w:space="0" w:sz="8" w:themeColor="accent6" w:val="single"/>
          <w:left w:color="4ea72e" w:space="0" w:sz="8" w:themeColor="accent6" w:val="single"/>
          <w:bottom w:color="4ea72e" w:space="0" w:sz="8" w:themeColor="accent6" w:val="single"/>
          <w:right w:color="4ea72e" w:space="0" w:sz="8" w:themeColor="accent6" w:val="single"/>
          <w:insideV w:color="4ea72e" w:space="0" w:sz="8" w:themeColor="accent6" w:val="single"/>
        </w:tcBorders>
      </w:tcPr>
    </w:tblStylePr>
  </w:style>
  <w:style w:type="table" w:styleId="MediumShading1">
    <w:name w:val="Medium Shading 1"/>
    <w:basedOn w:val="TableNormal"/>
    <w:uiPriority w:val="63"/>
    <w:rsid w:val="009900EA"/>
    <w:pPr>
      <w:spacing w:after="0" w:line="240" w:lineRule="auto"/>
    </w:pPr>
    <w:rPr>
      <w:rFonts w:eastAsiaTheme="minorEastAsia"/>
      <w:kern w:val="0"/>
      <w:sz w:val="22"/>
      <w:szCs w:val="22"/>
      <w:lang w:val="en-US"/>
    </w:r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9900EA"/>
    <w:pPr>
      <w:spacing w:after="0" w:line="240" w:lineRule="auto"/>
    </w:pPr>
    <w:rPr>
      <w:rFonts w:eastAsiaTheme="minorEastAsia"/>
      <w:kern w:val="0"/>
      <w:sz w:val="22"/>
      <w:szCs w:val="22"/>
      <w:lang w:val="en-US"/>
    </w:rPr>
    <w:tblPr>
      <w:tblStyleRowBandSize w:val="1"/>
      <w:tblStyleColBandSize w:val="1"/>
      <w:tblBorders>
        <w:top w:color="2198cf" w:space="0" w:sz="8" w:themeColor="accent1" w:themeTint="0000BF" w:val="single"/>
        <w:left w:color="2198cf" w:space="0" w:sz="8" w:themeColor="accent1" w:themeTint="0000BF" w:val="single"/>
        <w:bottom w:color="2198cf" w:space="0" w:sz="8" w:themeColor="accent1" w:themeTint="0000BF" w:val="single"/>
        <w:right w:color="2198cf" w:space="0" w:sz="8" w:themeColor="accent1" w:themeTint="0000BF" w:val="single"/>
        <w:insideH w:color="2198cf" w:space="0" w:sz="8" w:themeColor="accent1" w:themeTint="0000BF" w:val="single"/>
      </w:tblBorders>
    </w:tblPr>
    <w:tblStylePr w:type="firstRow">
      <w:pPr>
        <w:spacing w:after="0" w:before="0" w:line="240" w:lineRule="auto"/>
      </w:pPr>
      <w:rPr>
        <w:b w:val="1"/>
        <w:bCs w:val="1"/>
        <w:color w:val="ffffff" w:themeColor="background1"/>
      </w:rPr>
      <w:tblPr/>
      <w:tcPr>
        <w:tcBorders>
          <w:top w:color="2198cf" w:space="0" w:sz="8" w:themeColor="accent1" w:themeTint="0000BF" w:val="single"/>
          <w:left w:color="2198cf" w:space="0" w:sz="8" w:themeColor="accent1" w:themeTint="0000BF" w:val="single"/>
          <w:bottom w:color="2198cf" w:space="0" w:sz="8" w:themeColor="accent1" w:themeTint="0000BF" w:val="single"/>
          <w:right w:color="2198cf" w:space="0" w:sz="8" w:themeColor="accent1" w:themeTint="0000BF" w:val="single"/>
          <w:insideH w:space="0" w:sz="0" w:val="nil"/>
          <w:insideV w:space="0" w:sz="0" w:val="nil"/>
        </w:tcBorders>
        <w:shd w:color="auto" w:fill="156082" w:themeFill="accent1" w:val="clear"/>
      </w:tcPr>
    </w:tblStylePr>
    <w:tblStylePr w:type="lastRow">
      <w:pPr>
        <w:spacing w:after="0" w:before="0" w:line="240" w:lineRule="auto"/>
      </w:pPr>
      <w:rPr>
        <w:b w:val="1"/>
        <w:bCs w:val="1"/>
      </w:rPr>
      <w:tblPr/>
      <w:tcPr>
        <w:tcBorders>
          <w:top w:color="2198cf" w:space="0" w:sz="6" w:themeColor="accent1" w:themeTint="0000BF" w:val="double"/>
          <w:left w:color="2198cf" w:space="0" w:sz="8" w:themeColor="accent1" w:themeTint="0000BF" w:val="single"/>
          <w:bottom w:color="2198cf" w:space="0" w:sz="8" w:themeColor="accent1" w:themeTint="0000BF" w:val="single"/>
          <w:right w:color="2198cf"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b2def2" w:themeFill="accent1" w:themeFillTint="00003F" w:val="clear"/>
      </w:tcPr>
    </w:tblStylePr>
    <w:tblStylePr w:type="band1Horz">
      <w:tblPr/>
      <w:tcPr>
        <w:tcBorders>
          <w:insideH w:space="0" w:sz="0" w:val="nil"/>
          <w:insideV w:space="0" w:sz="0" w:val="nil"/>
        </w:tcBorders>
        <w:shd w:color="auto" w:fill="b2def2"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9900EA"/>
    <w:pPr>
      <w:spacing w:after="0" w:line="240" w:lineRule="auto"/>
    </w:pPr>
    <w:rPr>
      <w:rFonts w:eastAsiaTheme="minorEastAsia"/>
      <w:kern w:val="0"/>
      <w:sz w:val="22"/>
      <w:szCs w:val="22"/>
      <w:lang w:val="en-US"/>
    </w:rPr>
    <w:tblPr>
      <w:tblStyleRowBandSize w:val="1"/>
      <w:tblStyleColBandSize w:val="1"/>
      <w:tblBorders>
        <w:top w:color="ee9465" w:space="0" w:sz="8" w:themeColor="accent2" w:themeTint="0000BF" w:val="single"/>
        <w:left w:color="ee9465" w:space="0" w:sz="8" w:themeColor="accent2" w:themeTint="0000BF" w:val="single"/>
        <w:bottom w:color="ee9465" w:space="0" w:sz="8" w:themeColor="accent2" w:themeTint="0000BF" w:val="single"/>
        <w:right w:color="ee9465" w:space="0" w:sz="8" w:themeColor="accent2" w:themeTint="0000BF" w:val="single"/>
        <w:insideH w:color="ee9465" w:space="0" w:sz="8" w:themeColor="accent2" w:themeTint="0000BF" w:val="single"/>
      </w:tblBorders>
    </w:tblPr>
    <w:tblStylePr w:type="firstRow">
      <w:pPr>
        <w:spacing w:after="0" w:before="0" w:line="240" w:lineRule="auto"/>
      </w:pPr>
      <w:rPr>
        <w:b w:val="1"/>
        <w:bCs w:val="1"/>
        <w:color w:val="ffffff" w:themeColor="background1"/>
      </w:rPr>
      <w:tblPr/>
      <w:tcPr>
        <w:tcBorders>
          <w:top w:color="ee9465" w:space="0" w:sz="8" w:themeColor="accent2" w:themeTint="0000BF" w:val="single"/>
          <w:left w:color="ee9465" w:space="0" w:sz="8" w:themeColor="accent2" w:themeTint="0000BF" w:val="single"/>
          <w:bottom w:color="ee9465" w:space="0" w:sz="8" w:themeColor="accent2" w:themeTint="0000BF" w:val="single"/>
          <w:right w:color="ee9465" w:space="0" w:sz="8" w:themeColor="accent2" w:themeTint="0000BF" w:val="single"/>
          <w:insideH w:space="0" w:sz="0" w:val="nil"/>
          <w:insideV w:space="0" w:sz="0" w:val="nil"/>
        </w:tcBorders>
        <w:shd w:color="auto" w:fill="e97132" w:themeFill="accent2" w:val="clear"/>
      </w:tcPr>
    </w:tblStylePr>
    <w:tblStylePr w:type="lastRow">
      <w:pPr>
        <w:spacing w:after="0" w:before="0" w:line="240" w:lineRule="auto"/>
      </w:pPr>
      <w:rPr>
        <w:b w:val="1"/>
        <w:bCs w:val="1"/>
      </w:rPr>
      <w:tblPr/>
      <w:tcPr>
        <w:tcBorders>
          <w:top w:color="ee9465" w:space="0" w:sz="6" w:themeColor="accent2" w:themeTint="0000BF" w:val="double"/>
          <w:left w:color="ee9465" w:space="0" w:sz="8" w:themeColor="accent2" w:themeTint="0000BF" w:val="single"/>
          <w:bottom w:color="ee9465" w:space="0" w:sz="8" w:themeColor="accent2" w:themeTint="0000BF" w:val="single"/>
          <w:right w:color="ee9465"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9dbcc" w:themeFill="accent2" w:themeFillTint="00003F" w:val="clear"/>
      </w:tcPr>
    </w:tblStylePr>
    <w:tblStylePr w:type="band1Horz">
      <w:tblPr/>
      <w:tcPr>
        <w:tcBorders>
          <w:insideH w:space="0" w:sz="0" w:val="nil"/>
          <w:insideV w:space="0" w:sz="0" w:val="nil"/>
        </w:tcBorders>
        <w:shd w:color="auto" w:fill="f9dbcc"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9900EA"/>
    <w:pPr>
      <w:spacing w:after="0" w:line="240" w:lineRule="auto"/>
    </w:pPr>
    <w:rPr>
      <w:rFonts w:eastAsiaTheme="minorEastAsia"/>
      <w:kern w:val="0"/>
      <w:sz w:val="22"/>
      <w:szCs w:val="22"/>
      <w:lang w:val="en-US"/>
    </w:rPr>
    <w:tblPr>
      <w:tblStyleRowBandSize w:val="1"/>
      <w:tblStyleColBandSize w:val="1"/>
      <w:tblBorders>
        <w:top w:color="2bb73d" w:space="0" w:sz="8" w:themeColor="accent3" w:themeTint="0000BF" w:val="single"/>
        <w:left w:color="2bb73d" w:space="0" w:sz="8" w:themeColor="accent3" w:themeTint="0000BF" w:val="single"/>
        <w:bottom w:color="2bb73d" w:space="0" w:sz="8" w:themeColor="accent3" w:themeTint="0000BF" w:val="single"/>
        <w:right w:color="2bb73d" w:space="0" w:sz="8" w:themeColor="accent3" w:themeTint="0000BF" w:val="single"/>
        <w:insideH w:color="2bb73d" w:space="0" w:sz="8" w:themeColor="accent3" w:themeTint="0000BF" w:val="single"/>
      </w:tblBorders>
    </w:tblPr>
    <w:tblStylePr w:type="firstRow">
      <w:pPr>
        <w:spacing w:after="0" w:before="0" w:line="240" w:lineRule="auto"/>
      </w:pPr>
      <w:rPr>
        <w:b w:val="1"/>
        <w:bCs w:val="1"/>
        <w:color w:val="ffffff" w:themeColor="background1"/>
      </w:rPr>
      <w:tblPr/>
      <w:tcPr>
        <w:tcBorders>
          <w:top w:color="2bb73d" w:space="0" w:sz="8" w:themeColor="accent3" w:themeTint="0000BF" w:val="single"/>
          <w:left w:color="2bb73d" w:space="0" w:sz="8" w:themeColor="accent3" w:themeTint="0000BF" w:val="single"/>
          <w:bottom w:color="2bb73d" w:space="0" w:sz="8" w:themeColor="accent3" w:themeTint="0000BF" w:val="single"/>
          <w:right w:color="2bb73d" w:space="0" w:sz="8" w:themeColor="accent3" w:themeTint="0000BF" w:val="single"/>
          <w:insideH w:space="0" w:sz="0" w:val="nil"/>
          <w:insideV w:space="0" w:sz="0" w:val="nil"/>
        </w:tcBorders>
        <w:shd w:color="auto" w:fill="196b24" w:themeFill="accent3" w:val="clear"/>
      </w:tcPr>
    </w:tblStylePr>
    <w:tblStylePr w:type="lastRow">
      <w:pPr>
        <w:spacing w:after="0" w:before="0" w:line="240" w:lineRule="auto"/>
      </w:pPr>
      <w:rPr>
        <w:b w:val="1"/>
        <w:bCs w:val="1"/>
      </w:rPr>
      <w:tblPr/>
      <w:tcPr>
        <w:tcBorders>
          <w:top w:color="2bb73d" w:space="0" w:sz="6" w:themeColor="accent3" w:themeTint="0000BF" w:val="double"/>
          <w:left w:color="2bb73d" w:space="0" w:sz="8" w:themeColor="accent3" w:themeTint="0000BF" w:val="single"/>
          <w:bottom w:color="2bb73d" w:space="0" w:sz="8" w:themeColor="accent3" w:themeTint="0000BF" w:val="single"/>
          <w:right w:color="2bb73d"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b3edba" w:themeFill="accent3" w:themeFillTint="00003F" w:val="clear"/>
      </w:tcPr>
    </w:tblStylePr>
    <w:tblStylePr w:type="band1Horz">
      <w:tblPr/>
      <w:tcPr>
        <w:tcBorders>
          <w:insideH w:space="0" w:sz="0" w:val="nil"/>
          <w:insideV w:space="0" w:sz="0" w:val="nil"/>
        </w:tcBorders>
        <w:shd w:color="auto" w:fill="b3edba"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9900EA"/>
    <w:pPr>
      <w:spacing w:after="0" w:line="240" w:lineRule="auto"/>
    </w:pPr>
    <w:rPr>
      <w:rFonts w:eastAsiaTheme="minorEastAsia"/>
      <w:kern w:val="0"/>
      <w:sz w:val="22"/>
      <w:szCs w:val="22"/>
      <w:lang w:val="en-US"/>
    </w:rPr>
    <w:tblPr>
      <w:tblStyleRowBandSize w:val="1"/>
      <w:tblStyleColBandSize w:val="1"/>
      <w:tblBorders>
        <w:top w:color="39bef1" w:space="0" w:sz="8" w:themeColor="accent4" w:themeTint="0000BF" w:val="single"/>
        <w:left w:color="39bef1" w:space="0" w:sz="8" w:themeColor="accent4" w:themeTint="0000BF" w:val="single"/>
        <w:bottom w:color="39bef1" w:space="0" w:sz="8" w:themeColor="accent4" w:themeTint="0000BF" w:val="single"/>
        <w:right w:color="39bef1" w:space="0" w:sz="8" w:themeColor="accent4" w:themeTint="0000BF" w:val="single"/>
        <w:insideH w:color="39bef1" w:space="0" w:sz="8" w:themeColor="accent4" w:themeTint="0000BF" w:val="single"/>
      </w:tblBorders>
    </w:tblPr>
    <w:tblStylePr w:type="firstRow">
      <w:pPr>
        <w:spacing w:after="0" w:before="0" w:line="240" w:lineRule="auto"/>
      </w:pPr>
      <w:rPr>
        <w:b w:val="1"/>
        <w:bCs w:val="1"/>
        <w:color w:val="ffffff" w:themeColor="background1"/>
      </w:rPr>
      <w:tblPr/>
      <w:tcPr>
        <w:tcBorders>
          <w:top w:color="39bef1" w:space="0" w:sz="8" w:themeColor="accent4" w:themeTint="0000BF" w:val="single"/>
          <w:left w:color="39bef1" w:space="0" w:sz="8" w:themeColor="accent4" w:themeTint="0000BF" w:val="single"/>
          <w:bottom w:color="39bef1" w:space="0" w:sz="8" w:themeColor="accent4" w:themeTint="0000BF" w:val="single"/>
          <w:right w:color="39bef1" w:space="0" w:sz="8" w:themeColor="accent4" w:themeTint="0000BF" w:val="single"/>
          <w:insideH w:space="0" w:sz="0" w:val="nil"/>
          <w:insideV w:space="0" w:sz="0" w:val="nil"/>
        </w:tcBorders>
        <w:shd w:color="auto" w:fill="0f9ed5" w:themeFill="accent4" w:val="clear"/>
      </w:tcPr>
    </w:tblStylePr>
    <w:tblStylePr w:type="lastRow">
      <w:pPr>
        <w:spacing w:after="0" w:before="0" w:line="240" w:lineRule="auto"/>
      </w:pPr>
      <w:rPr>
        <w:b w:val="1"/>
        <w:bCs w:val="1"/>
      </w:rPr>
      <w:tblPr/>
      <w:tcPr>
        <w:tcBorders>
          <w:top w:color="39bef1" w:space="0" w:sz="6" w:themeColor="accent4" w:themeTint="0000BF" w:val="double"/>
          <w:left w:color="39bef1" w:space="0" w:sz="8" w:themeColor="accent4" w:themeTint="0000BF" w:val="single"/>
          <w:bottom w:color="39bef1" w:space="0" w:sz="8" w:themeColor="accent4" w:themeTint="0000BF" w:val="single"/>
          <w:right w:color="39bef1"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bde9fa" w:themeFill="accent4" w:themeFillTint="00003F" w:val="clear"/>
      </w:tcPr>
    </w:tblStylePr>
    <w:tblStylePr w:type="band1Horz">
      <w:tblPr/>
      <w:tcPr>
        <w:tcBorders>
          <w:insideH w:space="0" w:sz="0" w:val="nil"/>
          <w:insideV w:space="0" w:sz="0" w:val="nil"/>
        </w:tcBorders>
        <w:shd w:color="auto" w:fill="bde9fa"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9900EA"/>
    <w:pPr>
      <w:spacing w:after="0" w:line="240" w:lineRule="auto"/>
    </w:pPr>
    <w:rPr>
      <w:rFonts w:eastAsiaTheme="minorEastAsia"/>
      <w:kern w:val="0"/>
      <w:sz w:val="22"/>
      <w:szCs w:val="22"/>
      <w:lang w:val="en-US"/>
    </w:rPr>
    <w:tblPr>
      <w:tblStyleRowBandSize w:val="1"/>
      <w:tblStyleColBandSize w:val="1"/>
      <w:tblBorders>
        <w:top w:color="ce49bf" w:space="0" w:sz="8" w:themeColor="accent5" w:themeTint="0000BF" w:val="single"/>
        <w:left w:color="ce49bf" w:space="0" w:sz="8" w:themeColor="accent5" w:themeTint="0000BF" w:val="single"/>
        <w:bottom w:color="ce49bf" w:space="0" w:sz="8" w:themeColor="accent5" w:themeTint="0000BF" w:val="single"/>
        <w:right w:color="ce49bf" w:space="0" w:sz="8" w:themeColor="accent5" w:themeTint="0000BF" w:val="single"/>
        <w:insideH w:color="ce49bf" w:space="0" w:sz="8" w:themeColor="accent5" w:themeTint="0000BF" w:val="single"/>
      </w:tblBorders>
    </w:tblPr>
    <w:tblStylePr w:type="firstRow">
      <w:pPr>
        <w:spacing w:after="0" w:before="0" w:line="240" w:lineRule="auto"/>
      </w:pPr>
      <w:rPr>
        <w:b w:val="1"/>
        <w:bCs w:val="1"/>
        <w:color w:val="ffffff" w:themeColor="background1"/>
      </w:rPr>
      <w:tblPr/>
      <w:tcPr>
        <w:tcBorders>
          <w:top w:color="ce49bf" w:space="0" w:sz="8" w:themeColor="accent5" w:themeTint="0000BF" w:val="single"/>
          <w:left w:color="ce49bf" w:space="0" w:sz="8" w:themeColor="accent5" w:themeTint="0000BF" w:val="single"/>
          <w:bottom w:color="ce49bf" w:space="0" w:sz="8" w:themeColor="accent5" w:themeTint="0000BF" w:val="single"/>
          <w:right w:color="ce49bf" w:space="0" w:sz="8" w:themeColor="accent5" w:themeTint="0000BF" w:val="single"/>
          <w:insideH w:space="0" w:sz="0" w:val="nil"/>
          <w:insideV w:space="0" w:sz="0" w:val="nil"/>
        </w:tcBorders>
        <w:shd w:color="auto" w:fill="a02b93" w:themeFill="accent5" w:val="clear"/>
      </w:tcPr>
    </w:tblStylePr>
    <w:tblStylePr w:type="lastRow">
      <w:pPr>
        <w:spacing w:after="0" w:before="0" w:line="240" w:lineRule="auto"/>
      </w:pPr>
      <w:rPr>
        <w:b w:val="1"/>
        <w:bCs w:val="1"/>
      </w:rPr>
      <w:tblPr/>
      <w:tcPr>
        <w:tcBorders>
          <w:top w:color="ce49bf" w:space="0" w:sz="6" w:themeColor="accent5" w:themeTint="0000BF" w:val="double"/>
          <w:left w:color="ce49bf" w:space="0" w:sz="8" w:themeColor="accent5" w:themeTint="0000BF" w:val="single"/>
          <w:bottom w:color="ce49bf" w:space="0" w:sz="8" w:themeColor="accent5" w:themeTint="0000BF" w:val="single"/>
          <w:right w:color="ce49bf"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c3e9" w:themeFill="accent5" w:themeFillTint="00003F" w:val="clear"/>
      </w:tcPr>
    </w:tblStylePr>
    <w:tblStylePr w:type="band1Horz">
      <w:tblPr/>
      <w:tcPr>
        <w:tcBorders>
          <w:insideH w:space="0" w:sz="0" w:val="nil"/>
          <w:insideV w:space="0" w:sz="0" w:val="nil"/>
        </w:tcBorders>
        <w:shd w:color="auto" w:fill="efc3e9"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9900EA"/>
    <w:pPr>
      <w:spacing w:after="0" w:line="240" w:lineRule="auto"/>
    </w:pPr>
    <w:rPr>
      <w:rFonts w:eastAsiaTheme="minorEastAsia"/>
      <w:kern w:val="0"/>
      <w:sz w:val="22"/>
      <w:szCs w:val="22"/>
      <w:lang w:val="en-US"/>
    </w:rPr>
    <w:tblPr>
      <w:tblStyleRowBandSize w:val="1"/>
      <w:tblStyleColBandSize w:val="1"/>
      <w:tblBorders>
        <w:top w:color="71cf50" w:space="0" w:sz="8" w:themeColor="accent6" w:themeTint="0000BF" w:val="single"/>
        <w:left w:color="71cf50" w:space="0" w:sz="8" w:themeColor="accent6" w:themeTint="0000BF" w:val="single"/>
        <w:bottom w:color="71cf50" w:space="0" w:sz="8" w:themeColor="accent6" w:themeTint="0000BF" w:val="single"/>
        <w:right w:color="71cf50" w:space="0" w:sz="8" w:themeColor="accent6" w:themeTint="0000BF" w:val="single"/>
        <w:insideH w:color="71cf50" w:space="0" w:sz="8" w:themeColor="accent6" w:themeTint="0000BF" w:val="single"/>
      </w:tblBorders>
    </w:tblPr>
    <w:tblStylePr w:type="firstRow">
      <w:pPr>
        <w:spacing w:after="0" w:before="0" w:line="240" w:lineRule="auto"/>
      </w:pPr>
      <w:rPr>
        <w:b w:val="1"/>
        <w:bCs w:val="1"/>
        <w:color w:val="ffffff" w:themeColor="background1"/>
      </w:rPr>
      <w:tblPr/>
      <w:tcPr>
        <w:tcBorders>
          <w:top w:color="71cf50" w:space="0" w:sz="8" w:themeColor="accent6" w:themeTint="0000BF" w:val="single"/>
          <w:left w:color="71cf50" w:space="0" w:sz="8" w:themeColor="accent6" w:themeTint="0000BF" w:val="single"/>
          <w:bottom w:color="71cf50" w:space="0" w:sz="8" w:themeColor="accent6" w:themeTint="0000BF" w:val="single"/>
          <w:right w:color="71cf50" w:space="0" w:sz="8" w:themeColor="accent6" w:themeTint="0000BF" w:val="single"/>
          <w:insideH w:space="0" w:sz="0" w:val="nil"/>
          <w:insideV w:space="0" w:sz="0" w:val="nil"/>
        </w:tcBorders>
        <w:shd w:color="auto" w:fill="4ea72e" w:themeFill="accent6" w:val="clear"/>
      </w:tcPr>
    </w:tblStylePr>
    <w:tblStylePr w:type="lastRow">
      <w:pPr>
        <w:spacing w:after="0" w:before="0" w:line="240" w:lineRule="auto"/>
      </w:pPr>
      <w:rPr>
        <w:b w:val="1"/>
        <w:bCs w:val="1"/>
      </w:rPr>
      <w:tblPr/>
      <w:tcPr>
        <w:tcBorders>
          <w:top w:color="71cf50" w:space="0" w:sz="6" w:themeColor="accent6" w:themeTint="0000BF" w:val="double"/>
          <w:left w:color="71cf50" w:space="0" w:sz="8" w:themeColor="accent6" w:themeTint="0000BF" w:val="single"/>
          <w:bottom w:color="71cf50" w:space="0" w:sz="8" w:themeColor="accent6" w:themeTint="0000BF" w:val="single"/>
          <w:right w:color="71cf50"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0efc5" w:themeFill="accent6" w:themeFillTint="00003F" w:val="clear"/>
      </w:tcPr>
    </w:tblStylePr>
    <w:tblStylePr w:type="band1Horz">
      <w:tblPr/>
      <w:tcPr>
        <w:tcBorders>
          <w:insideH w:space="0" w:sz="0" w:val="nil"/>
          <w:insideV w:space="0" w:sz="0" w:val="nil"/>
        </w:tcBorders>
        <w:shd w:color="auto" w:fill="d0efc5"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9900EA"/>
    <w:pPr>
      <w:spacing w:after="0" w:line="240" w:lineRule="auto"/>
    </w:pPr>
    <w:rPr>
      <w:rFonts w:eastAsiaTheme="minorEastAsia"/>
      <w:kern w:val="0"/>
      <w:sz w:val="22"/>
      <w:szCs w:val="22"/>
      <w:lang w:val="en-US"/>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9900EA"/>
    <w:pPr>
      <w:spacing w:after="0" w:line="240" w:lineRule="auto"/>
    </w:pPr>
    <w:rPr>
      <w:rFonts w:eastAsiaTheme="minorEastAsia"/>
      <w:kern w:val="0"/>
      <w:sz w:val="22"/>
      <w:szCs w:val="22"/>
      <w:lang w:val="en-US"/>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156082"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156082"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156082"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9900EA"/>
    <w:pPr>
      <w:spacing w:after="0" w:line="240" w:lineRule="auto"/>
    </w:pPr>
    <w:rPr>
      <w:rFonts w:eastAsiaTheme="minorEastAsia"/>
      <w:kern w:val="0"/>
      <w:sz w:val="22"/>
      <w:szCs w:val="22"/>
      <w:lang w:val="en-US"/>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e97132"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e97132"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e97132"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9900EA"/>
    <w:pPr>
      <w:spacing w:after="0" w:line="240" w:lineRule="auto"/>
    </w:pPr>
    <w:rPr>
      <w:rFonts w:eastAsiaTheme="minorEastAsia"/>
      <w:kern w:val="0"/>
      <w:sz w:val="22"/>
      <w:szCs w:val="22"/>
      <w:lang w:val="en-US"/>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196b24"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196b24"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196b24"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9900EA"/>
    <w:pPr>
      <w:spacing w:after="0" w:line="240" w:lineRule="auto"/>
    </w:pPr>
    <w:rPr>
      <w:rFonts w:eastAsiaTheme="minorEastAsia"/>
      <w:kern w:val="0"/>
      <w:sz w:val="22"/>
      <w:szCs w:val="22"/>
      <w:lang w:val="en-US"/>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f9ed5"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f9ed5"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f9ed5"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9900EA"/>
    <w:pPr>
      <w:spacing w:after="0" w:line="240" w:lineRule="auto"/>
    </w:pPr>
    <w:rPr>
      <w:rFonts w:eastAsiaTheme="minorEastAsia"/>
      <w:kern w:val="0"/>
      <w:sz w:val="22"/>
      <w:szCs w:val="22"/>
      <w:lang w:val="en-US"/>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a02b93"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a02b93"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a02b93"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9900EA"/>
    <w:pPr>
      <w:spacing w:after="0" w:line="240" w:lineRule="auto"/>
    </w:pPr>
    <w:rPr>
      <w:rFonts w:eastAsiaTheme="minorEastAsia"/>
      <w:kern w:val="0"/>
      <w:sz w:val="22"/>
      <w:szCs w:val="22"/>
      <w:lang w:val="en-US"/>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ea72e"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ea72e"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ea72e"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9900EA"/>
    <w:pPr>
      <w:spacing w:after="0" w:line="240" w:lineRule="auto"/>
    </w:pPr>
    <w:rPr>
      <w:rFonts w:eastAsiaTheme="minorEastAsia"/>
      <w:color w:val="000000" w:themeColor="text1"/>
      <w:kern w:val="0"/>
      <w:sz w:val="22"/>
      <w:szCs w:val="22"/>
      <w:lang w:val="en-US"/>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0e2841"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9900EA"/>
    <w:pPr>
      <w:spacing w:after="0" w:line="240" w:lineRule="auto"/>
    </w:pPr>
    <w:rPr>
      <w:rFonts w:eastAsiaTheme="minorEastAsia"/>
      <w:color w:val="000000" w:themeColor="text1"/>
      <w:kern w:val="0"/>
      <w:sz w:val="22"/>
      <w:szCs w:val="22"/>
      <w:lang w:val="en-US"/>
    </w:rPr>
    <w:tblPr>
      <w:tblStyleRowBandSize w:val="1"/>
      <w:tblStyleColBandSize w:val="1"/>
      <w:tblBorders>
        <w:top w:color="156082" w:space="0" w:sz="8" w:themeColor="accent1" w:val="single"/>
        <w:bottom w:color="156082" w:space="0" w:sz="8" w:themeColor="accent1" w:val="single"/>
      </w:tblBorders>
    </w:tblPr>
    <w:tblStylePr w:type="firstRow">
      <w:rPr>
        <w:rFonts w:asciiTheme="majorHAnsi" w:cstheme="majorBidi" w:eastAsiaTheme="majorEastAsia" w:hAnsiTheme="majorHAnsi"/>
      </w:rPr>
      <w:tblPr/>
      <w:tcPr>
        <w:tcBorders>
          <w:top w:space="0" w:sz="0" w:val="nil"/>
          <w:bottom w:color="156082" w:space="0" w:sz="8" w:themeColor="accent1" w:val="single"/>
        </w:tcBorders>
      </w:tcPr>
    </w:tblStylePr>
    <w:tblStylePr w:type="lastRow">
      <w:rPr>
        <w:b w:val="1"/>
        <w:bCs w:val="1"/>
        <w:color w:val="0e2841" w:themeColor="text2"/>
      </w:rPr>
      <w:tblPr/>
      <w:tcPr>
        <w:tcBorders>
          <w:top w:color="156082" w:space="0" w:sz="8" w:themeColor="accent1" w:val="single"/>
          <w:bottom w:color="156082" w:space="0" w:sz="8" w:themeColor="accent1" w:val="single"/>
        </w:tcBorders>
      </w:tcPr>
    </w:tblStylePr>
    <w:tblStylePr w:type="firstCol">
      <w:rPr>
        <w:b w:val="1"/>
        <w:bCs w:val="1"/>
      </w:rPr>
    </w:tblStylePr>
    <w:tblStylePr w:type="lastCol">
      <w:rPr>
        <w:b w:val="1"/>
        <w:bCs w:val="1"/>
      </w:rPr>
      <w:tblPr/>
      <w:tcPr>
        <w:tcBorders>
          <w:top w:color="156082" w:space="0" w:sz="8" w:themeColor="accent1" w:val="single"/>
          <w:bottom w:color="156082" w:space="0" w:sz="8" w:themeColor="accent1" w:val="single"/>
        </w:tcBorders>
      </w:tcPr>
    </w:tblStylePr>
    <w:tblStylePr w:type="band1Vert">
      <w:tblPr/>
      <w:tcPr>
        <w:shd w:color="auto" w:fill="b2def2" w:themeFill="accent1" w:themeFillTint="00003F" w:val="clear"/>
      </w:tcPr>
    </w:tblStylePr>
    <w:tblStylePr w:type="band1Horz">
      <w:tblPr/>
      <w:tcPr>
        <w:shd w:color="auto" w:fill="b2def2" w:themeFill="accent1" w:themeFillTint="00003F" w:val="clear"/>
      </w:tcPr>
    </w:tblStylePr>
  </w:style>
  <w:style w:type="table" w:styleId="MediumList1-Accent2">
    <w:name w:val="Medium List 1 Accent 2"/>
    <w:basedOn w:val="TableNormal"/>
    <w:uiPriority w:val="65"/>
    <w:rsid w:val="009900EA"/>
    <w:pPr>
      <w:spacing w:after="0" w:line="240" w:lineRule="auto"/>
    </w:pPr>
    <w:rPr>
      <w:rFonts w:eastAsiaTheme="minorEastAsia"/>
      <w:color w:val="000000" w:themeColor="text1"/>
      <w:kern w:val="0"/>
      <w:sz w:val="22"/>
      <w:szCs w:val="22"/>
      <w:lang w:val="en-US"/>
    </w:rPr>
    <w:tblPr>
      <w:tblStyleRowBandSize w:val="1"/>
      <w:tblStyleColBandSize w:val="1"/>
      <w:tblBorders>
        <w:top w:color="e97132" w:space="0" w:sz="8" w:themeColor="accent2" w:val="single"/>
        <w:bottom w:color="e97132" w:space="0" w:sz="8" w:themeColor="accent2" w:val="single"/>
      </w:tblBorders>
    </w:tblPr>
    <w:tblStylePr w:type="firstRow">
      <w:rPr>
        <w:rFonts w:asciiTheme="majorHAnsi" w:cstheme="majorBidi" w:eastAsiaTheme="majorEastAsia" w:hAnsiTheme="majorHAnsi"/>
      </w:rPr>
      <w:tblPr/>
      <w:tcPr>
        <w:tcBorders>
          <w:top w:space="0" w:sz="0" w:val="nil"/>
          <w:bottom w:color="e97132" w:space="0" w:sz="8" w:themeColor="accent2" w:val="single"/>
        </w:tcBorders>
      </w:tcPr>
    </w:tblStylePr>
    <w:tblStylePr w:type="lastRow">
      <w:rPr>
        <w:b w:val="1"/>
        <w:bCs w:val="1"/>
        <w:color w:val="0e2841" w:themeColor="text2"/>
      </w:rPr>
      <w:tblPr/>
      <w:tcPr>
        <w:tcBorders>
          <w:top w:color="e97132" w:space="0" w:sz="8" w:themeColor="accent2" w:val="single"/>
          <w:bottom w:color="e97132" w:space="0" w:sz="8" w:themeColor="accent2" w:val="single"/>
        </w:tcBorders>
      </w:tcPr>
    </w:tblStylePr>
    <w:tblStylePr w:type="firstCol">
      <w:rPr>
        <w:b w:val="1"/>
        <w:bCs w:val="1"/>
      </w:rPr>
    </w:tblStylePr>
    <w:tblStylePr w:type="lastCol">
      <w:rPr>
        <w:b w:val="1"/>
        <w:bCs w:val="1"/>
      </w:rPr>
      <w:tblPr/>
      <w:tcPr>
        <w:tcBorders>
          <w:top w:color="e97132" w:space="0" w:sz="8" w:themeColor="accent2" w:val="single"/>
          <w:bottom w:color="e97132" w:space="0" w:sz="8" w:themeColor="accent2" w:val="single"/>
        </w:tcBorders>
      </w:tcPr>
    </w:tblStylePr>
    <w:tblStylePr w:type="band1Vert">
      <w:tblPr/>
      <w:tcPr>
        <w:shd w:color="auto" w:fill="f9dbcc" w:themeFill="accent2" w:themeFillTint="00003F" w:val="clear"/>
      </w:tcPr>
    </w:tblStylePr>
    <w:tblStylePr w:type="band1Horz">
      <w:tblPr/>
      <w:tcPr>
        <w:shd w:color="auto" w:fill="f9dbcc" w:themeFill="accent2" w:themeFillTint="00003F" w:val="clear"/>
      </w:tcPr>
    </w:tblStylePr>
  </w:style>
  <w:style w:type="table" w:styleId="MediumList1-Accent3">
    <w:name w:val="Medium List 1 Accent 3"/>
    <w:basedOn w:val="TableNormal"/>
    <w:uiPriority w:val="65"/>
    <w:rsid w:val="009900EA"/>
    <w:pPr>
      <w:spacing w:after="0" w:line="240" w:lineRule="auto"/>
    </w:pPr>
    <w:rPr>
      <w:rFonts w:eastAsiaTheme="minorEastAsia"/>
      <w:color w:val="000000" w:themeColor="text1"/>
      <w:kern w:val="0"/>
      <w:sz w:val="22"/>
      <w:szCs w:val="22"/>
      <w:lang w:val="en-US"/>
    </w:rPr>
    <w:tblPr>
      <w:tblStyleRowBandSize w:val="1"/>
      <w:tblStyleColBandSize w:val="1"/>
      <w:tblBorders>
        <w:top w:color="196b24" w:space="0" w:sz="8" w:themeColor="accent3" w:val="single"/>
        <w:bottom w:color="196b24" w:space="0" w:sz="8" w:themeColor="accent3" w:val="single"/>
      </w:tblBorders>
    </w:tblPr>
    <w:tblStylePr w:type="firstRow">
      <w:rPr>
        <w:rFonts w:asciiTheme="majorHAnsi" w:cstheme="majorBidi" w:eastAsiaTheme="majorEastAsia" w:hAnsiTheme="majorHAnsi"/>
      </w:rPr>
      <w:tblPr/>
      <w:tcPr>
        <w:tcBorders>
          <w:top w:space="0" w:sz="0" w:val="nil"/>
          <w:bottom w:color="196b24" w:space="0" w:sz="8" w:themeColor="accent3" w:val="single"/>
        </w:tcBorders>
      </w:tcPr>
    </w:tblStylePr>
    <w:tblStylePr w:type="lastRow">
      <w:rPr>
        <w:b w:val="1"/>
        <w:bCs w:val="1"/>
        <w:color w:val="0e2841" w:themeColor="text2"/>
      </w:rPr>
      <w:tblPr/>
      <w:tcPr>
        <w:tcBorders>
          <w:top w:color="196b24" w:space="0" w:sz="8" w:themeColor="accent3" w:val="single"/>
          <w:bottom w:color="196b24" w:space="0" w:sz="8" w:themeColor="accent3" w:val="single"/>
        </w:tcBorders>
      </w:tcPr>
    </w:tblStylePr>
    <w:tblStylePr w:type="firstCol">
      <w:rPr>
        <w:b w:val="1"/>
        <w:bCs w:val="1"/>
      </w:rPr>
    </w:tblStylePr>
    <w:tblStylePr w:type="lastCol">
      <w:rPr>
        <w:b w:val="1"/>
        <w:bCs w:val="1"/>
      </w:rPr>
      <w:tblPr/>
      <w:tcPr>
        <w:tcBorders>
          <w:top w:color="196b24" w:space="0" w:sz="8" w:themeColor="accent3" w:val="single"/>
          <w:bottom w:color="196b24" w:space="0" w:sz="8" w:themeColor="accent3" w:val="single"/>
        </w:tcBorders>
      </w:tcPr>
    </w:tblStylePr>
    <w:tblStylePr w:type="band1Vert">
      <w:tblPr/>
      <w:tcPr>
        <w:shd w:color="auto" w:fill="b3edba" w:themeFill="accent3" w:themeFillTint="00003F" w:val="clear"/>
      </w:tcPr>
    </w:tblStylePr>
    <w:tblStylePr w:type="band1Horz">
      <w:tblPr/>
      <w:tcPr>
        <w:shd w:color="auto" w:fill="b3edba" w:themeFill="accent3" w:themeFillTint="00003F" w:val="clear"/>
      </w:tcPr>
    </w:tblStylePr>
  </w:style>
  <w:style w:type="table" w:styleId="MediumList1-Accent4">
    <w:name w:val="Medium List 1 Accent 4"/>
    <w:basedOn w:val="TableNormal"/>
    <w:uiPriority w:val="65"/>
    <w:rsid w:val="009900EA"/>
    <w:pPr>
      <w:spacing w:after="0" w:line="240" w:lineRule="auto"/>
    </w:pPr>
    <w:rPr>
      <w:rFonts w:eastAsiaTheme="minorEastAsia"/>
      <w:color w:val="000000" w:themeColor="text1"/>
      <w:kern w:val="0"/>
      <w:sz w:val="22"/>
      <w:szCs w:val="22"/>
      <w:lang w:val="en-US"/>
    </w:rPr>
    <w:tblPr>
      <w:tblStyleRowBandSize w:val="1"/>
      <w:tblStyleColBandSize w:val="1"/>
      <w:tblBorders>
        <w:top w:color="0f9ed5" w:space="0" w:sz="8" w:themeColor="accent4" w:val="single"/>
        <w:bottom w:color="0f9ed5" w:space="0" w:sz="8" w:themeColor="accent4" w:val="single"/>
      </w:tblBorders>
    </w:tblPr>
    <w:tblStylePr w:type="firstRow">
      <w:rPr>
        <w:rFonts w:asciiTheme="majorHAnsi" w:cstheme="majorBidi" w:eastAsiaTheme="majorEastAsia" w:hAnsiTheme="majorHAnsi"/>
      </w:rPr>
      <w:tblPr/>
      <w:tcPr>
        <w:tcBorders>
          <w:top w:space="0" w:sz="0" w:val="nil"/>
          <w:bottom w:color="0f9ed5" w:space="0" w:sz="8" w:themeColor="accent4" w:val="single"/>
        </w:tcBorders>
      </w:tcPr>
    </w:tblStylePr>
    <w:tblStylePr w:type="lastRow">
      <w:rPr>
        <w:b w:val="1"/>
        <w:bCs w:val="1"/>
        <w:color w:val="0e2841" w:themeColor="text2"/>
      </w:rPr>
      <w:tblPr/>
      <w:tcPr>
        <w:tcBorders>
          <w:top w:color="0f9ed5" w:space="0" w:sz="8" w:themeColor="accent4" w:val="single"/>
          <w:bottom w:color="0f9ed5" w:space="0" w:sz="8" w:themeColor="accent4" w:val="single"/>
        </w:tcBorders>
      </w:tcPr>
    </w:tblStylePr>
    <w:tblStylePr w:type="firstCol">
      <w:rPr>
        <w:b w:val="1"/>
        <w:bCs w:val="1"/>
      </w:rPr>
    </w:tblStylePr>
    <w:tblStylePr w:type="lastCol">
      <w:rPr>
        <w:b w:val="1"/>
        <w:bCs w:val="1"/>
      </w:rPr>
      <w:tblPr/>
      <w:tcPr>
        <w:tcBorders>
          <w:top w:color="0f9ed5" w:space="0" w:sz="8" w:themeColor="accent4" w:val="single"/>
          <w:bottom w:color="0f9ed5" w:space="0" w:sz="8" w:themeColor="accent4" w:val="single"/>
        </w:tcBorders>
      </w:tcPr>
    </w:tblStylePr>
    <w:tblStylePr w:type="band1Vert">
      <w:tblPr/>
      <w:tcPr>
        <w:shd w:color="auto" w:fill="bde9fa" w:themeFill="accent4" w:themeFillTint="00003F" w:val="clear"/>
      </w:tcPr>
    </w:tblStylePr>
    <w:tblStylePr w:type="band1Horz">
      <w:tblPr/>
      <w:tcPr>
        <w:shd w:color="auto" w:fill="bde9fa" w:themeFill="accent4" w:themeFillTint="00003F" w:val="clear"/>
      </w:tcPr>
    </w:tblStylePr>
  </w:style>
  <w:style w:type="table" w:styleId="MediumList1-Accent5">
    <w:name w:val="Medium List 1 Accent 5"/>
    <w:basedOn w:val="TableNormal"/>
    <w:uiPriority w:val="65"/>
    <w:rsid w:val="009900EA"/>
    <w:pPr>
      <w:spacing w:after="0" w:line="240" w:lineRule="auto"/>
    </w:pPr>
    <w:rPr>
      <w:rFonts w:eastAsiaTheme="minorEastAsia"/>
      <w:color w:val="000000" w:themeColor="text1"/>
      <w:kern w:val="0"/>
      <w:sz w:val="22"/>
      <w:szCs w:val="22"/>
      <w:lang w:val="en-US"/>
    </w:rPr>
    <w:tblPr>
      <w:tblStyleRowBandSize w:val="1"/>
      <w:tblStyleColBandSize w:val="1"/>
      <w:tblBorders>
        <w:top w:color="a02b93" w:space="0" w:sz="8" w:themeColor="accent5" w:val="single"/>
        <w:bottom w:color="a02b93" w:space="0" w:sz="8" w:themeColor="accent5" w:val="single"/>
      </w:tblBorders>
    </w:tblPr>
    <w:tblStylePr w:type="firstRow">
      <w:rPr>
        <w:rFonts w:asciiTheme="majorHAnsi" w:cstheme="majorBidi" w:eastAsiaTheme="majorEastAsia" w:hAnsiTheme="majorHAnsi"/>
      </w:rPr>
      <w:tblPr/>
      <w:tcPr>
        <w:tcBorders>
          <w:top w:space="0" w:sz="0" w:val="nil"/>
          <w:bottom w:color="a02b93" w:space="0" w:sz="8" w:themeColor="accent5" w:val="single"/>
        </w:tcBorders>
      </w:tcPr>
    </w:tblStylePr>
    <w:tblStylePr w:type="lastRow">
      <w:rPr>
        <w:b w:val="1"/>
        <w:bCs w:val="1"/>
        <w:color w:val="0e2841" w:themeColor="text2"/>
      </w:rPr>
      <w:tblPr/>
      <w:tcPr>
        <w:tcBorders>
          <w:top w:color="a02b93" w:space="0" w:sz="8" w:themeColor="accent5" w:val="single"/>
          <w:bottom w:color="a02b93" w:space="0" w:sz="8" w:themeColor="accent5" w:val="single"/>
        </w:tcBorders>
      </w:tcPr>
    </w:tblStylePr>
    <w:tblStylePr w:type="firstCol">
      <w:rPr>
        <w:b w:val="1"/>
        <w:bCs w:val="1"/>
      </w:rPr>
    </w:tblStylePr>
    <w:tblStylePr w:type="lastCol">
      <w:rPr>
        <w:b w:val="1"/>
        <w:bCs w:val="1"/>
      </w:rPr>
      <w:tblPr/>
      <w:tcPr>
        <w:tcBorders>
          <w:top w:color="a02b93" w:space="0" w:sz="8" w:themeColor="accent5" w:val="single"/>
          <w:bottom w:color="a02b93" w:space="0" w:sz="8" w:themeColor="accent5" w:val="single"/>
        </w:tcBorders>
      </w:tcPr>
    </w:tblStylePr>
    <w:tblStylePr w:type="band1Vert">
      <w:tblPr/>
      <w:tcPr>
        <w:shd w:color="auto" w:fill="efc3e9" w:themeFill="accent5" w:themeFillTint="00003F" w:val="clear"/>
      </w:tcPr>
    </w:tblStylePr>
    <w:tblStylePr w:type="band1Horz">
      <w:tblPr/>
      <w:tcPr>
        <w:shd w:color="auto" w:fill="efc3e9" w:themeFill="accent5" w:themeFillTint="00003F" w:val="clear"/>
      </w:tcPr>
    </w:tblStylePr>
  </w:style>
  <w:style w:type="table" w:styleId="MediumList1-Accent6">
    <w:name w:val="Medium List 1 Accent 6"/>
    <w:basedOn w:val="TableNormal"/>
    <w:uiPriority w:val="65"/>
    <w:rsid w:val="009900EA"/>
    <w:pPr>
      <w:spacing w:after="0" w:line="240" w:lineRule="auto"/>
    </w:pPr>
    <w:rPr>
      <w:rFonts w:eastAsiaTheme="minorEastAsia"/>
      <w:color w:val="000000" w:themeColor="text1"/>
      <w:kern w:val="0"/>
      <w:sz w:val="22"/>
      <w:szCs w:val="22"/>
      <w:lang w:val="en-US"/>
    </w:rPr>
    <w:tblPr>
      <w:tblStyleRowBandSize w:val="1"/>
      <w:tblStyleColBandSize w:val="1"/>
      <w:tblBorders>
        <w:top w:color="4ea72e" w:space="0" w:sz="8" w:themeColor="accent6" w:val="single"/>
        <w:bottom w:color="4ea72e" w:space="0" w:sz="8" w:themeColor="accent6" w:val="single"/>
      </w:tblBorders>
    </w:tblPr>
    <w:tblStylePr w:type="firstRow">
      <w:rPr>
        <w:rFonts w:asciiTheme="majorHAnsi" w:cstheme="majorBidi" w:eastAsiaTheme="majorEastAsia" w:hAnsiTheme="majorHAnsi"/>
      </w:rPr>
      <w:tblPr/>
      <w:tcPr>
        <w:tcBorders>
          <w:top w:space="0" w:sz="0" w:val="nil"/>
          <w:bottom w:color="4ea72e" w:space="0" w:sz="8" w:themeColor="accent6" w:val="single"/>
        </w:tcBorders>
      </w:tcPr>
    </w:tblStylePr>
    <w:tblStylePr w:type="lastRow">
      <w:rPr>
        <w:b w:val="1"/>
        <w:bCs w:val="1"/>
        <w:color w:val="0e2841" w:themeColor="text2"/>
      </w:rPr>
      <w:tblPr/>
      <w:tcPr>
        <w:tcBorders>
          <w:top w:color="4ea72e" w:space="0" w:sz="8" w:themeColor="accent6" w:val="single"/>
          <w:bottom w:color="4ea72e" w:space="0" w:sz="8" w:themeColor="accent6" w:val="single"/>
        </w:tcBorders>
      </w:tcPr>
    </w:tblStylePr>
    <w:tblStylePr w:type="firstCol">
      <w:rPr>
        <w:b w:val="1"/>
        <w:bCs w:val="1"/>
      </w:rPr>
    </w:tblStylePr>
    <w:tblStylePr w:type="lastCol">
      <w:rPr>
        <w:b w:val="1"/>
        <w:bCs w:val="1"/>
      </w:rPr>
      <w:tblPr/>
      <w:tcPr>
        <w:tcBorders>
          <w:top w:color="4ea72e" w:space="0" w:sz="8" w:themeColor="accent6" w:val="single"/>
          <w:bottom w:color="4ea72e" w:space="0" w:sz="8" w:themeColor="accent6" w:val="single"/>
        </w:tcBorders>
      </w:tcPr>
    </w:tblStylePr>
    <w:tblStylePr w:type="band1Vert">
      <w:tblPr/>
      <w:tcPr>
        <w:shd w:color="auto" w:fill="d0efc5" w:themeFill="accent6" w:themeFillTint="00003F" w:val="clear"/>
      </w:tcPr>
    </w:tblStylePr>
    <w:tblStylePr w:type="band1Horz">
      <w:tblPr/>
      <w:tcPr>
        <w:shd w:color="auto" w:fill="d0efc5" w:themeFill="accent6" w:themeFillTint="00003F" w:val="clear"/>
      </w:tcPr>
    </w:tblStylePr>
  </w:style>
  <w:style w:type="table" w:styleId="MediumList2">
    <w:name w:val="Medium List 2"/>
    <w:basedOn w:val="TableNormal"/>
    <w:uiPriority w:val="66"/>
    <w:rsid w:val="009900EA"/>
    <w:pPr>
      <w:spacing w:after="0" w:line="240" w:lineRule="auto"/>
    </w:pPr>
    <w:rPr>
      <w:rFonts w:asciiTheme="majorHAnsi" w:cstheme="majorBidi" w:eastAsiaTheme="majorEastAsia" w:hAnsiTheme="majorHAnsi"/>
      <w:color w:val="000000" w:themeColor="text1"/>
      <w:kern w:val="0"/>
      <w:sz w:val="22"/>
      <w:szCs w:val="22"/>
      <w:lang w:val="en-US"/>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9900EA"/>
    <w:pPr>
      <w:spacing w:after="0" w:line="240" w:lineRule="auto"/>
    </w:pPr>
    <w:rPr>
      <w:rFonts w:asciiTheme="majorHAnsi" w:cstheme="majorBidi" w:eastAsiaTheme="majorEastAsia" w:hAnsiTheme="majorHAnsi"/>
      <w:color w:val="000000" w:themeColor="text1"/>
      <w:kern w:val="0"/>
      <w:sz w:val="22"/>
      <w:szCs w:val="22"/>
      <w:lang w:val="en-US"/>
    </w:rPr>
    <w:tblPr>
      <w:tblStyleRowBandSize w:val="1"/>
      <w:tblStyleColBandSize w:val="1"/>
      <w:tblBorders>
        <w:top w:color="156082" w:space="0" w:sz="8" w:themeColor="accent1" w:val="single"/>
        <w:left w:color="156082" w:space="0" w:sz="8" w:themeColor="accent1" w:val="single"/>
        <w:bottom w:color="156082" w:space="0" w:sz="8" w:themeColor="accent1" w:val="single"/>
        <w:right w:color="156082" w:space="0" w:sz="8" w:themeColor="accent1" w:val="single"/>
      </w:tblBorders>
    </w:tblPr>
    <w:tblStylePr w:type="firstRow">
      <w:rPr>
        <w:sz w:val="24"/>
        <w:szCs w:val="24"/>
      </w:rPr>
      <w:tblPr/>
      <w:tcPr>
        <w:tcBorders>
          <w:top w:space="0" w:sz="0" w:val="nil"/>
          <w:left w:space="0" w:sz="0" w:val="nil"/>
          <w:bottom w:color="156082"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156082"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156082"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156082"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b2def2" w:themeFill="accent1" w:themeFillTint="00003F" w:val="clear"/>
      </w:tcPr>
    </w:tblStylePr>
    <w:tblStylePr w:type="band1Horz">
      <w:tblPr/>
      <w:tcPr>
        <w:tcBorders>
          <w:top w:space="0" w:sz="0" w:val="nil"/>
          <w:bottom w:space="0" w:sz="0" w:val="nil"/>
          <w:insideH w:space="0" w:sz="0" w:val="nil"/>
          <w:insideV w:space="0" w:sz="0" w:val="nil"/>
        </w:tcBorders>
        <w:shd w:color="auto" w:fill="b2def2"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9900EA"/>
    <w:pPr>
      <w:spacing w:after="0" w:line="240" w:lineRule="auto"/>
    </w:pPr>
    <w:rPr>
      <w:rFonts w:asciiTheme="majorHAnsi" w:cstheme="majorBidi" w:eastAsiaTheme="majorEastAsia" w:hAnsiTheme="majorHAnsi"/>
      <w:color w:val="000000" w:themeColor="text1"/>
      <w:kern w:val="0"/>
      <w:sz w:val="22"/>
      <w:szCs w:val="22"/>
      <w:lang w:val="en-US"/>
    </w:rPr>
    <w:tblPr>
      <w:tblStyleRowBandSize w:val="1"/>
      <w:tblStyleColBandSize w:val="1"/>
      <w:tblBorders>
        <w:top w:color="e97132" w:space="0" w:sz="8" w:themeColor="accent2" w:val="single"/>
        <w:left w:color="e97132" w:space="0" w:sz="8" w:themeColor="accent2" w:val="single"/>
        <w:bottom w:color="e97132" w:space="0" w:sz="8" w:themeColor="accent2" w:val="single"/>
        <w:right w:color="e97132" w:space="0" w:sz="8" w:themeColor="accent2" w:val="single"/>
      </w:tblBorders>
    </w:tblPr>
    <w:tblStylePr w:type="firstRow">
      <w:rPr>
        <w:sz w:val="24"/>
        <w:szCs w:val="24"/>
      </w:rPr>
      <w:tblPr/>
      <w:tcPr>
        <w:tcBorders>
          <w:top w:space="0" w:sz="0" w:val="nil"/>
          <w:left w:space="0" w:sz="0" w:val="nil"/>
          <w:bottom w:color="e97132"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e97132"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e97132"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e97132"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9dbcc" w:themeFill="accent2" w:themeFillTint="00003F" w:val="clear"/>
      </w:tcPr>
    </w:tblStylePr>
    <w:tblStylePr w:type="band1Horz">
      <w:tblPr/>
      <w:tcPr>
        <w:tcBorders>
          <w:top w:space="0" w:sz="0" w:val="nil"/>
          <w:bottom w:space="0" w:sz="0" w:val="nil"/>
          <w:insideH w:space="0" w:sz="0" w:val="nil"/>
          <w:insideV w:space="0" w:sz="0" w:val="nil"/>
        </w:tcBorders>
        <w:shd w:color="auto" w:fill="f9dbcc"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9900EA"/>
    <w:pPr>
      <w:spacing w:after="0" w:line="240" w:lineRule="auto"/>
    </w:pPr>
    <w:rPr>
      <w:rFonts w:asciiTheme="majorHAnsi" w:cstheme="majorBidi" w:eastAsiaTheme="majorEastAsia" w:hAnsiTheme="majorHAnsi"/>
      <w:color w:val="000000" w:themeColor="text1"/>
      <w:kern w:val="0"/>
      <w:sz w:val="22"/>
      <w:szCs w:val="22"/>
      <w:lang w:val="en-US"/>
    </w:rPr>
    <w:tblPr>
      <w:tblStyleRowBandSize w:val="1"/>
      <w:tblStyleColBandSize w:val="1"/>
      <w:tblBorders>
        <w:top w:color="196b24" w:space="0" w:sz="8" w:themeColor="accent3" w:val="single"/>
        <w:left w:color="196b24" w:space="0" w:sz="8" w:themeColor="accent3" w:val="single"/>
        <w:bottom w:color="196b24" w:space="0" w:sz="8" w:themeColor="accent3" w:val="single"/>
        <w:right w:color="196b24" w:space="0" w:sz="8" w:themeColor="accent3" w:val="single"/>
      </w:tblBorders>
    </w:tblPr>
    <w:tblStylePr w:type="firstRow">
      <w:rPr>
        <w:sz w:val="24"/>
        <w:szCs w:val="24"/>
      </w:rPr>
      <w:tblPr/>
      <w:tcPr>
        <w:tcBorders>
          <w:top w:space="0" w:sz="0" w:val="nil"/>
          <w:left w:space="0" w:sz="0" w:val="nil"/>
          <w:bottom w:color="196b24"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196b24"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196b24"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196b24"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b3edba" w:themeFill="accent3" w:themeFillTint="00003F" w:val="clear"/>
      </w:tcPr>
    </w:tblStylePr>
    <w:tblStylePr w:type="band1Horz">
      <w:tblPr/>
      <w:tcPr>
        <w:tcBorders>
          <w:top w:space="0" w:sz="0" w:val="nil"/>
          <w:bottom w:space="0" w:sz="0" w:val="nil"/>
          <w:insideH w:space="0" w:sz="0" w:val="nil"/>
          <w:insideV w:space="0" w:sz="0" w:val="nil"/>
        </w:tcBorders>
        <w:shd w:color="auto" w:fill="b3edba"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9900EA"/>
    <w:pPr>
      <w:spacing w:after="0" w:line="240" w:lineRule="auto"/>
    </w:pPr>
    <w:rPr>
      <w:rFonts w:asciiTheme="majorHAnsi" w:cstheme="majorBidi" w:eastAsiaTheme="majorEastAsia" w:hAnsiTheme="majorHAnsi"/>
      <w:color w:val="000000" w:themeColor="text1"/>
      <w:kern w:val="0"/>
      <w:sz w:val="22"/>
      <w:szCs w:val="22"/>
      <w:lang w:val="en-US"/>
    </w:rPr>
    <w:tblPr>
      <w:tblStyleRowBandSize w:val="1"/>
      <w:tblStyleColBandSize w:val="1"/>
      <w:tblBorders>
        <w:top w:color="0f9ed5" w:space="0" w:sz="8" w:themeColor="accent4" w:val="single"/>
        <w:left w:color="0f9ed5" w:space="0" w:sz="8" w:themeColor="accent4" w:val="single"/>
        <w:bottom w:color="0f9ed5" w:space="0" w:sz="8" w:themeColor="accent4" w:val="single"/>
        <w:right w:color="0f9ed5" w:space="0" w:sz="8" w:themeColor="accent4" w:val="single"/>
      </w:tblBorders>
    </w:tblPr>
    <w:tblStylePr w:type="firstRow">
      <w:rPr>
        <w:sz w:val="24"/>
        <w:szCs w:val="24"/>
      </w:rPr>
      <w:tblPr/>
      <w:tcPr>
        <w:tcBorders>
          <w:top w:space="0" w:sz="0" w:val="nil"/>
          <w:left w:space="0" w:sz="0" w:val="nil"/>
          <w:bottom w:color="0f9ed5"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0f9ed5"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f9ed5"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0f9ed5"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bde9fa" w:themeFill="accent4" w:themeFillTint="00003F" w:val="clear"/>
      </w:tcPr>
    </w:tblStylePr>
    <w:tblStylePr w:type="band1Horz">
      <w:tblPr/>
      <w:tcPr>
        <w:tcBorders>
          <w:top w:space="0" w:sz="0" w:val="nil"/>
          <w:bottom w:space="0" w:sz="0" w:val="nil"/>
          <w:insideH w:space="0" w:sz="0" w:val="nil"/>
          <w:insideV w:space="0" w:sz="0" w:val="nil"/>
        </w:tcBorders>
        <w:shd w:color="auto" w:fill="bde9fa"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9900EA"/>
    <w:pPr>
      <w:spacing w:after="0" w:line="240" w:lineRule="auto"/>
    </w:pPr>
    <w:rPr>
      <w:rFonts w:asciiTheme="majorHAnsi" w:cstheme="majorBidi" w:eastAsiaTheme="majorEastAsia" w:hAnsiTheme="majorHAnsi"/>
      <w:color w:val="000000" w:themeColor="text1"/>
      <w:kern w:val="0"/>
      <w:sz w:val="22"/>
      <w:szCs w:val="22"/>
      <w:lang w:val="en-US"/>
    </w:rPr>
    <w:tblPr>
      <w:tblStyleRowBandSize w:val="1"/>
      <w:tblStyleColBandSize w:val="1"/>
      <w:tblBorders>
        <w:top w:color="a02b93" w:space="0" w:sz="8" w:themeColor="accent5" w:val="single"/>
        <w:left w:color="a02b93" w:space="0" w:sz="8" w:themeColor="accent5" w:val="single"/>
        <w:bottom w:color="a02b93" w:space="0" w:sz="8" w:themeColor="accent5" w:val="single"/>
        <w:right w:color="a02b93" w:space="0" w:sz="8" w:themeColor="accent5" w:val="single"/>
      </w:tblBorders>
    </w:tblPr>
    <w:tblStylePr w:type="firstRow">
      <w:rPr>
        <w:sz w:val="24"/>
        <w:szCs w:val="24"/>
      </w:rPr>
      <w:tblPr/>
      <w:tcPr>
        <w:tcBorders>
          <w:top w:space="0" w:sz="0" w:val="nil"/>
          <w:left w:space="0" w:sz="0" w:val="nil"/>
          <w:bottom w:color="a02b93"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a02b93"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a02b93"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a02b93"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c3e9" w:themeFill="accent5" w:themeFillTint="00003F" w:val="clear"/>
      </w:tcPr>
    </w:tblStylePr>
    <w:tblStylePr w:type="band1Horz">
      <w:tblPr/>
      <w:tcPr>
        <w:tcBorders>
          <w:top w:space="0" w:sz="0" w:val="nil"/>
          <w:bottom w:space="0" w:sz="0" w:val="nil"/>
          <w:insideH w:space="0" w:sz="0" w:val="nil"/>
          <w:insideV w:space="0" w:sz="0" w:val="nil"/>
        </w:tcBorders>
        <w:shd w:color="auto" w:fill="efc3e9"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9900EA"/>
    <w:pPr>
      <w:spacing w:after="0" w:line="240" w:lineRule="auto"/>
    </w:pPr>
    <w:rPr>
      <w:rFonts w:asciiTheme="majorHAnsi" w:cstheme="majorBidi" w:eastAsiaTheme="majorEastAsia" w:hAnsiTheme="majorHAnsi"/>
      <w:color w:val="000000" w:themeColor="text1"/>
      <w:kern w:val="0"/>
      <w:sz w:val="22"/>
      <w:szCs w:val="22"/>
      <w:lang w:val="en-US"/>
    </w:rPr>
    <w:tblPr>
      <w:tblStyleRowBandSize w:val="1"/>
      <w:tblStyleColBandSize w:val="1"/>
      <w:tblBorders>
        <w:top w:color="4ea72e" w:space="0" w:sz="8" w:themeColor="accent6" w:val="single"/>
        <w:left w:color="4ea72e" w:space="0" w:sz="8" w:themeColor="accent6" w:val="single"/>
        <w:bottom w:color="4ea72e" w:space="0" w:sz="8" w:themeColor="accent6" w:val="single"/>
        <w:right w:color="4ea72e" w:space="0" w:sz="8" w:themeColor="accent6" w:val="single"/>
      </w:tblBorders>
    </w:tblPr>
    <w:tblStylePr w:type="firstRow">
      <w:rPr>
        <w:sz w:val="24"/>
        <w:szCs w:val="24"/>
      </w:rPr>
      <w:tblPr/>
      <w:tcPr>
        <w:tcBorders>
          <w:top w:space="0" w:sz="0" w:val="nil"/>
          <w:left w:space="0" w:sz="0" w:val="nil"/>
          <w:bottom w:color="4ea72e"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4ea72e"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ea72e"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4ea72e"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0efc5" w:themeFill="accent6" w:themeFillTint="00003F" w:val="clear"/>
      </w:tcPr>
    </w:tblStylePr>
    <w:tblStylePr w:type="band1Horz">
      <w:tblPr/>
      <w:tcPr>
        <w:tcBorders>
          <w:top w:space="0" w:sz="0" w:val="nil"/>
          <w:bottom w:space="0" w:sz="0" w:val="nil"/>
          <w:insideH w:space="0" w:sz="0" w:val="nil"/>
          <w:insideV w:space="0" w:sz="0" w:val="nil"/>
        </w:tcBorders>
        <w:shd w:color="auto" w:fill="d0efc5"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9900EA"/>
    <w:pPr>
      <w:spacing w:after="0" w:line="240" w:lineRule="auto"/>
    </w:pPr>
    <w:rPr>
      <w:rFonts w:eastAsiaTheme="minorEastAsia"/>
      <w:kern w:val="0"/>
      <w:sz w:val="22"/>
      <w:szCs w:val="22"/>
      <w:lang w:val="en-US"/>
    </w:r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9900EA"/>
    <w:pPr>
      <w:spacing w:after="0" w:line="240" w:lineRule="auto"/>
    </w:pPr>
    <w:rPr>
      <w:rFonts w:eastAsiaTheme="minorEastAsia"/>
      <w:kern w:val="0"/>
      <w:sz w:val="22"/>
      <w:szCs w:val="22"/>
      <w:lang w:val="en-US"/>
    </w:rPr>
    <w:tblPr>
      <w:tblStyleRowBandSize w:val="1"/>
      <w:tblStyleColBandSize w:val="1"/>
      <w:tblBorders>
        <w:top w:color="2198cf" w:space="0" w:sz="8" w:themeColor="accent1" w:themeTint="0000BF" w:val="single"/>
        <w:left w:color="2198cf" w:space="0" w:sz="8" w:themeColor="accent1" w:themeTint="0000BF" w:val="single"/>
        <w:bottom w:color="2198cf" w:space="0" w:sz="8" w:themeColor="accent1" w:themeTint="0000BF" w:val="single"/>
        <w:right w:color="2198cf" w:space="0" w:sz="8" w:themeColor="accent1" w:themeTint="0000BF" w:val="single"/>
        <w:insideH w:color="2198cf" w:space="0" w:sz="8" w:themeColor="accent1" w:themeTint="0000BF" w:val="single"/>
        <w:insideV w:color="2198cf" w:space="0" w:sz="8" w:themeColor="accent1" w:themeTint="0000BF" w:val="single"/>
      </w:tblBorders>
    </w:tblPr>
    <w:tcPr>
      <w:shd w:color="auto" w:fill="b2def2" w:themeFill="accent1" w:themeFillTint="00003F" w:val="clear"/>
    </w:tcPr>
    <w:tblStylePr w:type="firstRow">
      <w:rPr>
        <w:b w:val="1"/>
        <w:bCs w:val="1"/>
      </w:rPr>
    </w:tblStylePr>
    <w:tblStylePr w:type="lastRow">
      <w:rPr>
        <w:b w:val="1"/>
        <w:bCs w:val="1"/>
      </w:rPr>
      <w:tblPr/>
      <w:tcPr>
        <w:tcBorders>
          <w:top w:color="2198cf"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64bde6" w:themeFill="accent1" w:themeFillTint="00007F" w:val="clear"/>
      </w:tcPr>
    </w:tblStylePr>
    <w:tblStylePr w:type="band1Horz">
      <w:tblPr/>
      <w:tcPr>
        <w:shd w:color="auto" w:fill="64bde6" w:themeFill="accent1" w:themeFillTint="00007F" w:val="clear"/>
      </w:tcPr>
    </w:tblStylePr>
  </w:style>
  <w:style w:type="table" w:styleId="MediumGrid1-Accent2">
    <w:name w:val="Medium Grid 1 Accent 2"/>
    <w:basedOn w:val="TableNormal"/>
    <w:uiPriority w:val="67"/>
    <w:rsid w:val="009900EA"/>
    <w:pPr>
      <w:spacing w:after="0" w:line="240" w:lineRule="auto"/>
    </w:pPr>
    <w:rPr>
      <w:rFonts w:eastAsiaTheme="minorEastAsia"/>
      <w:kern w:val="0"/>
      <w:sz w:val="22"/>
      <w:szCs w:val="22"/>
      <w:lang w:val="en-US"/>
    </w:rPr>
    <w:tblPr>
      <w:tblStyleRowBandSize w:val="1"/>
      <w:tblStyleColBandSize w:val="1"/>
      <w:tblBorders>
        <w:top w:color="ee9465" w:space="0" w:sz="8" w:themeColor="accent2" w:themeTint="0000BF" w:val="single"/>
        <w:left w:color="ee9465" w:space="0" w:sz="8" w:themeColor="accent2" w:themeTint="0000BF" w:val="single"/>
        <w:bottom w:color="ee9465" w:space="0" w:sz="8" w:themeColor="accent2" w:themeTint="0000BF" w:val="single"/>
        <w:right w:color="ee9465" w:space="0" w:sz="8" w:themeColor="accent2" w:themeTint="0000BF" w:val="single"/>
        <w:insideH w:color="ee9465" w:space="0" w:sz="8" w:themeColor="accent2" w:themeTint="0000BF" w:val="single"/>
        <w:insideV w:color="ee9465" w:space="0" w:sz="8" w:themeColor="accent2" w:themeTint="0000BF" w:val="single"/>
      </w:tblBorders>
    </w:tblPr>
    <w:tcPr>
      <w:shd w:color="auto" w:fill="f9dbcc" w:themeFill="accent2" w:themeFillTint="00003F" w:val="clear"/>
    </w:tcPr>
    <w:tblStylePr w:type="firstRow">
      <w:rPr>
        <w:b w:val="1"/>
        <w:bCs w:val="1"/>
      </w:rPr>
    </w:tblStylePr>
    <w:tblStylePr w:type="lastRow">
      <w:rPr>
        <w:b w:val="1"/>
        <w:bCs w:val="1"/>
      </w:rPr>
      <w:tblPr/>
      <w:tcPr>
        <w:tcBorders>
          <w:top w:color="ee9465"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f4b798" w:themeFill="accent2" w:themeFillTint="00007F" w:val="clear"/>
      </w:tcPr>
    </w:tblStylePr>
    <w:tblStylePr w:type="band1Horz">
      <w:tblPr/>
      <w:tcPr>
        <w:shd w:color="auto" w:fill="f4b798" w:themeFill="accent2" w:themeFillTint="00007F" w:val="clear"/>
      </w:tcPr>
    </w:tblStylePr>
  </w:style>
  <w:style w:type="table" w:styleId="MediumGrid1-Accent3">
    <w:name w:val="Medium Grid 1 Accent 3"/>
    <w:basedOn w:val="TableNormal"/>
    <w:uiPriority w:val="67"/>
    <w:rsid w:val="009900EA"/>
    <w:pPr>
      <w:spacing w:after="0" w:line="240" w:lineRule="auto"/>
    </w:pPr>
    <w:rPr>
      <w:rFonts w:eastAsiaTheme="minorEastAsia"/>
      <w:kern w:val="0"/>
      <w:sz w:val="22"/>
      <w:szCs w:val="22"/>
      <w:lang w:val="en-US"/>
    </w:rPr>
    <w:tblPr>
      <w:tblStyleRowBandSize w:val="1"/>
      <w:tblStyleColBandSize w:val="1"/>
      <w:tblBorders>
        <w:top w:color="2bb73d" w:space="0" w:sz="8" w:themeColor="accent3" w:themeTint="0000BF" w:val="single"/>
        <w:left w:color="2bb73d" w:space="0" w:sz="8" w:themeColor="accent3" w:themeTint="0000BF" w:val="single"/>
        <w:bottom w:color="2bb73d" w:space="0" w:sz="8" w:themeColor="accent3" w:themeTint="0000BF" w:val="single"/>
        <w:right w:color="2bb73d" w:space="0" w:sz="8" w:themeColor="accent3" w:themeTint="0000BF" w:val="single"/>
        <w:insideH w:color="2bb73d" w:space="0" w:sz="8" w:themeColor="accent3" w:themeTint="0000BF" w:val="single"/>
        <w:insideV w:color="2bb73d" w:space="0" w:sz="8" w:themeColor="accent3" w:themeTint="0000BF" w:val="single"/>
      </w:tblBorders>
    </w:tblPr>
    <w:tcPr>
      <w:shd w:color="auto" w:fill="b3edba" w:themeFill="accent3" w:themeFillTint="00003F" w:val="clear"/>
    </w:tcPr>
    <w:tblStylePr w:type="firstRow">
      <w:rPr>
        <w:b w:val="1"/>
        <w:bCs w:val="1"/>
      </w:rPr>
    </w:tblStylePr>
    <w:tblStylePr w:type="lastRow">
      <w:rPr>
        <w:b w:val="1"/>
        <w:bCs w:val="1"/>
      </w:rPr>
      <w:tblPr/>
      <w:tcPr>
        <w:tcBorders>
          <w:top w:color="2bb73d"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66db75" w:themeFill="accent3" w:themeFillTint="00007F" w:val="clear"/>
      </w:tcPr>
    </w:tblStylePr>
    <w:tblStylePr w:type="band1Horz">
      <w:tblPr/>
      <w:tcPr>
        <w:shd w:color="auto" w:fill="66db75" w:themeFill="accent3" w:themeFillTint="00007F" w:val="clear"/>
      </w:tcPr>
    </w:tblStylePr>
  </w:style>
  <w:style w:type="table" w:styleId="MediumGrid1-Accent4">
    <w:name w:val="Medium Grid 1 Accent 4"/>
    <w:basedOn w:val="TableNormal"/>
    <w:uiPriority w:val="67"/>
    <w:rsid w:val="009900EA"/>
    <w:pPr>
      <w:spacing w:after="0" w:line="240" w:lineRule="auto"/>
    </w:pPr>
    <w:rPr>
      <w:rFonts w:eastAsiaTheme="minorEastAsia"/>
      <w:kern w:val="0"/>
      <w:sz w:val="22"/>
      <w:szCs w:val="22"/>
      <w:lang w:val="en-US"/>
    </w:rPr>
    <w:tblPr>
      <w:tblStyleRowBandSize w:val="1"/>
      <w:tblStyleColBandSize w:val="1"/>
      <w:tblBorders>
        <w:top w:color="39bef1" w:space="0" w:sz="8" w:themeColor="accent4" w:themeTint="0000BF" w:val="single"/>
        <w:left w:color="39bef1" w:space="0" w:sz="8" w:themeColor="accent4" w:themeTint="0000BF" w:val="single"/>
        <w:bottom w:color="39bef1" w:space="0" w:sz="8" w:themeColor="accent4" w:themeTint="0000BF" w:val="single"/>
        <w:right w:color="39bef1" w:space="0" w:sz="8" w:themeColor="accent4" w:themeTint="0000BF" w:val="single"/>
        <w:insideH w:color="39bef1" w:space="0" w:sz="8" w:themeColor="accent4" w:themeTint="0000BF" w:val="single"/>
        <w:insideV w:color="39bef1" w:space="0" w:sz="8" w:themeColor="accent4" w:themeTint="0000BF" w:val="single"/>
      </w:tblBorders>
    </w:tblPr>
    <w:tcPr>
      <w:shd w:color="auto" w:fill="bde9fa" w:themeFill="accent4" w:themeFillTint="00003F" w:val="clear"/>
    </w:tcPr>
    <w:tblStylePr w:type="firstRow">
      <w:rPr>
        <w:b w:val="1"/>
        <w:bCs w:val="1"/>
      </w:rPr>
    </w:tblStylePr>
    <w:tblStylePr w:type="lastRow">
      <w:rPr>
        <w:b w:val="1"/>
        <w:bCs w:val="1"/>
      </w:rPr>
      <w:tblPr/>
      <w:tcPr>
        <w:tcBorders>
          <w:top w:color="39bef1"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7bd3f5" w:themeFill="accent4" w:themeFillTint="00007F" w:val="clear"/>
      </w:tcPr>
    </w:tblStylePr>
    <w:tblStylePr w:type="band1Horz">
      <w:tblPr/>
      <w:tcPr>
        <w:shd w:color="auto" w:fill="7bd3f5" w:themeFill="accent4" w:themeFillTint="00007F" w:val="clear"/>
      </w:tcPr>
    </w:tblStylePr>
  </w:style>
  <w:style w:type="table" w:styleId="MediumGrid1-Accent5">
    <w:name w:val="Medium Grid 1 Accent 5"/>
    <w:basedOn w:val="TableNormal"/>
    <w:uiPriority w:val="67"/>
    <w:rsid w:val="009900EA"/>
    <w:pPr>
      <w:spacing w:after="0" w:line="240" w:lineRule="auto"/>
    </w:pPr>
    <w:rPr>
      <w:rFonts w:eastAsiaTheme="minorEastAsia"/>
      <w:kern w:val="0"/>
      <w:sz w:val="22"/>
      <w:szCs w:val="22"/>
      <w:lang w:val="en-US"/>
    </w:rPr>
    <w:tblPr>
      <w:tblStyleRowBandSize w:val="1"/>
      <w:tblStyleColBandSize w:val="1"/>
      <w:tblBorders>
        <w:top w:color="ce49bf" w:space="0" w:sz="8" w:themeColor="accent5" w:themeTint="0000BF" w:val="single"/>
        <w:left w:color="ce49bf" w:space="0" w:sz="8" w:themeColor="accent5" w:themeTint="0000BF" w:val="single"/>
        <w:bottom w:color="ce49bf" w:space="0" w:sz="8" w:themeColor="accent5" w:themeTint="0000BF" w:val="single"/>
        <w:right w:color="ce49bf" w:space="0" w:sz="8" w:themeColor="accent5" w:themeTint="0000BF" w:val="single"/>
        <w:insideH w:color="ce49bf" w:space="0" w:sz="8" w:themeColor="accent5" w:themeTint="0000BF" w:val="single"/>
        <w:insideV w:color="ce49bf" w:space="0" w:sz="8" w:themeColor="accent5" w:themeTint="0000BF" w:val="single"/>
      </w:tblBorders>
    </w:tblPr>
    <w:tcPr>
      <w:shd w:color="auto" w:fill="efc3e9" w:themeFill="accent5" w:themeFillTint="00003F" w:val="clear"/>
    </w:tcPr>
    <w:tblStylePr w:type="firstRow">
      <w:rPr>
        <w:b w:val="1"/>
        <w:bCs w:val="1"/>
      </w:rPr>
    </w:tblStylePr>
    <w:tblStylePr w:type="lastRow">
      <w:rPr>
        <w:b w:val="1"/>
        <w:bCs w:val="1"/>
      </w:rPr>
      <w:tblPr/>
      <w:tcPr>
        <w:tcBorders>
          <w:top w:color="ce49bf"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de86d4" w:themeFill="accent5" w:themeFillTint="00007F" w:val="clear"/>
      </w:tcPr>
    </w:tblStylePr>
    <w:tblStylePr w:type="band1Horz">
      <w:tblPr/>
      <w:tcPr>
        <w:shd w:color="auto" w:fill="de86d4" w:themeFill="accent5" w:themeFillTint="00007F" w:val="clear"/>
      </w:tcPr>
    </w:tblStylePr>
  </w:style>
  <w:style w:type="table" w:styleId="MediumGrid1-Accent6">
    <w:name w:val="Medium Grid 1 Accent 6"/>
    <w:basedOn w:val="TableNormal"/>
    <w:uiPriority w:val="67"/>
    <w:rsid w:val="009900EA"/>
    <w:pPr>
      <w:spacing w:after="0" w:line="240" w:lineRule="auto"/>
    </w:pPr>
    <w:rPr>
      <w:rFonts w:eastAsiaTheme="minorEastAsia"/>
      <w:kern w:val="0"/>
      <w:sz w:val="22"/>
      <w:szCs w:val="22"/>
      <w:lang w:val="en-US"/>
    </w:rPr>
    <w:tblPr>
      <w:tblStyleRowBandSize w:val="1"/>
      <w:tblStyleColBandSize w:val="1"/>
      <w:tblBorders>
        <w:top w:color="71cf50" w:space="0" w:sz="8" w:themeColor="accent6" w:themeTint="0000BF" w:val="single"/>
        <w:left w:color="71cf50" w:space="0" w:sz="8" w:themeColor="accent6" w:themeTint="0000BF" w:val="single"/>
        <w:bottom w:color="71cf50" w:space="0" w:sz="8" w:themeColor="accent6" w:themeTint="0000BF" w:val="single"/>
        <w:right w:color="71cf50" w:space="0" w:sz="8" w:themeColor="accent6" w:themeTint="0000BF" w:val="single"/>
        <w:insideH w:color="71cf50" w:space="0" w:sz="8" w:themeColor="accent6" w:themeTint="0000BF" w:val="single"/>
        <w:insideV w:color="71cf50" w:space="0" w:sz="8" w:themeColor="accent6" w:themeTint="0000BF" w:val="single"/>
      </w:tblBorders>
    </w:tblPr>
    <w:tcPr>
      <w:shd w:color="auto" w:fill="d0efc5" w:themeFill="accent6" w:themeFillTint="00003F" w:val="clear"/>
    </w:tcPr>
    <w:tblStylePr w:type="firstRow">
      <w:rPr>
        <w:b w:val="1"/>
        <w:bCs w:val="1"/>
      </w:rPr>
    </w:tblStylePr>
    <w:tblStylePr w:type="lastRow">
      <w:rPr>
        <w:b w:val="1"/>
        <w:bCs w:val="1"/>
      </w:rPr>
      <w:tblPr/>
      <w:tcPr>
        <w:tcBorders>
          <w:top w:color="71cf50"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a0df8a" w:themeFill="accent6" w:themeFillTint="00007F" w:val="clear"/>
      </w:tcPr>
    </w:tblStylePr>
    <w:tblStylePr w:type="band1Horz">
      <w:tblPr/>
      <w:tcPr>
        <w:shd w:color="auto" w:fill="a0df8a" w:themeFill="accent6" w:themeFillTint="00007F" w:val="clear"/>
      </w:tcPr>
    </w:tblStylePr>
  </w:style>
  <w:style w:type="table" w:styleId="MediumGrid2">
    <w:name w:val="Medium Grid 2"/>
    <w:basedOn w:val="TableNormal"/>
    <w:uiPriority w:val="68"/>
    <w:rsid w:val="009900EA"/>
    <w:pPr>
      <w:spacing w:after="0" w:line="240" w:lineRule="auto"/>
    </w:pPr>
    <w:rPr>
      <w:rFonts w:asciiTheme="majorHAnsi" w:cstheme="majorBidi" w:eastAsiaTheme="majorEastAsia" w:hAnsiTheme="majorHAnsi"/>
      <w:color w:val="000000" w:themeColor="text1"/>
      <w:kern w:val="0"/>
      <w:sz w:val="22"/>
      <w:szCs w:val="22"/>
      <w:lang w:val="en-US"/>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9900EA"/>
    <w:pPr>
      <w:spacing w:after="0" w:line="240" w:lineRule="auto"/>
    </w:pPr>
    <w:rPr>
      <w:rFonts w:asciiTheme="majorHAnsi" w:cstheme="majorBidi" w:eastAsiaTheme="majorEastAsia" w:hAnsiTheme="majorHAnsi"/>
      <w:color w:val="000000" w:themeColor="text1"/>
      <w:kern w:val="0"/>
      <w:sz w:val="22"/>
      <w:szCs w:val="22"/>
      <w:lang w:val="en-US"/>
    </w:rPr>
    <w:tblPr>
      <w:tblStyleRowBandSize w:val="1"/>
      <w:tblStyleColBandSize w:val="1"/>
      <w:tblBorders>
        <w:top w:color="156082" w:space="0" w:sz="8" w:themeColor="accent1" w:val="single"/>
        <w:left w:color="156082" w:space="0" w:sz="8" w:themeColor="accent1" w:val="single"/>
        <w:bottom w:color="156082" w:space="0" w:sz="8" w:themeColor="accent1" w:val="single"/>
        <w:right w:color="156082" w:space="0" w:sz="8" w:themeColor="accent1" w:val="single"/>
        <w:insideH w:color="156082" w:space="0" w:sz="8" w:themeColor="accent1" w:val="single"/>
        <w:insideV w:color="156082" w:space="0" w:sz="8" w:themeColor="accent1" w:val="single"/>
      </w:tblBorders>
    </w:tblPr>
    <w:tcPr>
      <w:shd w:color="auto" w:fill="b2def2" w:themeFill="accent1" w:themeFillTint="00003F" w:val="clear"/>
    </w:tcPr>
    <w:tblStylePr w:type="firstRow">
      <w:rPr>
        <w:b w:val="1"/>
        <w:bCs w:val="1"/>
        <w:color w:val="000000" w:themeColor="text1"/>
      </w:rPr>
      <w:tblPr/>
      <w:tcPr>
        <w:shd w:color="auto" w:fill="e0f2fa"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1e4f5" w:themeFill="accent1" w:themeFillTint="000033" w:val="clear"/>
      </w:tcPr>
    </w:tblStylePr>
    <w:tblStylePr w:type="band1Vert">
      <w:tblPr/>
      <w:tcPr>
        <w:shd w:color="auto" w:fill="64bde6" w:themeFill="accent1" w:themeFillTint="00007F" w:val="clear"/>
      </w:tcPr>
    </w:tblStylePr>
    <w:tblStylePr w:type="band1Horz">
      <w:tblPr/>
      <w:tcPr>
        <w:tcBorders>
          <w:insideH w:color="156082" w:space="0" w:sz="6" w:themeColor="accent1" w:val="single"/>
          <w:insideV w:color="156082" w:space="0" w:sz="6" w:themeColor="accent1" w:val="single"/>
        </w:tcBorders>
        <w:shd w:color="auto" w:fill="64bde6"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9900EA"/>
    <w:pPr>
      <w:spacing w:after="0" w:line="240" w:lineRule="auto"/>
    </w:pPr>
    <w:rPr>
      <w:rFonts w:asciiTheme="majorHAnsi" w:cstheme="majorBidi" w:eastAsiaTheme="majorEastAsia" w:hAnsiTheme="majorHAnsi"/>
      <w:color w:val="000000" w:themeColor="text1"/>
      <w:kern w:val="0"/>
      <w:sz w:val="22"/>
      <w:szCs w:val="22"/>
      <w:lang w:val="en-US"/>
    </w:rPr>
    <w:tblPr>
      <w:tblStyleRowBandSize w:val="1"/>
      <w:tblStyleColBandSize w:val="1"/>
      <w:tblBorders>
        <w:top w:color="e97132" w:space="0" w:sz="8" w:themeColor="accent2" w:val="single"/>
        <w:left w:color="e97132" w:space="0" w:sz="8" w:themeColor="accent2" w:val="single"/>
        <w:bottom w:color="e97132" w:space="0" w:sz="8" w:themeColor="accent2" w:val="single"/>
        <w:right w:color="e97132" w:space="0" w:sz="8" w:themeColor="accent2" w:val="single"/>
        <w:insideH w:color="e97132" w:space="0" w:sz="8" w:themeColor="accent2" w:val="single"/>
        <w:insideV w:color="e97132" w:space="0" w:sz="8" w:themeColor="accent2" w:val="single"/>
      </w:tblBorders>
    </w:tblPr>
    <w:tcPr>
      <w:shd w:color="auto" w:fill="f9dbcc" w:themeFill="accent2" w:themeFillTint="00003F" w:val="clear"/>
    </w:tcPr>
    <w:tblStylePr w:type="firstRow">
      <w:rPr>
        <w:b w:val="1"/>
        <w:bCs w:val="1"/>
        <w:color w:val="000000" w:themeColor="text1"/>
      </w:rPr>
      <w:tblPr/>
      <w:tcPr>
        <w:shd w:color="auto" w:fill="fcf0ea"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ae2d5" w:themeFill="accent2" w:themeFillTint="000033" w:val="clear"/>
      </w:tcPr>
    </w:tblStylePr>
    <w:tblStylePr w:type="band1Vert">
      <w:tblPr/>
      <w:tcPr>
        <w:shd w:color="auto" w:fill="f4b798" w:themeFill="accent2" w:themeFillTint="00007F" w:val="clear"/>
      </w:tcPr>
    </w:tblStylePr>
    <w:tblStylePr w:type="band1Horz">
      <w:tblPr/>
      <w:tcPr>
        <w:tcBorders>
          <w:insideH w:color="e97132" w:space="0" w:sz="6" w:themeColor="accent2" w:val="single"/>
          <w:insideV w:color="e97132" w:space="0" w:sz="6" w:themeColor="accent2" w:val="single"/>
        </w:tcBorders>
        <w:shd w:color="auto" w:fill="f4b798"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9900EA"/>
    <w:pPr>
      <w:spacing w:after="0" w:line="240" w:lineRule="auto"/>
    </w:pPr>
    <w:rPr>
      <w:rFonts w:asciiTheme="majorHAnsi" w:cstheme="majorBidi" w:eastAsiaTheme="majorEastAsia" w:hAnsiTheme="majorHAnsi"/>
      <w:color w:val="000000" w:themeColor="text1"/>
      <w:kern w:val="0"/>
      <w:sz w:val="22"/>
      <w:szCs w:val="22"/>
      <w:lang w:val="en-US"/>
    </w:rPr>
    <w:tblPr>
      <w:tblStyleRowBandSize w:val="1"/>
      <w:tblStyleColBandSize w:val="1"/>
      <w:tblBorders>
        <w:top w:color="196b24" w:space="0" w:sz="8" w:themeColor="accent3" w:val="single"/>
        <w:left w:color="196b24" w:space="0" w:sz="8" w:themeColor="accent3" w:val="single"/>
        <w:bottom w:color="196b24" w:space="0" w:sz="8" w:themeColor="accent3" w:val="single"/>
        <w:right w:color="196b24" w:space="0" w:sz="8" w:themeColor="accent3" w:val="single"/>
        <w:insideH w:color="196b24" w:space="0" w:sz="8" w:themeColor="accent3" w:val="single"/>
        <w:insideV w:color="196b24" w:space="0" w:sz="8" w:themeColor="accent3" w:val="single"/>
      </w:tblBorders>
    </w:tblPr>
    <w:tcPr>
      <w:shd w:color="auto" w:fill="b3edba" w:themeFill="accent3" w:themeFillTint="00003F" w:val="clear"/>
    </w:tcPr>
    <w:tblStylePr w:type="firstRow">
      <w:rPr>
        <w:b w:val="1"/>
        <w:bCs w:val="1"/>
        <w:color w:val="000000" w:themeColor="text1"/>
      </w:rPr>
      <w:tblPr/>
      <w:tcPr>
        <w:shd w:color="auto" w:fill="e0f8e3"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1f0c7" w:themeFill="accent3" w:themeFillTint="000033" w:val="clear"/>
      </w:tcPr>
    </w:tblStylePr>
    <w:tblStylePr w:type="band1Vert">
      <w:tblPr/>
      <w:tcPr>
        <w:shd w:color="auto" w:fill="66db75" w:themeFill="accent3" w:themeFillTint="00007F" w:val="clear"/>
      </w:tcPr>
    </w:tblStylePr>
    <w:tblStylePr w:type="band1Horz">
      <w:tblPr/>
      <w:tcPr>
        <w:tcBorders>
          <w:insideH w:color="196b24" w:space="0" w:sz="6" w:themeColor="accent3" w:val="single"/>
          <w:insideV w:color="196b24" w:space="0" w:sz="6" w:themeColor="accent3" w:val="single"/>
        </w:tcBorders>
        <w:shd w:color="auto" w:fill="66db75"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9900EA"/>
    <w:pPr>
      <w:spacing w:after="0" w:line="240" w:lineRule="auto"/>
    </w:pPr>
    <w:rPr>
      <w:rFonts w:asciiTheme="majorHAnsi" w:cstheme="majorBidi" w:eastAsiaTheme="majorEastAsia" w:hAnsiTheme="majorHAnsi"/>
      <w:color w:val="000000" w:themeColor="text1"/>
      <w:kern w:val="0"/>
      <w:sz w:val="22"/>
      <w:szCs w:val="22"/>
      <w:lang w:val="en-US"/>
    </w:rPr>
    <w:tblPr>
      <w:tblStyleRowBandSize w:val="1"/>
      <w:tblStyleColBandSize w:val="1"/>
      <w:tblBorders>
        <w:top w:color="0f9ed5" w:space="0" w:sz="8" w:themeColor="accent4" w:val="single"/>
        <w:left w:color="0f9ed5" w:space="0" w:sz="8" w:themeColor="accent4" w:val="single"/>
        <w:bottom w:color="0f9ed5" w:space="0" w:sz="8" w:themeColor="accent4" w:val="single"/>
        <w:right w:color="0f9ed5" w:space="0" w:sz="8" w:themeColor="accent4" w:val="single"/>
        <w:insideH w:color="0f9ed5" w:space="0" w:sz="8" w:themeColor="accent4" w:val="single"/>
        <w:insideV w:color="0f9ed5" w:space="0" w:sz="8" w:themeColor="accent4" w:val="single"/>
      </w:tblBorders>
    </w:tblPr>
    <w:tcPr>
      <w:shd w:color="auto" w:fill="bde9fa" w:themeFill="accent4" w:themeFillTint="00003F" w:val="clear"/>
    </w:tcPr>
    <w:tblStylePr w:type="firstRow">
      <w:rPr>
        <w:b w:val="1"/>
        <w:bCs w:val="1"/>
        <w:color w:val="000000" w:themeColor="text1"/>
      </w:rPr>
      <w:tblPr/>
      <w:tcPr>
        <w:shd w:color="auto" w:fill="e5f6fd"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aedfb" w:themeFill="accent4" w:themeFillTint="000033" w:val="clear"/>
      </w:tcPr>
    </w:tblStylePr>
    <w:tblStylePr w:type="band1Vert">
      <w:tblPr/>
      <w:tcPr>
        <w:shd w:color="auto" w:fill="7bd3f5" w:themeFill="accent4" w:themeFillTint="00007F" w:val="clear"/>
      </w:tcPr>
    </w:tblStylePr>
    <w:tblStylePr w:type="band1Horz">
      <w:tblPr/>
      <w:tcPr>
        <w:tcBorders>
          <w:insideH w:color="0f9ed5" w:space="0" w:sz="6" w:themeColor="accent4" w:val="single"/>
          <w:insideV w:color="0f9ed5" w:space="0" w:sz="6" w:themeColor="accent4" w:val="single"/>
        </w:tcBorders>
        <w:shd w:color="auto" w:fill="7bd3f5"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9900EA"/>
    <w:pPr>
      <w:spacing w:after="0" w:line="240" w:lineRule="auto"/>
    </w:pPr>
    <w:rPr>
      <w:rFonts w:asciiTheme="majorHAnsi" w:cstheme="majorBidi" w:eastAsiaTheme="majorEastAsia" w:hAnsiTheme="majorHAnsi"/>
      <w:color w:val="000000" w:themeColor="text1"/>
      <w:kern w:val="0"/>
      <w:sz w:val="22"/>
      <w:szCs w:val="22"/>
      <w:lang w:val="en-US"/>
    </w:rPr>
    <w:tblPr>
      <w:tblStyleRowBandSize w:val="1"/>
      <w:tblStyleColBandSize w:val="1"/>
      <w:tblBorders>
        <w:top w:color="a02b93" w:space="0" w:sz="8" w:themeColor="accent5" w:val="single"/>
        <w:left w:color="a02b93" w:space="0" w:sz="8" w:themeColor="accent5" w:val="single"/>
        <w:bottom w:color="a02b93" w:space="0" w:sz="8" w:themeColor="accent5" w:val="single"/>
        <w:right w:color="a02b93" w:space="0" w:sz="8" w:themeColor="accent5" w:val="single"/>
        <w:insideH w:color="a02b93" w:space="0" w:sz="8" w:themeColor="accent5" w:val="single"/>
        <w:insideV w:color="a02b93" w:space="0" w:sz="8" w:themeColor="accent5" w:val="single"/>
      </w:tblBorders>
    </w:tblPr>
    <w:tcPr>
      <w:shd w:color="auto" w:fill="efc3e9" w:themeFill="accent5" w:themeFillTint="00003F" w:val="clear"/>
    </w:tcPr>
    <w:tblStylePr w:type="firstRow">
      <w:rPr>
        <w:b w:val="1"/>
        <w:bCs w:val="1"/>
        <w:color w:val="000000" w:themeColor="text1"/>
      </w:rPr>
      <w:tblPr/>
      <w:tcPr>
        <w:shd w:color="auto" w:fill="f8e7f6"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ceed" w:themeFill="accent5" w:themeFillTint="000033" w:val="clear"/>
      </w:tcPr>
    </w:tblStylePr>
    <w:tblStylePr w:type="band1Vert">
      <w:tblPr/>
      <w:tcPr>
        <w:shd w:color="auto" w:fill="de86d4" w:themeFill="accent5" w:themeFillTint="00007F" w:val="clear"/>
      </w:tcPr>
    </w:tblStylePr>
    <w:tblStylePr w:type="band1Horz">
      <w:tblPr/>
      <w:tcPr>
        <w:tcBorders>
          <w:insideH w:color="a02b93" w:space="0" w:sz="6" w:themeColor="accent5" w:val="single"/>
          <w:insideV w:color="a02b93" w:space="0" w:sz="6" w:themeColor="accent5" w:val="single"/>
        </w:tcBorders>
        <w:shd w:color="auto" w:fill="de86d4"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9900EA"/>
    <w:pPr>
      <w:spacing w:after="0" w:line="240" w:lineRule="auto"/>
    </w:pPr>
    <w:rPr>
      <w:rFonts w:asciiTheme="majorHAnsi" w:cstheme="majorBidi" w:eastAsiaTheme="majorEastAsia" w:hAnsiTheme="majorHAnsi"/>
      <w:color w:val="000000" w:themeColor="text1"/>
      <w:kern w:val="0"/>
      <w:sz w:val="22"/>
      <w:szCs w:val="22"/>
      <w:lang w:val="en-US"/>
    </w:rPr>
    <w:tblPr>
      <w:tblStyleRowBandSize w:val="1"/>
      <w:tblStyleColBandSize w:val="1"/>
      <w:tblBorders>
        <w:top w:color="4ea72e" w:space="0" w:sz="8" w:themeColor="accent6" w:val="single"/>
        <w:left w:color="4ea72e" w:space="0" w:sz="8" w:themeColor="accent6" w:val="single"/>
        <w:bottom w:color="4ea72e" w:space="0" w:sz="8" w:themeColor="accent6" w:val="single"/>
        <w:right w:color="4ea72e" w:space="0" w:sz="8" w:themeColor="accent6" w:val="single"/>
        <w:insideH w:color="4ea72e" w:space="0" w:sz="8" w:themeColor="accent6" w:val="single"/>
        <w:insideV w:color="4ea72e" w:space="0" w:sz="8" w:themeColor="accent6" w:val="single"/>
      </w:tblBorders>
    </w:tblPr>
    <w:tcPr>
      <w:shd w:color="auto" w:fill="d0efc5" w:themeFill="accent6" w:themeFillTint="00003F" w:val="clear"/>
    </w:tcPr>
    <w:tblStylePr w:type="firstRow">
      <w:rPr>
        <w:b w:val="1"/>
        <w:bCs w:val="1"/>
        <w:color w:val="000000" w:themeColor="text1"/>
      </w:rPr>
      <w:tblPr/>
      <w:tcPr>
        <w:shd w:color="auto" w:fill="ecf8e8"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9f2d0" w:themeFill="accent6" w:themeFillTint="000033" w:val="clear"/>
      </w:tcPr>
    </w:tblStylePr>
    <w:tblStylePr w:type="band1Vert">
      <w:tblPr/>
      <w:tcPr>
        <w:shd w:color="auto" w:fill="a0df8a" w:themeFill="accent6" w:themeFillTint="00007F" w:val="clear"/>
      </w:tcPr>
    </w:tblStylePr>
    <w:tblStylePr w:type="band1Horz">
      <w:tblPr/>
      <w:tcPr>
        <w:tcBorders>
          <w:insideH w:color="4ea72e" w:space="0" w:sz="6" w:themeColor="accent6" w:val="single"/>
          <w:insideV w:color="4ea72e" w:space="0" w:sz="6" w:themeColor="accent6" w:val="single"/>
        </w:tcBorders>
        <w:shd w:color="auto" w:fill="a0df8a"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9900EA"/>
    <w:pPr>
      <w:spacing w:after="0" w:line="240" w:lineRule="auto"/>
    </w:pPr>
    <w:rPr>
      <w:rFonts w:eastAsiaTheme="minorEastAsia"/>
      <w:kern w:val="0"/>
      <w:sz w:val="22"/>
      <w:szCs w:val="22"/>
      <w:lang w:val="en-US"/>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9900EA"/>
    <w:pPr>
      <w:spacing w:after="0" w:line="240" w:lineRule="auto"/>
    </w:pPr>
    <w:rPr>
      <w:rFonts w:eastAsiaTheme="minorEastAsia"/>
      <w:kern w:val="0"/>
      <w:sz w:val="22"/>
      <w:szCs w:val="22"/>
      <w:lang w:val="en-US"/>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b2def2"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156082"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156082"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156082"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156082"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64bde6"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64bde6" w:themeFill="accent1" w:themeFillTint="00007F" w:val="clear"/>
      </w:tcPr>
    </w:tblStylePr>
  </w:style>
  <w:style w:type="table" w:styleId="MediumGrid3-Accent2">
    <w:name w:val="Medium Grid 3 Accent 2"/>
    <w:basedOn w:val="TableNormal"/>
    <w:uiPriority w:val="69"/>
    <w:rsid w:val="009900EA"/>
    <w:pPr>
      <w:spacing w:after="0" w:line="240" w:lineRule="auto"/>
    </w:pPr>
    <w:rPr>
      <w:rFonts w:eastAsiaTheme="minorEastAsia"/>
      <w:kern w:val="0"/>
      <w:sz w:val="22"/>
      <w:szCs w:val="22"/>
      <w:lang w:val="en-US"/>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9dbcc"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e97132"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e97132"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e97132"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e97132"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4b798"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4b798" w:themeFill="accent2" w:themeFillTint="00007F" w:val="clear"/>
      </w:tcPr>
    </w:tblStylePr>
  </w:style>
  <w:style w:type="table" w:styleId="MediumGrid3-Accent3">
    <w:name w:val="Medium Grid 3 Accent 3"/>
    <w:basedOn w:val="TableNormal"/>
    <w:uiPriority w:val="69"/>
    <w:rsid w:val="009900EA"/>
    <w:pPr>
      <w:spacing w:after="0" w:line="240" w:lineRule="auto"/>
    </w:pPr>
    <w:rPr>
      <w:rFonts w:eastAsiaTheme="minorEastAsia"/>
      <w:kern w:val="0"/>
      <w:sz w:val="22"/>
      <w:szCs w:val="22"/>
      <w:lang w:val="en-US"/>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b3edba"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196b24"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196b24"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196b24"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196b24"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66db75"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66db75" w:themeFill="accent3" w:themeFillTint="00007F" w:val="clear"/>
      </w:tcPr>
    </w:tblStylePr>
  </w:style>
  <w:style w:type="table" w:styleId="MediumGrid3-Accent4">
    <w:name w:val="Medium Grid 3 Accent 4"/>
    <w:basedOn w:val="TableNormal"/>
    <w:uiPriority w:val="69"/>
    <w:rsid w:val="009900EA"/>
    <w:pPr>
      <w:spacing w:after="0" w:line="240" w:lineRule="auto"/>
    </w:pPr>
    <w:rPr>
      <w:rFonts w:eastAsiaTheme="minorEastAsia"/>
      <w:kern w:val="0"/>
      <w:sz w:val="22"/>
      <w:szCs w:val="22"/>
      <w:lang w:val="en-US"/>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bde9fa"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f9ed5"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f9ed5"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f9ed5"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f9ed5"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7bd3f5"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7bd3f5" w:themeFill="accent4" w:themeFillTint="00007F" w:val="clear"/>
      </w:tcPr>
    </w:tblStylePr>
  </w:style>
  <w:style w:type="table" w:styleId="MediumGrid3-Accent5">
    <w:name w:val="Medium Grid 3 Accent 5"/>
    <w:basedOn w:val="TableNormal"/>
    <w:uiPriority w:val="69"/>
    <w:rsid w:val="009900EA"/>
    <w:pPr>
      <w:spacing w:after="0" w:line="240" w:lineRule="auto"/>
    </w:pPr>
    <w:rPr>
      <w:rFonts w:eastAsiaTheme="minorEastAsia"/>
      <w:kern w:val="0"/>
      <w:sz w:val="22"/>
      <w:szCs w:val="22"/>
      <w:lang w:val="en-US"/>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c3e9"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a02b93"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a02b93"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a02b93"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a02b93"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e86d4"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e86d4" w:themeFill="accent5" w:themeFillTint="00007F" w:val="clear"/>
      </w:tcPr>
    </w:tblStylePr>
  </w:style>
  <w:style w:type="table" w:styleId="MediumGrid3-Accent6">
    <w:name w:val="Medium Grid 3 Accent 6"/>
    <w:basedOn w:val="TableNormal"/>
    <w:uiPriority w:val="69"/>
    <w:rsid w:val="009900EA"/>
    <w:pPr>
      <w:spacing w:after="0" w:line="240" w:lineRule="auto"/>
    </w:pPr>
    <w:rPr>
      <w:rFonts w:eastAsiaTheme="minorEastAsia"/>
      <w:kern w:val="0"/>
      <w:sz w:val="22"/>
      <w:szCs w:val="22"/>
      <w:lang w:val="en-US"/>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0efc5"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ea72e"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ea72e"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ea72e"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ea72e"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0df8a"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0df8a" w:themeFill="accent6" w:themeFillTint="00007F" w:val="clear"/>
      </w:tcPr>
    </w:tblStylePr>
  </w:style>
  <w:style w:type="table" w:styleId="DarkList">
    <w:name w:val="Dark List"/>
    <w:basedOn w:val="TableNormal"/>
    <w:uiPriority w:val="70"/>
    <w:rsid w:val="009900EA"/>
    <w:pPr>
      <w:spacing w:after="0" w:line="240" w:lineRule="auto"/>
    </w:pPr>
    <w:rPr>
      <w:rFonts w:eastAsiaTheme="minorEastAsia"/>
      <w:color w:val="ffffff" w:themeColor="background1"/>
      <w:kern w:val="0"/>
      <w:sz w:val="22"/>
      <w:szCs w:val="22"/>
      <w:lang w:val="en-US"/>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9900EA"/>
    <w:pPr>
      <w:spacing w:after="0" w:line="240" w:lineRule="auto"/>
    </w:pPr>
    <w:rPr>
      <w:rFonts w:eastAsiaTheme="minorEastAsia"/>
      <w:color w:val="ffffff" w:themeColor="background1"/>
      <w:kern w:val="0"/>
      <w:sz w:val="22"/>
      <w:szCs w:val="22"/>
      <w:lang w:val="en-US"/>
    </w:rPr>
    <w:tblPr>
      <w:tblStyleRowBandSize w:val="1"/>
      <w:tblStyleColBandSize w:val="1"/>
    </w:tblPr>
    <w:tcPr>
      <w:shd w:color="auto" w:fill="156082"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a2f4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f476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f476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f476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f4761" w:themeFill="accent1" w:themeFillShade="0000BF" w:val="clear"/>
      </w:tcPr>
    </w:tblStylePr>
  </w:style>
  <w:style w:type="table" w:styleId="DarkList-Accent2">
    <w:name w:val="Dark List Accent 2"/>
    <w:basedOn w:val="TableNormal"/>
    <w:uiPriority w:val="70"/>
    <w:rsid w:val="009900EA"/>
    <w:pPr>
      <w:spacing w:after="0" w:line="240" w:lineRule="auto"/>
    </w:pPr>
    <w:rPr>
      <w:rFonts w:eastAsiaTheme="minorEastAsia"/>
      <w:color w:val="ffffff" w:themeColor="background1"/>
      <w:kern w:val="0"/>
      <w:sz w:val="22"/>
      <w:szCs w:val="22"/>
      <w:lang w:val="en-US"/>
    </w:rPr>
    <w:tblPr>
      <w:tblStyleRowBandSize w:val="1"/>
      <w:tblStyleColBandSize w:val="1"/>
    </w:tblPr>
    <w:tcPr>
      <w:shd w:color="auto" w:fill="e97132"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7f340d"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bf4e1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bf4e1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bf4e1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bf4e14" w:themeFill="accent2" w:themeFillShade="0000BF" w:val="clear"/>
      </w:tcPr>
    </w:tblStylePr>
  </w:style>
  <w:style w:type="table" w:styleId="DarkList-Accent3">
    <w:name w:val="Dark List Accent 3"/>
    <w:basedOn w:val="TableNormal"/>
    <w:uiPriority w:val="70"/>
    <w:rsid w:val="009900EA"/>
    <w:pPr>
      <w:spacing w:after="0" w:line="240" w:lineRule="auto"/>
    </w:pPr>
    <w:rPr>
      <w:rFonts w:eastAsiaTheme="minorEastAsia"/>
      <w:color w:val="ffffff" w:themeColor="background1"/>
      <w:kern w:val="0"/>
      <w:sz w:val="22"/>
      <w:szCs w:val="22"/>
      <w:lang w:val="en-US"/>
    </w:rPr>
    <w:tblPr>
      <w:tblStyleRowBandSize w:val="1"/>
      <w:tblStyleColBandSize w:val="1"/>
    </w:tblPr>
    <w:tcPr>
      <w:shd w:color="auto" w:fill="196b24"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c3511"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124f1a"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124f1a"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124f1a"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124f1a" w:themeFill="accent3" w:themeFillShade="0000BF" w:val="clear"/>
      </w:tcPr>
    </w:tblStylePr>
  </w:style>
  <w:style w:type="table" w:styleId="DarkList-Accent4">
    <w:name w:val="Dark List Accent 4"/>
    <w:basedOn w:val="TableNormal"/>
    <w:uiPriority w:val="70"/>
    <w:rsid w:val="009900EA"/>
    <w:pPr>
      <w:spacing w:after="0" w:line="240" w:lineRule="auto"/>
    </w:pPr>
    <w:rPr>
      <w:rFonts w:eastAsiaTheme="minorEastAsia"/>
      <w:color w:val="ffffff" w:themeColor="background1"/>
      <w:kern w:val="0"/>
      <w:sz w:val="22"/>
      <w:szCs w:val="22"/>
      <w:lang w:val="en-US"/>
    </w:rPr>
    <w:tblPr>
      <w:tblStyleRowBandSize w:val="1"/>
      <w:tblStyleColBandSize w:val="1"/>
    </w:tblPr>
    <w:tcPr>
      <w:shd w:color="auto" w:fill="0f9ed5"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74e69"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b769f"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b769f"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b769f"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b769f" w:themeFill="accent4" w:themeFillShade="0000BF" w:val="clear"/>
      </w:tcPr>
    </w:tblStylePr>
  </w:style>
  <w:style w:type="table" w:styleId="DarkList-Accent5">
    <w:name w:val="Dark List Accent 5"/>
    <w:basedOn w:val="TableNormal"/>
    <w:uiPriority w:val="70"/>
    <w:rsid w:val="009900EA"/>
    <w:pPr>
      <w:spacing w:after="0" w:line="240" w:lineRule="auto"/>
    </w:pPr>
    <w:rPr>
      <w:rFonts w:eastAsiaTheme="minorEastAsia"/>
      <w:color w:val="ffffff" w:themeColor="background1"/>
      <w:kern w:val="0"/>
      <w:sz w:val="22"/>
      <w:szCs w:val="22"/>
      <w:lang w:val="en-US"/>
    </w:rPr>
    <w:tblPr>
      <w:tblStyleRowBandSize w:val="1"/>
      <w:tblStyleColBandSize w:val="1"/>
    </w:tblPr>
    <w:tcPr>
      <w:shd w:color="auto" w:fill="a02b93"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f1548"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7206d"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7206d"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7206d"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7206d" w:themeFill="accent5" w:themeFillShade="0000BF" w:val="clear"/>
      </w:tcPr>
    </w:tblStylePr>
  </w:style>
  <w:style w:type="table" w:styleId="DarkList-Accent6">
    <w:name w:val="Dark List Accent 6"/>
    <w:basedOn w:val="TableNormal"/>
    <w:uiPriority w:val="70"/>
    <w:rsid w:val="009900EA"/>
    <w:pPr>
      <w:spacing w:after="0" w:line="240" w:lineRule="auto"/>
    </w:pPr>
    <w:rPr>
      <w:rFonts w:eastAsiaTheme="minorEastAsia"/>
      <w:color w:val="ffffff" w:themeColor="background1"/>
      <w:kern w:val="0"/>
      <w:sz w:val="22"/>
      <w:szCs w:val="22"/>
      <w:lang w:val="en-US"/>
    </w:rPr>
    <w:tblPr>
      <w:tblStyleRowBandSize w:val="1"/>
      <w:tblStyleColBandSize w:val="1"/>
    </w:tblPr>
    <w:tcPr>
      <w:shd w:color="auto" w:fill="4ea72e"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65317"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a7c22"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a7c22"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a7c22"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a7c22" w:themeFill="accent6" w:themeFillShade="0000BF" w:val="clear"/>
      </w:tcPr>
    </w:tblStylePr>
  </w:style>
  <w:style w:type="table" w:styleId="ColourfulShading">
    <w:name w:val="Colorful Shading"/>
    <w:basedOn w:val="TableNormal"/>
    <w:uiPriority w:val="71"/>
    <w:rsid w:val="009900EA"/>
    <w:pPr>
      <w:spacing w:after="0" w:line="240" w:lineRule="auto"/>
    </w:pPr>
    <w:rPr>
      <w:rFonts w:eastAsiaTheme="minorEastAsia"/>
      <w:color w:val="000000" w:themeColor="text1"/>
      <w:kern w:val="0"/>
      <w:sz w:val="22"/>
      <w:szCs w:val="22"/>
      <w:lang w:val="en-US"/>
    </w:rPr>
    <w:tblPr>
      <w:tblStyleRowBandSize w:val="1"/>
      <w:tblStyleColBandSize w:val="1"/>
      <w:tblBorders>
        <w:top w:color="e97132"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e97132"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9900EA"/>
    <w:pPr>
      <w:spacing w:after="0" w:line="240" w:lineRule="auto"/>
    </w:pPr>
    <w:rPr>
      <w:rFonts w:eastAsiaTheme="minorEastAsia"/>
      <w:color w:val="000000" w:themeColor="text1"/>
      <w:kern w:val="0"/>
      <w:sz w:val="22"/>
      <w:szCs w:val="22"/>
      <w:lang w:val="en-US"/>
    </w:rPr>
    <w:tblPr>
      <w:tblStyleRowBandSize w:val="1"/>
      <w:tblStyleColBandSize w:val="1"/>
      <w:tblBorders>
        <w:top w:color="e97132" w:space="0" w:sz="24" w:themeColor="accent2" w:val="single"/>
        <w:left w:color="156082" w:space="0" w:sz="4" w:themeColor="accent1" w:val="single"/>
        <w:bottom w:color="156082" w:space="0" w:sz="4" w:themeColor="accent1" w:val="single"/>
        <w:right w:color="156082" w:space="0" w:sz="4" w:themeColor="accent1" w:val="single"/>
        <w:insideH w:color="ffffff" w:space="0" w:sz="4" w:themeColor="background1" w:val="single"/>
        <w:insideV w:color="ffffff" w:space="0" w:sz="4" w:themeColor="background1" w:val="single"/>
      </w:tblBorders>
    </w:tblPr>
    <w:tcPr>
      <w:shd w:color="auto" w:fill="e0f2fa" w:themeFill="accent1" w:themeFillTint="000019" w:val="clear"/>
    </w:tcPr>
    <w:tblStylePr w:type="firstRow">
      <w:rPr>
        <w:b w:val="1"/>
        <w:bCs w:val="1"/>
      </w:rPr>
      <w:tblPr/>
      <w:tcPr>
        <w:tcBorders>
          <w:top w:space="0" w:sz="0" w:val="nil"/>
          <w:left w:space="0" w:sz="0" w:val="nil"/>
          <w:bottom w:color="e97132"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c394d"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c394d" w:space="0" w:sz="4" w:themeColor="accent1" w:themeShade="000099" w:val="single"/>
          <w:insideV w:space="0" w:sz="0" w:val="nil"/>
        </w:tcBorders>
        <w:shd w:color="auto" w:fill="0c394d"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c394d" w:themeFill="accent1" w:themeFillShade="000099" w:val="clear"/>
      </w:tcPr>
    </w:tblStylePr>
    <w:tblStylePr w:type="band1Vert">
      <w:tblPr/>
      <w:tcPr>
        <w:shd w:color="auto" w:fill="83caeb" w:themeFill="accent1" w:themeFillTint="000066" w:val="clear"/>
      </w:tcPr>
    </w:tblStylePr>
    <w:tblStylePr w:type="band1Horz">
      <w:tblPr/>
      <w:tcPr>
        <w:shd w:color="auto" w:fill="64bde6" w:themeFill="accent1" w:themeFillTint="00007F" w:val="clear"/>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9900EA"/>
    <w:pPr>
      <w:spacing w:after="0" w:line="240" w:lineRule="auto"/>
    </w:pPr>
    <w:rPr>
      <w:rFonts w:eastAsiaTheme="minorEastAsia"/>
      <w:color w:val="000000" w:themeColor="text1"/>
      <w:kern w:val="0"/>
      <w:sz w:val="22"/>
      <w:szCs w:val="22"/>
      <w:lang w:val="en-US"/>
    </w:rPr>
    <w:tblPr>
      <w:tblStyleRowBandSize w:val="1"/>
      <w:tblStyleColBandSize w:val="1"/>
      <w:tblBorders>
        <w:top w:color="e97132" w:space="0" w:sz="24" w:themeColor="accent2" w:val="single"/>
        <w:left w:color="e97132" w:space="0" w:sz="4" w:themeColor="accent2" w:val="single"/>
        <w:bottom w:color="e97132" w:space="0" w:sz="4" w:themeColor="accent2" w:val="single"/>
        <w:right w:color="e97132" w:space="0" w:sz="4" w:themeColor="accent2" w:val="single"/>
        <w:insideH w:color="ffffff" w:space="0" w:sz="4" w:themeColor="background1" w:val="single"/>
        <w:insideV w:color="ffffff" w:space="0" w:sz="4" w:themeColor="background1" w:val="single"/>
      </w:tblBorders>
    </w:tblPr>
    <w:tcPr>
      <w:shd w:color="auto" w:fill="fcf0ea" w:themeFill="accent2" w:themeFillTint="000019" w:val="clear"/>
    </w:tcPr>
    <w:tblStylePr w:type="firstRow">
      <w:rPr>
        <w:b w:val="1"/>
        <w:bCs w:val="1"/>
      </w:rPr>
      <w:tblPr/>
      <w:tcPr>
        <w:tcBorders>
          <w:top w:space="0" w:sz="0" w:val="nil"/>
          <w:left w:space="0" w:sz="0" w:val="nil"/>
          <w:bottom w:color="e97132"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993f10"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993f10" w:space="0" w:sz="4" w:themeColor="accent2" w:themeShade="000099" w:val="single"/>
          <w:insideV w:space="0" w:sz="0" w:val="nil"/>
        </w:tcBorders>
        <w:shd w:color="auto" w:fill="993f10"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993f10" w:themeFill="accent2" w:themeFillShade="000099" w:val="clear"/>
      </w:tcPr>
    </w:tblStylePr>
    <w:tblStylePr w:type="band1Vert">
      <w:tblPr/>
      <w:tcPr>
        <w:shd w:color="auto" w:fill="f6c5ac" w:themeFill="accent2" w:themeFillTint="000066" w:val="clear"/>
      </w:tcPr>
    </w:tblStylePr>
    <w:tblStylePr w:type="band1Horz">
      <w:tblPr/>
      <w:tcPr>
        <w:shd w:color="auto" w:fill="f4b798" w:themeFill="accent2" w:themeFillTint="00007F" w:val="clear"/>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9900EA"/>
    <w:pPr>
      <w:spacing w:after="0" w:line="240" w:lineRule="auto"/>
    </w:pPr>
    <w:rPr>
      <w:rFonts w:eastAsiaTheme="minorEastAsia"/>
      <w:color w:val="000000" w:themeColor="text1"/>
      <w:kern w:val="0"/>
      <w:sz w:val="22"/>
      <w:szCs w:val="22"/>
      <w:lang w:val="en-US"/>
    </w:rPr>
    <w:tblPr>
      <w:tblStyleRowBandSize w:val="1"/>
      <w:tblStyleColBandSize w:val="1"/>
      <w:tblBorders>
        <w:top w:color="0f9ed5" w:space="0" w:sz="24" w:themeColor="accent4" w:val="single"/>
        <w:left w:color="196b24" w:space="0" w:sz="4" w:themeColor="accent3" w:val="single"/>
        <w:bottom w:color="196b24" w:space="0" w:sz="4" w:themeColor="accent3" w:val="single"/>
        <w:right w:color="196b24" w:space="0" w:sz="4" w:themeColor="accent3" w:val="single"/>
        <w:insideH w:color="ffffff" w:space="0" w:sz="4" w:themeColor="background1" w:val="single"/>
        <w:insideV w:color="ffffff" w:space="0" w:sz="4" w:themeColor="background1" w:val="single"/>
      </w:tblBorders>
    </w:tblPr>
    <w:tcPr>
      <w:shd w:color="auto" w:fill="e0f8e3" w:themeFill="accent3" w:themeFillTint="000019" w:val="clear"/>
    </w:tcPr>
    <w:tblStylePr w:type="firstRow">
      <w:rPr>
        <w:b w:val="1"/>
        <w:bCs w:val="1"/>
      </w:rPr>
      <w:tblPr/>
      <w:tcPr>
        <w:tcBorders>
          <w:top w:space="0" w:sz="0" w:val="nil"/>
          <w:left w:space="0" w:sz="0" w:val="nil"/>
          <w:bottom w:color="0f9ed5"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f4015"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0f4015" w:space="0" w:sz="4" w:themeColor="accent3" w:themeShade="000099" w:val="single"/>
          <w:insideV w:space="0" w:sz="0" w:val="nil"/>
        </w:tcBorders>
        <w:shd w:color="auto" w:fill="0f4015"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f4015" w:themeFill="accent3" w:themeFillShade="000099" w:val="clear"/>
      </w:tcPr>
    </w:tblStylePr>
    <w:tblStylePr w:type="band1Vert">
      <w:tblPr/>
      <w:tcPr>
        <w:shd w:color="auto" w:fill="84e290" w:themeFill="accent3" w:themeFillTint="000066" w:val="clear"/>
      </w:tcPr>
    </w:tblStylePr>
    <w:tblStylePr w:type="band1Horz">
      <w:tblPr/>
      <w:tcPr>
        <w:shd w:color="auto" w:fill="66db75" w:themeFill="accent3" w:themeFillTint="00007F" w:val="clear"/>
      </w:tcPr>
    </w:tblStylePr>
  </w:style>
  <w:style w:type="table" w:styleId="ColourfulShadingAccent4">
    <w:name w:val="Colorful Shading Accent 4"/>
    <w:basedOn w:val="TableNormal"/>
    <w:uiPriority w:val="71"/>
    <w:rsid w:val="009900EA"/>
    <w:pPr>
      <w:spacing w:after="0" w:line="240" w:lineRule="auto"/>
    </w:pPr>
    <w:rPr>
      <w:rFonts w:eastAsiaTheme="minorEastAsia"/>
      <w:color w:val="000000" w:themeColor="text1"/>
      <w:kern w:val="0"/>
      <w:sz w:val="22"/>
      <w:szCs w:val="22"/>
      <w:lang w:val="en-US"/>
    </w:rPr>
    <w:tblPr>
      <w:tblStyleRowBandSize w:val="1"/>
      <w:tblStyleColBandSize w:val="1"/>
      <w:tblBorders>
        <w:top w:color="196b24" w:space="0" w:sz="24" w:themeColor="accent3" w:val="single"/>
        <w:left w:color="0f9ed5" w:space="0" w:sz="4" w:themeColor="accent4" w:val="single"/>
        <w:bottom w:color="0f9ed5" w:space="0" w:sz="4" w:themeColor="accent4" w:val="single"/>
        <w:right w:color="0f9ed5" w:space="0" w:sz="4" w:themeColor="accent4" w:val="single"/>
        <w:insideH w:color="ffffff" w:space="0" w:sz="4" w:themeColor="background1" w:val="single"/>
        <w:insideV w:color="ffffff" w:space="0" w:sz="4" w:themeColor="background1" w:val="single"/>
      </w:tblBorders>
    </w:tblPr>
    <w:tcPr>
      <w:shd w:color="auto" w:fill="e5f6fd" w:themeFill="accent4" w:themeFillTint="000019" w:val="clear"/>
    </w:tcPr>
    <w:tblStylePr w:type="firstRow">
      <w:rPr>
        <w:b w:val="1"/>
        <w:bCs w:val="1"/>
      </w:rPr>
      <w:tblPr/>
      <w:tcPr>
        <w:tcBorders>
          <w:top w:space="0" w:sz="0" w:val="nil"/>
          <w:left w:space="0" w:sz="0" w:val="nil"/>
          <w:bottom w:color="196b24"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95e7f"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095e7f" w:space="0" w:sz="4" w:themeColor="accent4" w:themeShade="000099" w:val="single"/>
          <w:insideV w:space="0" w:sz="0" w:val="nil"/>
        </w:tcBorders>
        <w:shd w:color="auto" w:fill="095e7f"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95e7f" w:themeFill="accent4" w:themeFillShade="000099" w:val="clear"/>
      </w:tcPr>
    </w:tblStylePr>
    <w:tblStylePr w:type="band1Vert">
      <w:tblPr/>
      <w:tcPr>
        <w:shd w:color="auto" w:fill="95dcf7" w:themeFill="accent4" w:themeFillTint="000066" w:val="clear"/>
      </w:tcPr>
    </w:tblStylePr>
    <w:tblStylePr w:type="band1Horz">
      <w:tblPr/>
      <w:tcPr>
        <w:shd w:color="auto" w:fill="7bd3f5" w:themeFill="accent4" w:themeFillTint="00007F" w:val="clear"/>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9900EA"/>
    <w:pPr>
      <w:spacing w:after="0" w:line="240" w:lineRule="auto"/>
    </w:pPr>
    <w:rPr>
      <w:rFonts w:eastAsiaTheme="minorEastAsia"/>
      <w:color w:val="000000" w:themeColor="text1"/>
      <w:kern w:val="0"/>
      <w:sz w:val="22"/>
      <w:szCs w:val="22"/>
      <w:lang w:val="en-US"/>
    </w:rPr>
    <w:tblPr>
      <w:tblStyleRowBandSize w:val="1"/>
      <w:tblStyleColBandSize w:val="1"/>
      <w:tblBorders>
        <w:top w:color="4ea72e" w:space="0" w:sz="24" w:themeColor="accent6" w:val="single"/>
        <w:left w:color="a02b93" w:space="0" w:sz="4" w:themeColor="accent5" w:val="single"/>
        <w:bottom w:color="a02b93" w:space="0" w:sz="4" w:themeColor="accent5" w:val="single"/>
        <w:right w:color="a02b93" w:space="0" w:sz="4" w:themeColor="accent5" w:val="single"/>
        <w:insideH w:color="ffffff" w:space="0" w:sz="4" w:themeColor="background1" w:val="single"/>
        <w:insideV w:color="ffffff" w:space="0" w:sz="4" w:themeColor="background1" w:val="single"/>
      </w:tblBorders>
    </w:tblPr>
    <w:tcPr>
      <w:shd w:color="auto" w:fill="f8e7f6" w:themeFill="accent5" w:themeFillTint="000019" w:val="clear"/>
    </w:tcPr>
    <w:tblStylePr w:type="firstRow">
      <w:rPr>
        <w:b w:val="1"/>
        <w:bCs w:val="1"/>
      </w:rPr>
      <w:tblPr/>
      <w:tcPr>
        <w:tcBorders>
          <w:top w:space="0" w:sz="0" w:val="nil"/>
          <w:left w:space="0" w:sz="0" w:val="nil"/>
          <w:bottom w:color="4ea72e"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f1957"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5f1957" w:space="0" w:sz="4" w:themeColor="accent5" w:themeShade="000099" w:val="single"/>
          <w:insideV w:space="0" w:sz="0" w:val="nil"/>
        </w:tcBorders>
        <w:shd w:color="auto" w:fill="5f1957"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f1957" w:themeFill="accent5" w:themeFillShade="000099" w:val="clear"/>
      </w:tcPr>
    </w:tblStylePr>
    <w:tblStylePr w:type="band1Vert">
      <w:tblPr/>
      <w:tcPr>
        <w:shd w:color="auto" w:fill="e59edc" w:themeFill="accent5" w:themeFillTint="000066" w:val="clear"/>
      </w:tcPr>
    </w:tblStylePr>
    <w:tblStylePr w:type="band1Horz">
      <w:tblPr/>
      <w:tcPr>
        <w:shd w:color="auto" w:fill="de86d4" w:themeFill="accent5" w:themeFillTint="00007F" w:val="clear"/>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9900EA"/>
    <w:pPr>
      <w:spacing w:after="0" w:line="240" w:lineRule="auto"/>
    </w:pPr>
    <w:rPr>
      <w:rFonts w:eastAsiaTheme="minorEastAsia"/>
      <w:color w:val="000000" w:themeColor="text1"/>
      <w:kern w:val="0"/>
      <w:sz w:val="22"/>
      <w:szCs w:val="22"/>
      <w:lang w:val="en-US"/>
    </w:rPr>
    <w:tblPr>
      <w:tblStyleRowBandSize w:val="1"/>
      <w:tblStyleColBandSize w:val="1"/>
      <w:tblBorders>
        <w:top w:color="a02b93" w:space="0" w:sz="24" w:themeColor="accent5" w:val="single"/>
        <w:left w:color="4ea72e" w:space="0" w:sz="4" w:themeColor="accent6" w:val="single"/>
        <w:bottom w:color="4ea72e" w:space="0" w:sz="4" w:themeColor="accent6" w:val="single"/>
        <w:right w:color="4ea72e" w:space="0" w:sz="4" w:themeColor="accent6" w:val="single"/>
        <w:insideH w:color="ffffff" w:space="0" w:sz="4" w:themeColor="background1" w:val="single"/>
        <w:insideV w:color="ffffff" w:space="0" w:sz="4" w:themeColor="background1" w:val="single"/>
      </w:tblBorders>
    </w:tblPr>
    <w:tcPr>
      <w:shd w:color="auto" w:fill="ecf8e8" w:themeFill="accent6" w:themeFillTint="000019" w:val="clear"/>
    </w:tcPr>
    <w:tblStylePr w:type="firstRow">
      <w:rPr>
        <w:b w:val="1"/>
        <w:bCs w:val="1"/>
      </w:rPr>
      <w:tblPr/>
      <w:tcPr>
        <w:tcBorders>
          <w:top w:space="0" w:sz="0" w:val="nil"/>
          <w:left w:space="0" w:sz="0" w:val="nil"/>
          <w:bottom w:color="a02b93"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e641b"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2e641b" w:space="0" w:sz="4" w:themeColor="accent6" w:themeShade="000099" w:val="single"/>
          <w:insideV w:space="0" w:sz="0" w:val="nil"/>
        </w:tcBorders>
        <w:shd w:color="auto" w:fill="2e641b"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e641b" w:themeFill="accent6" w:themeFillShade="000099" w:val="clear"/>
      </w:tcPr>
    </w:tblStylePr>
    <w:tblStylePr w:type="band1Vert">
      <w:tblPr/>
      <w:tcPr>
        <w:shd w:color="auto" w:fill="b3e5a1" w:themeFill="accent6" w:themeFillTint="000066" w:val="clear"/>
      </w:tcPr>
    </w:tblStylePr>
    <w:tblStylePr w:type="band1Horz">
      <w:tblPr/>
      <w:tcPr>
        <w:shd w:color="auto" w:fill="a0df8a" w:themeFill="accent6" w:themeFillTint="00007F" w:val="clear"/>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9900EA"/>
    <w:pPr>
      <w:spacing w:after="0" w:line="240" w:lineRule="auto"/>
    </w:pPr>
    <w:rPr>
      <w:rFonts w:eastAsiaTheme="minorEastAsia"/>
      <w:color w:val="000000" w:themeColor="text1"/>
      <w:kern w:val="0"/>
      <w:sz w:val="22"/>
      <w:szCs w:val="22"/>
      <w:lang w:val="en-US"/>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cc5416" w:themeFill="accent2" w:themeFillShade="0000CC" w:val="clear"/>
      </w:tcPr>
    </w:tblStylePr>
    <w:tblStylePr w:type="lastRow">
      <w:rPr>
        <w:b w:val="1"/>
        <w:bCs w:val="1"/>
        <w:color w:val="cc5416"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urfulListAccent1">
    <w:name w:val="Colorful List Accent 1"/>
    <w:basedOn w:val="TableNormal"/>
    <w:uiPriority w:val="72"/>
    <w:rsid w:val="009900EA"/>
    <w:pPr>
      <w:spacing w:after="0" w:line="240" w:lineRule="auto"/>
    </w:pPr>
    <w:rPr>
      <w:rFonts w:eastAsiaTheme="minorEastAsia"/>
      <w:color w:val="000000" w:themeColor="text1"/>
      <w:kern w:val="0"/>
      <w:sz w:val="22"/>
      <w:szCs w:val="22"/>
      <w:lang w:val="en-US"/>
    </w:rPr>
    <w:tblPr>
      <w:tblStyleRowBandSize w:val="1"/>
      <w:tblStyleColBandSize w:val="1"/>
    </w:tblPr>
    <w:tcPr>
      <w:shd w:color="auto" w:fill="e0f2fa" w:themeFill="accent1" w:themeFillTint="000019" w:val="clear"/>
    </w:tcPr>
    <w:tblStylePr w:type="firstRow">
      <w:rPr>
        <w:b w:val="1"/>
        <w:bCs w:val="1"/>
        <w:color w:val="ffffff" w:themeColor="background1"/>
      </w:rPr>
      <w:tblPr/>
      <w:tcPr>
        <w:tcBorders>
          <w:bottom w:color="ffffff" w:space="0" w:sz="12" w:themeColor="background1" w:val="single"/>
        </w:tcBorders>
        <w:shd w:color="auto" w:fill="cc5416" w:themeFill="accent2" w:themeFillShade="0000CC" w:val="clear"/>
      </w:tcPr>
    </w:tblStylePr>
    <w:tblStylePr w:type="lastRow">
      <w:rPr>
        <w:b w:val="1"/>
        <w:bCs w:val="1"/>
        <w:color w:val="cc5416"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b2def2" w:themeFill="accent1" w:themeFillTint="00003F" w:val="clear"/>
      </w:tcPr>
    </w:tblStylePr>
    <w:tblStylePr w:type="band1Horz">
      <w:tblPr/>
      <w:tcPr>
        <w:shd w:color="auto" w:fill="c1e4f5" w:themeFill="accent1" w:themeFillTint="000033" w:val="clear"/>
      </w:tcPr>
    </w:tblStylePr>
  </w:style>
  <w:style w:type="table" w:styleId="ColourfulListAccent2">
    <w:name w:val="Colorful List Accent 2"/>
    <w:basedOn w:val="TableNormal"/>
    <w:uiPriority w:val="72"/>
    <w:rsid w:val="009900EA"/>
    <w:pPr>
      <w:spacing w:after="0" w:line="240" w:lineRule="auto"/>
    </w:pPr>
    <w:rPr>
      <w:rFonts w:eastAsiaTheme="minorEastAsia"/>
      <w:color w:val="000000" w:themeColor="text1"/>
      <w:kern w:val="0"/>
      <w:sz w:val="22"/>
      <w:szCs w:val="22"/>
      <w:lang w:val="en-US"/>
    </w:rPr>
    <w:tblPr>
      <w:tblStyleRowBandSize w:val="1"/>
      <w:tblStyleColBandSize w:val="1"/>
    </w:tblPr>
    <w:tcPr>
      <w:shd w:color="auto" w:fill="fcf0ea" w:themeFill="accent2" w:themeFillTint="000019" w:val="clear"/>
    </w:tcPr>
    <w:tblStylePr w:type="firstRow">
      <w:rPr>
        <w:b w:val="1"/>
        <w:bCs w:val="1"/>
        <w:color w:val="ffffff" w:themeColor="background1"/>
      </w:rPr>
      <w:tblPr/>
      <w:tcPr>
        <w:tcBorders>
          <w:bottom w:color="ffffff" w:space="0" w:sz="12" w:themeColor="background1" w:val="single"/>
        </w:tcBorders>
        <w:shd w:color="auto" w:fill="cc5416" w:themeFill="accent2" w:themeFillShade="0000CC" w:val="clear"/>
      </w:tcPr>
    </w:tblStylePr>
    <w:tblStylePr w:type="lastRow">
      <w:rPr>
        <w:b w:val="1"/>
        <w:bCs w:val="1"/>
        <w:color w:val="cc5416"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9dbcc" w:themeFill="accent2" w:themeFillTint="00003F" w:val="clear"/>
      </w:tcPr>
    </w:tblStylePr>
    <w:tblStylePr w:type="band1Horz">
      <w:tblPr/>
      <w:tcPr>
        <w:shd w:color="auto" w:fill="fae2d5" w:themeFill="accent2" w:themeFillTint="000033" w:val="clear"/>
      </w:tcPr>
    </w:tblStylePr>
  </w:style>
  <w:style w:type="table" w:styleId="ColourfulListAccent3">
    <w:name w:val="Colorful List Accent 3"/>
    <w:basedOn w:val="TableNormal"/>
    <w:uiPriority w:val="72"/>
    <w:rsid w:val="009900EA"/>
    <w:pPr>
      <w:spacing w:after="0" w:line="240" w:lineRule="auto"/>
    </w:pPr>
    <w:rPr>
      <w:rFonts w:eastAsiaTheme="minorEastAsia"/>
      <w:color w:val="000000" w:themeColor="text1"/>
      <w:kern w:val="0"/>
      <w:sz w:val="22"/>
      <w:szCs w:val="22"/>
      <w:lang w:val="en-US"/>
    </w:rPr>
    <w:tblPr>
      <w:tblStyleRowBandSize w:val="1"/>
      <w:tblStyleColBandSize w:val="1"/>
    </w:tblPr>
    <w:tcPr>
      <w:shd w:color="auto" w:fill="e0f8e3" w:themeFill="accent3" w:themeFillTint="000019" w:val="clear"/>
    </w:tcPr>
    <w:tblStylePr w:type="firstRow">
      <w:rPr>
        <w:b w:val="1"/>
        <w:bCs w:val="1"/>
        <w:color w:val="ffffff" w:themeColor="background1"/>
      </w:rPr>
      <w:tblPr/>
      <w:tcPr>
        <w:tcBorders>
          <w:bottom w:color="ffffff" w:space="0" w:sz="12" w:themeColor="background1" w:val="single"/>
        </w:tcBorders>
        <w:shd w:color="auto" w:fill="0c7eaa" w:themeFill="accent4" w:themeFillShade="0000CC" w:val="clear"/>
      </w:tcPr>
    </w:tblStylePr>
    <w:tblStylePr w:type="lastRow">
      <w:rPr>
        <w:b w:val="1"/>
        <w:bCs w:val="1"/>
        <w:color w:val="0c7eaa"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b3edba" w:themeFill="accent3" w:themeFillTint="00003F" w:val="clear"/>
      </w:tcPr>
    </w:tblStylePr>
    <w:tblStylePr w:type="band1Horz">
      <w:tblPr/>
      <w:tcPr>
        <w:shd w:color="auto" w:fill="c1f0c7" w:themeFill="accent3" w:themeFillTint="000033" w:val="clear"/>
      </w:tcPr>
    </w:tblStylePr>
  </w:style>
  <w:style w:type="table" w:styleId="ColourfulListAccent4">
    <w:name w:val="Colorful List Accent 4"/>
    <w:basedOn w:val="TableNormal"/>
    <w:uiPriority w:val="72"/>
    <w:rsid w:val="009900EA"/>
    <w:pPr>
      <w:spacing w:after="0" w:line="240" w:lineRule="auto"/>
    </w:pPr>
    <w:rPr>
      <w:rFonts w:eastAsiaTheme="minorEastAsia"/>
      <w:color w:val="000000" w:themeColor="text1"/>
      <w:kern w:val="0"/>
      <w:sz w:val="22"/>
      <w:szCs w:val="22"/>
      <w:lang w:val="en-US"/>
    </w:rPr>
    <w:tblPr>
      <w:tblStyleRowBandSize w:val="1"/>
      <w:tblStyleColBandSize w:val="1"/>
    </w:tblPr>
    <w:tcPr>
      <w:shd w:color="auto" w:fill="e5f6fd" w:themeFill="accent4" w:themeFillTint="000019" w:val="clear"/>
    </w:tcPr>
    <w:tblStylePr w:type="firstRow">
      <w:rPr>
        <w:b w:val="1"/>
        <w:bCs w:val="1"/>
        <w:color w:val="ffffff" w:themeColor="background1"/>
      </w:rPr>
      <w:tblPr/>
      <w:tcPr>
        <w:tcBorders>
          <w:bottom w:color="ffffff" w:space="0" w:sz="12" w:themeColor="background1" w:val="single"/>
        </w:tcBorders>
        <w:shd w:color="auto" w:fill="14551c" w:themeFill="accent3" w:themeFillShade="0000CC" w:val="clear"/>
      </w:tcPr>
    </w:tblStylePr>
    <w:tblStylePr w:type="lastRow">
      <w:rPr>
        <w:b w:val="1"/>
        <w:bCs w:val="1"/>
        <w:color w:val="14551c"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bde9fa" w:themeFill="accent4" w:themeFillTint="00003F" w:val="clear"/>
      </w:tcPr>
    </w:tblStylePr>
    <w:tblStylePr w:type="band1Horz">
      <w:tblPr/>
      <w:tcPr>
        <w:shd w:color="auto" w:fill="caedfb" w:themeFill="accent4" w:themeFillTint="000033" w:val="clear"/>
      </w:tcPr>
    </w:tblStylePr>
  </w:style>
  <w:style w:type="table" w:styleId="ColourfulListAccent5">
    <w:name w:val="Colorful List Accent 5"/>
    <w:basedOn w:val="TableNormal"/>
    <w:uiPriority w:val="72"/>
    <w:rsid w:val="009900EA"/>
    <w:pPr>
      <w:spacing w:after="0" w:line="240" w:lineRule="auto"/>
    </w:pPr>
    <w:rPr>
      <w:rFonts w:eastAsiaTheme="minorEastAsia"/>
      <w:color w:val="000000" w:themeColor="text1"/>
      <w:kern w:val="0"/>
      <w:sz w:val="22"/>
      <w:szCs w:val="22"/>
      <w:lang w:val="en-US"/>
    </w:rPr>
    <w:tblPr>
      <w:tblStyleRowBandSize w:val="1"/>
      <w:tblStyleColBandSize w:val="1"/>
    </w:tblPr>
    <w:tcPr>
      <w:shd w:color="auto" w:fill="f8e7f6" w:themeFill="accent5" w:themeFillTint="000019" w:val="clear"/>
    </w:tcPr>
    <w:tblStylePr w:type="firstRow">
      <w:rPr>
        <w:b w:val="1"/>
        <w:bCs w:val="1"/>
        <w:color w:val="ffffff" w:themeColor="background1"/>
      </w:rPr>
      <w:tblPr/>
      <w:tcPr>
        <w:tcBorders>
          <w:bottom w:color="ffffff" w:space="0" w:sz="12" w:themeColor="background1" w:val="single"/>
        </w:tcBorders>
        <w:shd w:color="auto" w:fill="3e8524" w:themeFill="accent6" w:themeFillShade="0000CC" w:val="clear"/>
      </w:tcPr>
    </w:tblStylePr>
    <w:tblStylePr w:type="lastRow">
      <w:rPr>
        <w:b w:val="1"/>
        <w:bCs w:val="1"/>
        <w:color w:val="3e8524"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c3e9" w:themeFill="accent5" w:themeFillTint="00003F" w:val="clear"/>
      </w:tcPr>
    </w:tblStylePr>
    <w:tblStylePr w:type="band1Horz">
      <w:tblPr/>
      <w:tcPr>
        <w:shd w:color="auto" w:fill="f2ceed" w:themeFill="accent5" w:themeFillTint="000033" w:val="clear"/>
      </w:tcPr>
    </w:tblStylePr>
  </w:style>
  <w:style w:type="table" w:styleId="ColourfulListAccent6">
    <w:name w:val="Colorful List Accent 6"/>
    <w:basedOn w:val="TableNormal"/>
    <w:uiPriority w:val="72"/>
    <w:rsid w:val="009900EA"/>
    <w:pPr>
      <w:spacing w:after="0" w:line="240" w:lineRule="auto"/>
    </w:pPr>
    <w:rPr>
      <w:rFonts w:eastAsiaTheme="minorEastAsia"/>
      <w:color w:val="000000" w:themeColor="text1"/>
      <w:kern w:val="0"/>
      <w:sz w:val="22"/>
      <w:szCs w:val="22"/>
      <w:lang w:val="en-US"/>
    </w:rPr>
    <w:tblPr>
      <w:tblStyleRowBandSize w:val="1"/>
      <w:tblStyleColBandSize w:val="1"/>
    </w:tblPr>
    <w:tcPr>
      <w:shd w:color="auto" w:fill="ecf8e8" w:themeFill="accent6" w:themeFillTint="000019" w:val="clear"/>
    </w:tcPr>
    <w:tblStylePr w:type="firstRow">
      <w:rPr>
        <w:b w:val="1"/>
        <w:bCs w:val="1"/>
        <w:color w:val="ffffff" w:themeColor="background1"/>
      </w:rPr>
      <w:tblPr/>
      <w:tcPr>
        <w:tcBorders>
          <w:bottom w:color="ffffff" w:space="0" w:sz="12" w:themeColor="background1" w:val="single"/>
        </w:tcBorders>
        <w:shd w:color="auto" w:fill="7f2275" w:themeFill="accent5" w:themeFillShade="0000CC" w:val="clear"/>
      </w:tcPr>
    </w:tblStylePr>
    <w:tblStylePr w:type="lastRow">
      <w:rPr>
        <w:b w:val="1"/>
        <w:bCs w:val="1"/>
        <w:color w:val="7f227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0efc5" w:themeFill="accent6" w:themeFillTint="00003F" w:val="clear"/>
      </w:tcPr>
    </w:tblStylePr>
    <w:tblStylePr w:type="band1Horz">
      <w:tblPr/>
      <w:tcPr>
        <w:shd w:color="auto" w:fill="d9f2d0" w:themeFill="accent6" w:themeFillTint="000033" w:val="clear"/>
      </w:tcPr>
    </w:tblStylePr>
  </w:style>
  <w:style w:type="table" w:styleId="ColourfulGrid">
    <w:name w:val="Colorful Grid"/>
    <w:basedOn w:val="TableNormal"/>
    <w:uiPriority w:val="73"/>
    <w:rsid w:val="009900EA"/>
    <w:pPr>
      <w:spacing w:after="0" w:line="240" w:lineRule="auto"/>
    </w:pPr>
    <w:rPr>
      <w:rFonts w:eastAsiaTheme="minorEastAsia"/>
      <w:color w:val="000000" w:themeColor="text1"/>
      <w:kern w:val="0"/>
      <w:sz w:val="22"/>
      <w:szCs w:val="22"/>
      <w:lang w:val="en-US"/>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urfulGridAccent1">
    <w:name w:val="Colorful Grid Accent 1"/>
    <w:basedOn w:val="TableNormal"/>
    <w:uiPriority w:val="73"/>
    <w:rsid w:val="009900EA"/>
    <w:pPr>
      <w:spacing w:after="0" w:line="240" w:lineRule="auto"/>
    </w:pPr>
    <w:rPr>
      <w:rFonts w:eastAsiaTheme="minorEastAsia"/>
      <w:color w:val="000000" w:themeColor="text1"/>
      <w:kern w:val="0"/>
      <w:sz w:val="22"/>
      <w:szCs w:val="22"/>
      <w:lang w:val="en-US"/>
    </w:rPr>
    <w:tblPr>
      <w:tblStyleRowBandSize w:val="1"/>
      <w:tblStyleColBandSize w:val="1"/>
      <w:tblBorders>
        <w:insideH w:color="ffffff" w:space="0" w:sz="4" w:themeColor="background1" w:val="single"/>
      </w:tblBorders>
    </w:tblPr>
    <w:tcPr>
      <w:shd w:color="auto" w:fill="c1e4f5" w:themeFill="accent1" w:themeFillTint="000033" w:val="clear"/>
    </w:tcPr>
    <w:tblStylePr w:type="firstRow">
      <w:rPr>
        <w:b w:val="1"/>
        <w:bCs w:val="1"/>
      </w:rPr>
      <w:tblPr/>
      <w:tcPr>
        <w:shd w:color="auto" w:fill="83caeb" w:themeFill="accent1" w:themeFillTint="000066" w:val="clear"/>
      </w:tcPr>
    </w:tblStylePr>
    <w:tblStylePr w:type="lastRow">
      <w:rPr>
        <w:b w:val="1"/>
        <w:bCs w:val="1"/>
        <w:color w:val="000000" w:themeColor="text1"/>
      </w:rPr>
      <w:tblPr/>
      <w:tcPr>
        <w:shd w:color="auto" w:fill="83caeb" w:themeFill="accent1" w:themeFillTint="000066" w:val="clear"/>
      </w:tcPr>
    </w:tblStylePr>
    <w:tblStylePr w:type="firstCol">
      <w:rPr>
        <w:color w:val="ffffff" w:themeColor="background1"/>
      </w:rPr>
      <w:tblPr/>
      <w:tcPr>
        <w:shd w:color="auto" w:fill="0f4761" w:themeFill="accent1" w:themeFillShade="0000BF" w:val="clear"/>
      </w:tcPr>
    </w:tblStylePr>
    <w:tblStylePr w:type="lastCol">
      <w:rPr>
        <w:color w:val="ffffff" w:themeColor="background1"/>
      </w:rPr>
      <w:tblPr/>
      <w:tcPr>
        <w:shd w:color="auto" w:fill="0f4761" w:themeFill="accent1" w:themeFillShade="0000BF" w:val="clear"/>
      </w:tcPr>
    </w:tblStylePr>
    <w:tblStylePr w:type="band1Vert">
      <w:tblPr/>
      <w:tcPr>
        <w:shd w:color="auto" w:fill="64bde6" w:themeFill="accent1" w:themeFillTint="00007F" w:val="clear"/>
      </w:tcPr>
    </w:tblStylePr>
    <w:tblStylePr w:type="band1Horz">
      <w:tblPr/>
      <w:tcPr>
        <w:shd w:color="auto" w:fill="64bde6" w:themeFill="accent1" w:themeFillTint="00007F" w:val="clear"/>
      </w:tcPr>
    </w:tblStylePr>
  </w:style>
  <w:style w:type="table" w:styleId="ColourfulGridAccent2">
    <w:name w:val="Colorful Grid Accent 2"/>
    <w:basedOn w:val="TableNormal"/>
    <w:uiPriority w:val="73"/>
    <w:rsid w:val="009900EA"/>
    <w:pPr>
      <w:spacing w:after="0" w:line="240" w:lineRule="auto"/>
    </w:pPr>
    <w:rPr>
      <w:rFonts w:eastAsiaTheme="minorEastAsia"/>
      <w:color w:val="000000" w:themeColor="text1"/>
      <w:kern w:val="0"/>
      <w:sz w:val="22"/>
      <w:szCs w:val="22"/>
      <w:lang w:val="en-US"/>
    </w:rPr>
    <w:tblPr>
      <w:tblStyleRowBandSize w:val="1"/>
      <w:tblStyleColBandSize w:val="1"/>
      <w:tblBorders>
        <w:insideH w:color="ffffff" w:space="0" w:sz="4" w:themeColor="background1" w:val="single"/>
      </w:tblBorders>
    </w:tblPr>
    <w:tcPr>
      <w:shd w:color="auto" w:fill="fae2d5" w:themeFill="accent2" w:themeFillTint="000033" w:val="clear"/>
    </w:tcPr>
    <w:tblStylePr w:type="firstRow">
      <w:rPr>
        <w:b w:val="1"/>
        <w:bCs w:val="1"/>
      </w:rPr>
      <w:tblPr/>
      <w:tcPr>
        <w:shd w:color="auto" w:fill="f6c5ac" w:themeFill="accent2" w:themeFillTint="000066" w:val="clear"/>
      </w:tcPr>
    </w:tblStylePr>
    <w:tblStylePr w:type="lastRow">
      <w:rPr>
        <w:b w:val="1"/>
        <w:bCs w:val="1"/>
        <w:color w:val="000000" w:themeColor="text1"/>
      </w:rPr>
      <w:tblPr/>
      <w:tcPr>
        <w:shd w:color="auto" w:fill="f6c5ac" w:themeFill="accent2" w:themeFillTint="000066" w:val="clear"/>
      </w:tcPr>
    </w:tblStylePr>
    <w:tblStylePr w:type="firstCol">
      <w:rPr>
        <w:color w:val="ffffff" w:themeColor="background1"/>
      </w:rPr>
      <w:tblPr/>
      <w:tcPr>
        <w:shd w:color="auto" w:fill="bf4e14" w:themeFill="accent2" w:themeFillShade="0000BF" w:val="clear"/>
      </w:tcPr>
    </w:tblStylePr>
    <w:tblStylePr w:type="lastCol">
      <w:rPr>
        <w:color w:val="ffffff" w:themeColor="background1"/>
      </w:rPr>
      <w:tblPr/>
      <w:tcPr>
        <w:shd w:color="auto" w:fill="bf4e14" w:themeFill="accent2" w:themeFillShade="0000BF" w:val="clear"/>
      </w:tcPr>
    </w:tblStylePr>
    <w:tblStylePr w:type="band1Vert">
      <w:tblPr/>
      <w:tcPr>
        <w:shd w:color="auto" w:fill="f4b798" w:themeFill="accent2" w:themeFillTint="00007F" w:val="clear"/>
      </w:tcPr>
    </w:tblStylePr>
    <w:tblStylePr w:type="band1Horz">
      <w:tblPr/>
      <w:tcPr>
        <w:shd w:color="auto" w:fill="f4b798" w:themeFill="accent2" w:themeFillTint="00007F" w:val="clear"/>
      </w:tcPr>
    </w:tblStylePr>
  </w:style>
  <w:style w:type="table" w:styleId="ColourfulGridAccent3">
    <w:name w:val="Colorful Grid Accent 3"/>
    <w:basedOn w:val="TableNormal"/>
    <w:uiPriority w:val="73"/>
    <w:rsid w:val="009900EA"/>
    <w:pPr>
      <w:spacing w:after="0" w:line="240" w:lineRule="auto"/>
    </w:pPr>
    <w:rPr>
      <w:rFonts w:eastAsiaTheme="minorEastAsia"/>
      <w:color w:val="000000" w:themeColor="text1"/>
      <w:kern w:val="0"/>
      <w:sz w:val="22"/>
      <w:szCs w:val="22"/>
      <w:lang w:val="en-US"/>
    </w:rPr>
    <w:tblPr>
      <w:tblStyleRowBandSize w:val="1"/>
      <w:tblStyleColBandSize w:val="1"/>
      <w:tblBorders>
        <w:insideH w:color="ffffff" w:space="0" w:sz="4" w:themeColor="background1" w:val="single"/>
      </w:tblBorders>
    </w:tblPr>
    <w:tcPr>
      <w:shd w:color="auto" w:fill="c1f0c7" w:themeFill="accent3" w:themeFillTint="000033" w:val="clear"/>
    </w:tcPr>
    <w:tblStylePr w:type="firstRow">
      <w:rPr>
        <w:b w:val="1"/>
        <w:bCs w:val="1"/>
      </w:rPr>
      <w:tblPr/>
      <w:tcPr>
        <w:shd w:color="auto" w:fill="84e290" w:themeFill="accent3" w:themeFillTint="000066" w:val="clear"/>
      </w:tcPr>
    </w:tblStylePr>
    <w:tblStylePr w:type="lastRow">
      <w:rPr>
        <w:b w:val="1"/>
        <w:bCs w:val="1"/>
        <w:color w:val="000000" w:themeColor="text1"/>
      </w:rPr>
      <w:tblPr/>
      <w:tcPr>
        <w:shd w:color="auto" w:fill="84e290" w:themeFill="accent3" w:themeFillTint="000066" w:val="clear"/>
      </w:tcPr>
    </w:tblStylePr>
    <w:tblStylePr w:type="firstCol">
      <w:rPr>
        <w:color w:val="ffffff" w:themeColor="background1"/>
      </w:rPr>
      <w:tblPr/>
      <w:tcPr>
        <w:shd w:color="auto" w:fill="124f1a" w:themeFill="accent3" w:themeFillShade="0000BF" w:val="clear"/>
      </w:tcPr>
    </w:tblStylePr>
    <w:tblStylePr w:type="lastCol">
      <w:rPr>
        <w:color w:val="ffffff" w:themeColor="background1"/>
      </w:rPr>
      <w:tblPr/>
      <w:tcPr>
        <w:shd w:color="auto" w:fill="124f1a" w:themeFill="accent3" w:themeFillShade="0000BF" w:val="clear"/>
      </w:tcPr>
    </w:tblStylePr>
    <w:tblStylePr w:type="band1Vert">
      <w:tblPr/>
      <w:tcPr>
        <w:shd w:color="auto" w:fill="66db75" w:themeFill="accent3" w:themeFillTint="00007F" w:val="clear"/>
      </w:tcPr>
    </w:tblStylePr>
    <w:tblStylePr w:type="band1Horz">
      <w:tblPr/>
      <w:tcPr>
        <w:shd w:color="auto" w:fill="66db75" w:themeFill="accent3" w:themeFillTint="00007F" w:val="clear"/>
      </w:tcPr>
    </w:tblStylePr>
  </w:style>
  <w:style w:type="table" w:styleId="ColourfulGridAccent4">
    <w:name w:val="Colorful Grid Accent 4"/>
    <w:basedOn w:val="TableNormal"/>
    <w:uiPriority w:val="73"/>
    <w:rsid w:val="009900EA"/>
    <w:pPr>
      <w:spacing w:after="0" w:line="240" w:lineRule="auto"/>
    </w:pPr>
    <w:rPr>
      <w:rFonts w:eastAsiaTheme="minorEastAsia"/>
      <w:color w:val="000000" w:themeColor="text1"/>
      <w:kern w:val="0"/>
      <w:sz w:val="22"/>
      <w:szCs w:val="22"/>
      <w:lang w:val="en-US"/>
    </w:rPr>
    <w:tblPr>
      <w:tblStyleRowBandSize w:val="1"/>
      <w:tblStyleColBandSize w:val="1"/>
      <w:tblBorders>
        <w:insideH w:color="ffffff" w:space="0" w:sz="4" w:themeColor="background1" w:val="single"/>
      </w:tblBorders>
    </w:tblPr>
    <w:tcPr>
      <w:shd w:color="auto" w:fill="caedfb" w:themeFill="accent4" w:themeFillTint="000033" w:val="clear"/>
    </w:tcPr>
    <w:tblStylePr w:type="firstRow">
      <w:rPr>
        <w:b w:val="1"/>
        <w:bCs w:val="1"/>
      </w:rPr>
      <w:tblPr/>
      <w:tcPr>
        <w:shd w:color="auto" w:fill="95dcf7" w:themeFill="accent4" w:themeFillTint="000066" w:val="clear"/>
      </w:tcPr>
    </w:tblStylePr>
    <w:tblStylePr w:type="lastRow">
      <w:rPr>
        <w:b w:val="1"/>
        <w:bCs w:val="1"/>
        <w:color w:val="000000" w:themeColor="text1"/>
      </w:rPr>
      <w:tblPr/>
      <w:tcPr>
        <w:shd w:color="auto" w:fill="95dcf7" w:themeFill="accent4" w:themeFillTint="000066" w:val="clear"/>
      </w:tcPr>
    </w:tblStylePr>
    <w:tblStylePr w:type="firstCol">
      <w:rPr>
        <w:color w:val="ffffff" w:themeColor="background1"/>
      </w:rPr>
      <w:tblPr/>
      <w:tcPr>
        <w:shd w:color="auto" w:fill="0b769f" w:themeFill="accent4" w:themeFillShade="0000BF" w:val="clear"/>
      </w:tcPr>
    </w:tblStylePr>
    <w:tblStylePr w:type="lastCol">
      <w:rPr>
        <w:color w:val="ffffff" w:themeColor="background1"/>
      </w:rPr>
      <w:tblPr/>
      <w:tcPr>
        <w:shd w:color="auto" w:fill="0b769f" w:themeFill="accent4" w:themeFillShade="0000BF" w:val="clear"/>
      </w:tcPr>
    </w:tblStylePr>
    <w:tblStylePr w:type="band1Vert">
      <w:tblPr/>
      <w:tcPr>
        <w:shd w:color="auto" w:fill="7bd3f5" w:themeFill="accent4" w:themeFillTint="00007F" w:val="clear"/>
      </w:tcPr>
    </w:tblStylePr>
    <w:tblStylePr w:type="band1Horz">
      <w:tblPr/>
      <w:tcPr>
        <w:shd w:color="auto" w:fill="7bd3f5" w:themeFill="accent4" w:themeFillTint="00007F" w:val="clear"/>
      </w:tcPr>
    </w:tblStylePr>
  </w:style>
  <w:style w:type="table" w:styleId="ColourfulGridAccent5">
    <w:name w:val="Colorful Grid Accent 5"/>
    <w:basedOn w:val="TableNormal"/>
    <w:uiPriority w:val="73"/>
    <w:rsid w:val="009900EA"/>
    <w:pPr>
      <w:spacing w:after="0" w:line="240" w:lineRule="auto"/>
    </w:pPr>
    <w:rPr>
      <w:rFonts w:eastAsiaTheme="minorEastAsia"/>
      <w:color w:val="000000" w:themeColor="text1"/>
      <w:kern w:val="0"/>
      <w:sz w:val="22"/>
      <w:szCs w:val="22"/>
      <w:lang w:val="en-US"/>
    </w:rPr>
    <w:tblPr>
      <w:tblStyleRowBandSize w:val="1"/>
      <w:tblStyleColBandSize w:val="1"/>
      <w:tblBorders>
        <w:insideH w:color="ffffff" w:space="0" w:sz="4" w:themeColor="background1" w:val="single"/>
      </w:tblBorders>
    </w:tblPr>
    <w:tcPr>
      <w:shd w:color="auto" w:fill="f2ceed" w:themeFill="accent5" w:themeFillTint="000033" w:val="clear"/>
    </w:tcPr>
    <w:tblStylePr w:type="firstRow">
      <w:rPr>
        <w:b w:val="1"/>
        <w:bCs w:val="1"/>
      </w:rPr>
      <w:tblPr/>
      <w:tcPr>
        <w:shd w:color="auto" w:fill="e59edc" w:themeFill="accent5" w:themeFillTint="000066" w:val="clear"/>
      </w:tcPr>
    </w:tblStylePr>
    <w:tblStylePr w:type="lastRow">
      <w:rPr>
        <w:b w:val="1"/>
        <w:bCs w:val="1"/>
        <w:color w:val="000000" w:themeColor="text1"/>
      </w:rPr>
      <w:tblPr/>
      <w:tcPr>
        <w:shd w:color="auto" w:fill="e59edc" w:themeFill="accent5" w:themeFillTint="000066" w:val="clear"/>
      </w:tcPr>
    </w:tblStylePr>
    <w:tblStylePr w:type="firstCol">
      <w:rPr>
        <w:color w:val="ffffff" w:themeColor="background1"/>
      </w:rPr>
      <w:tblPr/>
      <w:tcPr>
        <w:shd w:color="auto" w:fill="77206d" w:themeFill="accent5" w:themeFillShade="0000BF" w:val="clear"/>
      </w:tcPr>
    </w:tblStylePr>
    <w:tblStylePr w:type="lastCol">
      <w:rPr>
        <w:color w:val="ffffff" w:themeColor="background1"/>
      </w:rPr>
      <w:tblPr/>
      <w:tcPr>
        <w:shd w:color="auto" w:fill="77206d" w:themeFill="accent5" w:themeFillShade="0000BF" w:val="clear"/>
      </w:tcPr>
    </w:tblStylePr>
    <w:tblStylePr w:type="band1Vert">
      <w:tblPr/>
      <w:tcPr>
        <w:shd w:color="auto" w:fill="de86d4" w:themeFill="accent5" w:themeFillTint="00007F" w:val="clear"/>
      </w:tcPr>
    </w:tblStylePr>
    <w:tblStylePr w:type="band1Horz">
      <w:tblPr/>
      <w:tcPr>
        <w:shd w:color="auto" w:fill="de86d4" w:themeFill="accent5" w:themeFillTint="00007F" w:val="clear"/>
      </w:tcPr>
    </w:tblStylePr>
  </w:style>
  <w:style w:type="table" w:styleId="ColourfulGridAccent6">
    <w:name w:val="Colorful Grid Accent 6"/>
    <w:basedOn w:val="TableNormal"/>
    <w:uiPriority w:val="73"/>
    <w:rsid w:val="009900EA"/>
    <w:pPr>
      <w:spacing w:after="0" w:line="240" w:lineRule="auto"/>
    </w:pPr>
    <w:rPr>
      <w:rFonts w:eastAsiaTheme="minorEastAsia"/>
      <w:color w:val="000000" w:themeColor="text1"/>
      <w:kern w:val="0"/>
      <w:sz w:val="22"/>
      <w:szCs w:val="22"/>
      <w:lang w:val="en-US"/>
    </w:rPr>
    <w:tblPr>
      <w:tblStyleRowBandSize w:val="1"/>
      <w:tblStyleColBandSize w:val="1"/>
      <w:tblBorders>
        <w:insideH w:color="ffffff" w:space="0" w:sz="4" w:themeColor="background1" w:val="single"/>
      </w:tblBorders>
    </w:tblPr>
    <w:tcPr>
      <w:shd w:color="auto" w:fill="d9f2d0" w:themeFill="accent6" w:themeFillTint="000033" w:val="clear"/>
    </w:tcPr>
    <w:tblStylePr w:type="firstRow">
      <w:rPr>
        <w:b w:val="1"/>
        <w:bCs w:val="1"/>
      </w:rPr>
      <w:tblPr/>
      <w:tcPr>
        <w:shd w:color="auto" w:fill="b3e5a1" w:themeFill="accent6" w:themeFillTint="000066" w:val="clear"/>
      </w:tcPr>
    </w:tblStylePr>
    <w:tblStylePr w:type="lastRow">
      <w:rPr>
        <w:b w:val="1"/>
        <w:bCs w:val="1"/>
        <w:color w:val="000000" w:themeColor="text1"/>
      </w:rPr>
      <w:tblPr/>
      <w:tcPr>
        <w:shd w:color="auto" w:fill="b3e5a1" w:themeFill="accent6" w:themeFillTint="000066" w:val="clear"/>
      </w:tcPr>
    </w:tblStylePr>
    <w:tblStylePr w:type="firstCol">
      <w:rPr>
        <w:color w:val="ffffff" w:themeColor="background1"/>
      </w:rPr>
      <w:tblPr/>
      <w:tcPr>
        <w:shd w:color="auto" w:fill="3a7c22" w:themeFill="accent6" w:themeFillShade="0000BF" w:val="clear"/>
      </w:tcPr>
    </w:tblStylePr>
    <w:tblStylePr w:type="lastCol">
      <w:rPr>
        <w:color w:val="ffffff" w:themeColor="background1"/>
      </w:rPr>
      <w:tblPr/>
      <w:tcPr>
        <w:shd w:color="auto" w:fill="3a7c22" w:themeFill="accent6" w:themeFillShade="0000BF" w:val="clear"/>
      </w:tcPr>
    </w:tblStylePr>
    <w:tblStylePr w:type="band1Vert">
      <w:tblPr/>
      <w:tcPr>
        <w:shd w:color="auto" w:fill="a0df8a" w:themeFill="accent6" w:themeFillTint="00007F" w:val="clear"/>
      </w:tcPr>
    </w:tblStylePr>
    <w:tblStylePr w:type="band1Horz">
      <w:tblPr/>
      <w:tcPr>
        <w:shd w:color="auto" w:fill="a0df8a" w:themeFill="accent6" w:themeFillTint="00007F" w:val="clear"/>
      </w:tcPr>
    </w:tblStylePr>
  </w:style>
  <w:style w:type="character" w:styleId="Hyperlink">
    <w:name w:val="Hyperlink"/>
    <w:basedOn w:val="DefaultParagraphFont"/>
    <w:uiPriority w:val="99"/>
    <w:unhideWhenUsed w:val="1"/>
    <w:rsid w:val="009900EA"/>
    <w:rPr>
      <w:color w:val="467886" w:themeColor="hyperlink"/>
      <w:u w:val="single"/>
    </w:rPr>
  </w:style>
  <w:style w:type="character" w:styleId="UnresolvedMention">
    <w:name w:val="Unresolved Mention"/>
    <w:basedOn w:val="DefaultParagraphFont"/>
    <w:uiPriority w:val="99"/>
    <w:semiHidden w:val="1"/>
    <w:unhideWhenUsed w:val="1"/>
    <w:rsid w:val="009900EA"/>
    <w:rPr>
      <w:color w:val="605e5c"/>
      <w:shd w:color="auto" w:fill="e1dfdd" w:val="clear"/>
    </w:rPr>
  </w:style>
  <w:style w:type="character" w:styleId="FollowedHyperlink">
    <w:name w:val="FollowedHyperlink"/>
    <w:basedOn w:val="DefaultParagraphFont"/>
    <w:uiPriority w:val="99"/>
    <w:semiHidden w:val="1"/>
    <w:unhideWhenUsed w:val="1"/>
    <w:rsid w:val="00824BFC"/>
    <w:rPr>
      <w:color w:val="96607d" w:themeColor="followedHyperlink"/>
      <w:u w:val="single"/>
    </w:rPr>
  </w:style>
  <w:style w:type="character" w:styleId="ms-1" w:customStyle="1">
    <w:name w:val="ms-1"/>
    <w:basedOn w:val="DefaultParagraphFont"/>
    <w:rsid w:val="003066D5"/>
  </w:style>
  <w:style w:type="character" w:styleId="max-w-15ch" w:customStyle="1">
    <w:name w:val="max-w-[15ch]"/>
    <w:basedOn w:val="DefaultParagraphFont"/>
    <w:rsid w:val="003066D5"/>
  </w:style>
  <w:style w:type="character" w:styleId="-me-1" w:customStyle="1">
    <w:name w:val="-me-1"/>
    <w:basedOn w:val="DefaultParagraphFont"/>
    <w:rsid w:val="003066D5"/>
  </w:style>
  <w:style w:type="paragraph" w:styleId="NormalWeb">
    <w:name w:val="Normal (Web)"/>
    <w:basedOn w:val="Normal"/>
    <w:uiPriority w:val="99"/>
    <w:unhideWhenUsed w:val="1"/>
    <w:rsid w:val="001C2896"/>
    <w:pPr>
      <w:spacing w:after="100" w:afterAutospacing="1" w:before="100" w:beforeAutospacing="1" w:line="240" w:lineRule="auto"/>
    </w:pPr>
    <w:rPr>
      <w:rFonts w:ascii="Times New Roman" w:cs="Times New Roman" w:eastAsia="Times New Roman" w:hAnsi="Times New Roman"/>
      <w:sz w:val="24"/>
      <w:szCs w:val="24"/>
      <w:lang w:eastAsia="en-GB" w:val="en-GB"/>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telegraph.co.uk/money/investing/stocks-shares/hargreaves-lansdown-hit-tech-glitch-amid-market-turmoil/" TargetMode="External"/><Relationship Id="rId8" Type="http://schemas.openxmlformats.org/officeDocument/2006/relationships/hyperlink" Target="http://hl.co.u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DVNi9a4AHPlAqHVUdPVv/mvapA==">CgMxLjAyDmguNDdvMjBoMjZla3huOAByITFET3FiVllQeTN4SVVfOUszT2pKSTZROHkwdkw2MWdDSA==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2025-11-20T07:10:00Z</dcterms:created>
  <dc:creator>Victoria Hyde</dc:creator>
</cp:coreProperties>
</file>