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A2020"/>
          <w:sz w:val="28"/>
        </w:rPr>
        <w:t>DRAFT — not client-usable</w:t>
      </w:r>
    </w:p>
    <w:p>
      <w:pPr>
        <w:pStyle w:val="Title"/>
      </w:pPr>
      <w:r>
        <w:t>Executive Summary — Meridian Securities</w:t>
      </w:r>
    </w:p>
    <w:p>
      <w:r>
        <w:t>Generated 2026-07-20.</w:t>
      </w:r>
    </w:p>
    <w:p>
      <w:pPr>
        <w:pStyle w:val="Heading1"/>
      </w:pPr>
      <w:r>
        <w:t>Headline</w:t>
      </w:r>
    </w:p>
    <w:p>
      <w:r>
        <w:t>Platform value V = 61.2 (range 59.4–62.9)</w:t>
      </w:r>
    </w:p>
    <w:p>
      <w:r>
        <w:t>Overall assessment uncertainty: Very High.</w:t>
      </w:r>
    </w:p>
    <w:p>
      <w:pPr>
        <w:pStyle w:val="Heading1"/>
      </w:pPr>
      <w:r>
        <w:t>Platform Power triad</w:t>
      </w:r>
    </w:p>
    <w:p>
      <w:pPr>
        <w:pStyle w:val="ListBullet"/>
      </w:pPr>
      <w:r>
        <w:rPr>
          <w:b/>
        </w:rPr>
        <w:t>Economic Value: Established.</w:t>
      </w:r>
    </w:p>
    <w:p>
      <w:pPr>
        <w:pStyle w:val="ListBullet"/>
      </w:pPr>
      <w:r>
        <w:rPr>
          <w:b/>
        </w:rPr>
        <w:t>Perceived Value: Emerging.</w:t>
      </w:r>
    </w:p>
    <w:p>
      <w:pPr>
        <w:pStyle w:val="ListBullet"/>
      </w:pPr>
      <w:r>
        <w:rPr>
          <w:b/>
        </w:rPr>
        <w:t>Defence Value: Emerging.</w:t>
      </w:r>
    </w:p>
    <w:p>
      <w:pPr>
        <w:pStyle w:val="Heading1"/>
      </w:pPr>
      <w:r>
        <w:t>Where the platform is strong</w:t>
      </w:r>
    </w:p>
    <w:p>
      <w:pPr>
        <w:pStyle w:val="ListBullet"/>
      </w:pPr>
      <w:r>
        <w:t>No module reaches Advanced yet.</w:t>
      </w:r>
    </w:p>
    <w:p>
      <w:pPr>
        <w:pStyle w:val="Heading1"/>
      </w:pPr>
      <w:r>
        <w:t>Where the risk sits</w:t>
      </w:r>
    </w:p>
    <w:p>
      <w:pPr>
        <w:pStyle w:val="ListBullet"/>
      </w:pPr>
      <w:r>
        <w:t>Front End: gate blocked (a critical subcomponent is Not Assessed).</w:t>
      </w:r>
    </w:p>
    <w:p>
      <w:pPr>
        <w:pStyle w:val="ListBullet"/>
      </w:pPr>
      <w:r>
        <w:t>Application Server: gate blocked (a critical subcomponent is Not Assessed).</w:t>
      </w:r>
    </w:p>
    <w:p>
      <w:pPr>
        <w:pStyle w:val="ListBullet"/>
      </w:pPr>
      <w:r>
        <w:t>Market Data: gate blocked (a critical subcomponent is Not Assessed).</w:t>
      </w:r>
    </w:p>
    <w:p>
      <w:pPr>
        <w:pStyle w:val="ListBullet"/>
      </w:pPr>
      <w:r>
        <w:t>Orchestration: gate blocked (a critical subcomponent is Not Assessed).</w:t>
      </w:r>
    </w:p>
    <w:p>
      <w:pPr>
        <w:pStyle w:val="ListBullet"/>
      </w:pPr>
      <w:r>
        <w:t>Client Management System: gate blocked (a critical subcomponent is Not Assessed).</w:t>
      </w:r>
    </w:p>
    <w:p>
      <w:pPr>
        <w:pStyle w:val="ListBullet"/>
      </w:pPr>
      <w:r>
        <w:t>Back Office: gate blocked (a critical subcomponent is Not Assessed).</w:t>
      </w:r>
    </w:p>
    <w:p>
      <w:pPr>
        <w:pStyle w:val="ListBullet"/>
      </w:pPr>
      <w:r>
        <w:t>Order &amp; Execution Management: gate blocked (a critical subcomponent is Not Assessed).</w:t>
      </w:r>
    </w:p>
    <w:p>
      <w:pPr>
        <w:pStyle w:val="ListBullet"/>
      </w:pPr>
      <w:r>
        <w:t>EMS Gateway: gate blocked (a critical subcomponent is Not Assessed).</w:t>
      </w:r>
    </w:p>
    <w:p>
      <w:pPr>
        <w:pStyle w:val="ListBullet"/>
      </w:pPr>
      <w:r>
        <w:t>Liquidity &amp; Connectivity: gate blocked (a critical subcomponent is Not Assessed).</w:t>
      </w:r>
    </w:p>
    <w:p>
      <w:pPr>
        <w:pStyle w:val="Heading1"/>
      </w:pPr>
      <w:r>
        <w:t>Uncertainty at a glance</w:t>
      </w:r>
    </w:p>
    <w:p>
      <w:r>
        <w:t>P10–P90 ranges per index (P50 marked). An index whose inputs carried no confidence grade is shown as a point, never a false-tight band (Methodology §7).</w:t>
      </w:r>
    </w:p>
    <w:p>
      <w:r>
        <w:drawing>
          <wp:inline xmlns:a="http://schemas.openxmlformats.org/drawingml/2006/main" xmlns:pic="http://schemas.openxmlformats.org/drawingml/2006/picture">
            <wp:extent cx="5486400" cy="3056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A2020"/>
      </w:rPr>
      <w:t>DRAFT — not client-usable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