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5bc03b02d241002f4a2740bc3aa8539071b0d6"/>
    <w:p>
      <w:pPr>
        <w:pStyle w:val="Heading1"/>
      </w:pPr>
      <w:r>
        <w:t xml:space="preserve">DRAFT v3.0 — FOR REVIEW BY JASON AND SHU BEFORE IMPLEMENTATION</w:t>
      </w:r>
    </w:p>
    <w:bookmarkEnd w:id="9"/>
    <w:bookmarkStart w:id="10" w:name="Xa1c298b43be5a957e2a6bcf4bc6c73b6cef2c20"/>
    <w:p>
      <w:pPr>
        <w:pStyle w:val="Heading1"/>
      </w:pPr>
      <w:r>
        <w:t xml:space="preserve">Do not implement until explicitly approved.</w:t>
      </w:r>
    </w:p>
    <w:p>
      <w:r>
        <w:pict>
          <v:rect style="width:0;height:1.5pt" o:hralign="center" o:hrstd="t" o:hr="t"/>
        </w:pict>
      </w:r>
    </w:p>
    <w:bookmarkEnd w:id="10"/>
    <w:bookmarkStart w:id="59" w:name="prospereum-whitepaper-v3.0"/>
    <w:p>
      <w:pPr>
        <w:pStyle w:val="Heading1"/>
      </w:pPr>
      <w:r>
        <w:t xml:space="preserve">Prospereum — Whitepaper v3.0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PROSPEREUM Protocol (PSRE)</w:t>
      </w:r>
      <w:r>
        <w:t xml:space="preserve"> </w:t>
      </w:r>
      <w:r>
        <w:t xml:space="preserve">Proof of Net Retention</w:t>
      </w:r>
      <w:r>
        <w:t xml:space="preserve"> </w:t>
      </w:r>
      <w:r>
        <w:t xml:space="preserve">White Paper v3.0 (March 2026)</w:t>
      </w:r>
    </w:p>
    <w:p>
      <w:r>
        <w:pict>
          <v:rect style="width:0;height:1.5pt" o:hralign="center" o:hrstd="t" o:hr="t"/>
        </w:pict>
      </w:r>
    </w:p>
    <w:bookmarkStart w:id="11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Prospereum is a decentralized behavioral mining protocol that aligns economic demand with</w:t>
      </w:r>
      <w:r>
        <w:t xml:space="preserve"> </w:t>
      </w:r>
      <w:r>
        <w:t xml:space="preserve">progressive scarcity.</w:t>
      </w:r>
    </w:p>
    <w:p>
      <w:pPr>
        <w:pStyle w:val="BodyText"/>
      </w:pPr>
      <w:r>
        <w:t xml:space="preserve">Unlike Proof-of-Work (Bitcoin) or Proof-of-Stake (Ethereum), Prospereum introduces:</w:t>
      </w:r>
    </w:p>
    <w:p>
      <w:pPr>
        <w:pStyle w:val="BodyText"/>
      </w:pPr>
      <w:r>
        <w:rPr>
          <w:b/>
          <w:bCs/>
        </w:rPr>
        <w:t xml:space="preserve">Proof of Net Retention</w:t>
      </w:r>
    </w:p>
    <w:p>
      <w:pPr>
        <w:pStyle w:val="BodyText"/>
      </w:pPr>
      <w:r>
        <w:t xml:space="preserve">Token issuance is unlocked only when provable, sustained on-chain demand for PSRE is</w:t>
      </w:r>
      <w:r>
        <w:t xml:space="preserve"> </w:t>
      </w:r>
      <w:r>
        <w:t xml:space="preserve">generated — measured not by gross purchasing activity but by net retention of PSRE within</w:t>
      </w:r>
      <w:r>
        <w:t xml:space="preserve"> </w:t>
      </w:r>
      <w:r>
        <w:t xml:space="preserve">the partner’s ecosystem over time. Issuance is permanently constrained by an asymptotic</w:t>
      </w:r>
      <w:r>
        <w:t xml:space="preserve"> </w:t>
      </w:r>
      <w:r>
        <w:t xml:space="preserve">scarcity function tied solely to emitted supply.</w:t>
      </w:r>
    </w:p>
    <w:p>
      <w:pPr>
        <w:pStyle w:val="BodyText"/>
      </w:pPr>
      <w:r>
        <w:t xml:space="preserve">Prospereum is neutral infrastructure built for commerce rewards. It does not encode moral</w:t>
      </w:r>
      <w:r>
        <w:t xml:space="preserve"> </w:t>
      </w:r>
      <w:r>
        <w:t xml:space="preserve">judgment. Partners — ecommerce brands and DTC merchants — define aligned economic</w:t>
      </w:r>
      <w:r>
        <w:t xml:space="preserve"> </w:t>
      </w:r>
      <w:r>
        <w:t xml:space="preserve">activity by distributing PSRE to their customers as purchase rewards. The protocol measures</w:t>
      </w:r>
      <w:r>
        <w:t xml:space="preserve"> </w:t>
      </w:r>
      <w:r>
        <w:t xml:space="preserve">only net retained PSRE across the partner’s vault ecosystem and time-weighted participation.</w:t>
      </w:r>
    </w:p>
    <w:p>
      <w:pPr>
        <w:pStyle w:val="BodyText"/>
      </w:pPr>
      <w:r>
        <w:t xml:space="preserve">Wash trading is rendered economically impossible: any PSRE bought and immediately sold</w:t>
      </w:r>
      <w:r>
        <w:t xml:space="preserve"> </w:t>
      </w:r>
      <w:r>
        <w:t xml:space="preserve">produces zero net retention, zero reward, and a net loss equal to transaction costs plus the</w:t>
      </w:r>
      <w:r>
        <w:t xml:space="preserve"> </w:t>
      </w:r>
      <w:r>
        <w:t xml:space="preserve">non-refundable registration fee.</w:t>
      </w:r>
    </w:p>
    <w:p>
      <w:r>
        <w:pict>
          <v:rect style="width:0;height:1.5pt" o:hralign="center" o:hrstd="t" o:hr="t"/>
        </w:pict>
      </w:r>
    </w:p>
    <w:bookmarkEnd w:id="11"/>
    <w:bookmarkStart w:id="12" w:name="vision"/>
    <w:p>
      <w:pPr>
        <w:pStyle w:val="Heading2"/>
      </w:pPr>
      <w:r>
        <w:t xml:space="preserve">2. Vision</w:t>
      </w:r>
    </w:p>
    <w:p>
      <w:pPr>
        <w:pStyle w:val="FirstParagraph"/>
      </w:pPr>
      <w:r>
        <w:t xml:space="preserve">Bitcoin demonstrated decentralized scarcity.</w:t>
      </w:r>
      <w:r>
        <w:t xml:space="preserve"> </w:t>
      </w:r>
      <w:r>
        <w:t xml:space="preserve">Ethereum demonstrated programmable coordination.</w:t>
      </w:r>
      <w:r>
        <w:t xml:space="preserve"> </w:t>
      </w:r>
      <w:r>
        <w:t xml:space="preserve">Prospereum unifies both principles:</w:t>
      </w:r>
    </w:p>
    <w:p>
      <w:pPr>
        <w:pStyle w:val="Compact"/>
        <w:numPr>
          <w:ilvl w:val="0"/>
          <w:numId w:val="1001"/>
        </w:numPr>
      </w:pPr>
      <w:r>
        <w:t xml:space="preserve">Scarcity discipline</w:t>
      </w:r>
    </w:p>
    <w:p>
      <w:pPr>
        <w:pStyle w:val="Compact"/>
        <w:numPr>
          <w:ilvl w:val="0"/>
          <w:numId w:val="1001"/>
        </w:numPr>
      </w:pPr>
      <w:r>
        <w:t xml:space="preserve">Behavioral alignment</w:t>
      </w:r>
    </w:p>
    <w:p>
      <w:pPr>
        <w:pStyle w:val="FirstParagraph"/>
      </w:pPr>
      <w:r>
        <w:t xml:space="preserve">It is designed to:</w:t>
      </w:r>
    </w:p>
    <w:p>
      <w:pPr>
        <w:pStyle w:val="Compact"/>
        <w:numPr>
          <w:ilvl w:val="0"/>
          <w:numId w:val="1002"/>
        </w:numPr>
      </w:pPr>
      <w:r>
        <w:t xml:space="preserve">Reward real economic contribution — partners who genuinely distribute PSRE to customers</w:t>
      </w:r>
    </w:p>
    <w:p>
      <w:pPr>
        <w:pStyle w:val="Compact"/>
        <w:numPr>
          <w:ilvl w:val="0"/>
          <w:numId w:val="1002"/>
        </w:numPr>
      </w:pPr>
      <w:r>
        <w:t xml:space="preserve">Prevent inflationary farming and wash trading</w:t>
      </w:r>
    </w:p>
    <w:p>
      <w:pPr>
        <w:pStyle w:val="Compact"/>
        <w:numPr>
          <w:ilvl w:val="0"/>
          <w:numId w:val="1002"/>
        </w:numPr>
      </w:pPr>
      <w:r>
        <w:t xml:space="preserve">Eliminate discretionary mint authority</w:t>
      </w:r>
    </w:p>
    <w:p>
      <w:pPr>
        <w:pStyle w:val="Compact"/>
        <w:numPr>
          <w:ilvl w:val="0"/>
          <w:numId w:val="1002"/>
        </w:numPr>
      </w:pPr>
      <w:r>
        <w:t xml:space="preserve">Transition naturally from growth incentives to scarcity dominance</w:t>
      </w:r>
    </w:p>
    <w:p>
      <w:r>
        <w:pict>
          <v:rect style="width:0;height:1.5pt" o:hralign="center" o:hrstd="t" o:hr="t"/>
        </w:pict>
      </w:r>
    </w:p>
    <w:bookmarkEnd w:id="12"/>
    <w:bookmarkStart w:id="17" w:name="supply-model"/>
    <w:p>
      <w:pPr>
        <w:pStyle w:val="Heading2"/>
      </w:pPr>
      <w:r>
        <w:t xml:space="preserve">3. Supply Model</w:t>
      </w:r>
    </w:p>
    <w:bookmarkStart w:id="13" w:name="total-supply"/>
    <w:p>
      <w:pPr>
        <w:pStyle w:val="Heading3"/>
      </w:pPr>
      <w:r>
        <w:t xml:space="preserve">3.1 Total Supply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21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PSRE</m:t>
          </m:r>
        </m:oMath>
      </m:oMathPara>
    </w:p>
    <w:p>
      <w:pPr>
        <w:pStyle w:val="FirstParagraph"/>
      </w:pPr>
      <w:r>
        <w:t xml:space="preserve">This supply is immutable.</w:t>
      </w:r>
    </w:p>
    <w:bookmarkEnd w:id="13"/>
    <w:bookmarkStart w:id="14" w:name="allocation"/>
    <w:p>
      <w:pPr>
        <w:pStyle w:val="Heading3"/>
      </w:pPr>
      <w:r>
        <w:t xml:space="preserve">3.2 Allocation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Behavioral Mining Emission Reserve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12,600,000</w:t>
            </w:r>
          </w:p>
        </w:tc>
        <w:tc>
          <w:tcPr/>
          <w:p>
            <w:pPr>
              <w:pStyle w:val="Compact"/>
            </w:pPr>
            <w:r>
              <w:t xml:space="preserve">Not minted at genesis; reserved for future emission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&amp; Founders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4,200,000</w:t>
            </w:r>
          </w:p>
        </w:tc>
        <w:tc>
          <w:tcPr/>
          <w:p>
            <w:pPr>
              <w:pStyle w:val="Compact"/>
            </w:pPr>
            <w:r>
              <w:t xml:space="preserve">Minted at genesis to a vesting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 Growth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1,680,000</w:t>
            </w:r>
          </w:p>
        </w:tc>
        <w:tc>
          <w:tcPr/>
          <w:p>
            <w:pPr>
              <w:pStyle w:val="Compact"/>
            </w:pPr>
            <w:r>
              <w:t xml:space="preserve">Minted at genesis to Treasury Wallet (SAFE)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 Treasury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1,470,000</w:t>
            </w:r>
          </w:p>
        </w:tc>
        <w:tc>
          <w:tcPr/>
          <w:p>
            <w:pPr>
              <w:pStyle w:val="Compact"/>
            </w:pPr>
            <w:r>
              <w:t xml:space="preserve">Minted at genesis to Treasury Wallet (SAFE)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Liquidity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1,050,000</w:t>
            </w:r>
          </w:p>
        </w:tc>
        <w:tc>
          <w:tcPr/>
          <w:p>
            <w:pPr>
              <w:pStyle w:val="Compact"/>
            </w:pPr>
            <w:r>
              <w:t xml:space="preserve">Minted at genesis to Treasury Wallet (SAFE)</w:t>
            </w:r>
          </w:p>
        </w:tc>
      </w:tr>
    </w:tbl>
    <w:bookmarkEnd w:id="14"/>
    <w:bookmarkStart w:id="15" w:name="team-vesting"/>
    <w:p>
      <w:pPr>
        <w:pStyle w:val="Heading3"/>
      </w:pPr>
      <w:r>
        <w:t xml:space="preserve">3.3 Team Vesting</w:t>
      </w:r>
    </w:p>
    <w:p>
      <w:pPr>
        <w:pStyle w:val="Compact"/>
        <w:numPr>
          <w:ilvl w:val="0"/>
          <w:numId w:val="1003"/>
        </w:numPr>
      </w:pPr>
      <w:r>
        <w:t xml:space="preserve">1-year cliff</w:t>
      </w:r>
    </w:p>
    <w:p>
      <w:pPr>
        <w:pStyle w:val="Compact"/>
        <w:numPr>
          <w:ilvl w:val="0"/>
          <w:numId w:val="1003"/>
        </w:numPr>
      </w:pPr>
      <w:r>
        <w:t xml:space="preserve">4-year linear vesting</w:t>
      </w:r>
    </w:p>
    <w:p>
      <w:pPr>
        <w:pStyle w:val="Compact"/>
        <w:numPr>
          <w:ilvl w:val="0"/>
          <w:numId w:val="1003"/>
        </w:numPr>
      </w:pPr>
      <w:r>
        <w:t xml:space="preserve">Locked at genesis via Sablier streaming contract</w:t>
      </w:r>
    </w:p>
    <w:p>
      <w:pPr>
        <w:pStyle w:val="Compact"/>
        <w:numPr>
          <w:ilvl w:val="0"/>
          <w:numId w:val="1003"/>
        </w:numPr>
      </w:pPr>
      <w:r>
        <w:t xml:space="preserve">No governance override</w:t>
      </w:r>
    </w:p>
    <w:bookmarkEnd w:id="15"/>
    <w:bookmarkStart w:id="16" w:name="treasury-purpose"/>
    <w:p>
      <w:pPr>
        <w:pStyle w:val="Heading3"/>
      </w:pPr>
      <w:r>
        <w:t xml:space="preserve">3.4 Treasury Purpose</w:t>
      </w:r>
    </w:p>
    <w:p>
      <w:pPr>
        <w:pStyle w:val="FirstParagraph"/>
      </w:pPr>
      <w:r>
        <w:t xml:space="preserve">DAO Treasury is reserved for:</w:t>
      </w:r>
    </w:p>
    <w:p>
      <w:pPr>
        <w:pStyle w:val="Compact"/>
        <w:numPr>
          <w:ilvl w:val="0"/>
          <w:numId w:val="1004"/>
        </w:numPr>
      </w:pPr>
      <w:r>
        <w:t xml:space="preserve">Liquidity stabilization</w:t>
      </w:r>
    </w:p>
    <w:p>
      <w:pPr>
        <w:pStyle w:val="Compact"/>
        <w:numPr>
          <w:ilvl w:val="0"/>
          <w:numId w:val="1004"/>
        </w:numPr>
      </w:pPr>
      <w:r>
        <w:t xml:space="preserve">Audit funding</w:t>
      </w:r>
    </w:p>
    <w:p>
      <w:pPr>
        <w:pStyle w:val="Compact"/>
        <w:numPr>
          <w:ilvl w:val="0"/>
          <w:numId w:val="1004"/>
        </w:numPr>
      </w:pPr>
      <w:r>
        <w:t xml:space="preserve">Infrastructure support</w:t>
      </w:r>
    </w:p>
    <w:p>
      <w:pPr>
        <w:pStyle w:val="Compact"/>
        <w:numPr>
          <w:ilvl w:val="0"/>
          <w:numId w:val="1004"/>
        </w:numPr>
      </w:pPr>
      <w:r>
        <w:t xml:space="preserve">Ecosystem expansion</w:t>
      </w:r>
    </w:p>
    <w:p>
      <w:pPr>
        <w:pStyle w:val="FirstParagraph"/>
      </w:pPr>
      <w:r>
        <w:t xml:space="preserve">Treasury cannot mint additional tokens.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aunch-policy"/>
    <w:p>
      <w:pPr>
        <w:pStyle w:val="Heading2"/>
      </w:pPr>
      <w:r>
        <w:t xml:space="preserve">4. Launch Policy</w:t>
      </w:r>
    </w:p>
    <w:p>
      <w:pPr>
        <w:pStyle w:val="Compact"/>
        <w:numPr>
          <w:ilvl w:val="0"/>
          <w:numId w:val="1005"/>
        </w:numPr>
      </w:pPr>
      <w:r>
        <w:t xml:space="preserve">No pre-sale</w:t>
      </w:r>
    </w:p>
    <w:p>
      <w:pPr>
        <w:pStyle w:val="Compact"/>
        <w:numPr>
          <w:ilvl w:val="0"/>
          <w:numId w:val="1005"/>
        </w:numPr>
      </w:pPr>
      <w:r>
        <w:t xml:space="preserve">No private token sale</w:t>
      </w:r>
    </w:p>
    <w:p>
      <w:pPr>
        <w:pStyle w:val="Compact"/>
        <w:numPr>
          <w:ilvl w:val="0"/>
          <w:numId w:val="1005"/>
        </w:numPr>
      </w:pPr>
      <w:r>
        <w:t xml:space="preserve">No ICO</w:t>
      </w:r>
    </w:p>
    <w:p>
      <w:pPr>
        <w:pStyle w:val="Compact"/>
        <w:numPr>
          <w:ilvl w:val="0"/>
          <w:numId w:val="1005"/>
        </w:numPr>
      </w:pPr>
      <w:r>
        <w:t xml:space="preserve">No discounted insider allocation</w:t>
      </w:r>
    </w:p>
    <w:p>
      <w:pPr>
        <w:pStyle w:val="FirstParagraph"/>
      </w:pPr>
      <w:r>
        <w:t xml:space="preserve">Liquidity seeded solely from treasury allocation.</w:t>
      </w:r>
      <w:r>
        <w:t xml:space="preserve"> </w:t>
      </w:r>
      <w:r>
        <w:t xml:space="preserve">Behavioral mining begins only after first full epoch.</w:t>
      </w:r>
    </w:p>
    <w:p>
      <w:r>
        <w:pict>
          <v:rect style="width:0;height:1.5pt" o:hralign="center" o:hrstd="t" o:hr="t"/>
        </w:pict>
      </w:r>
    </w:p>
    <w:bookmarkEnd w:id="18"/>
    <w:bookmarkStart w:id="23" w:name="partner-ecosystem-architecture"/>
    <w:p>
      <w:pPr>
        <w:pStyle w:val="Heading2"/>
      </w:pPr>
      <w:r>
        <w:t xml:space="preserve">5. Partner Ecosystem Architecture</w:t>
      </w:r>
    </w:p>
    <w:bookmarkStart w:id="19" w:name="what-a-partner-is"/>
    <w:p>
      <w:pPr>
        <w:pStyle w:val="Heading3"/>
      </w:pPr>
      <w:r>
        <w:t xml:space="preserve">5.1 What a Partner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partner</w:t>
      </w:r>
      <w:r>
        <w:t xml:space="preserve"> </w:t>
      </w:r>
      <w:r>
        <w:t xml:space="preserve">is an ecommerce brand or DTC merchant that participates in Prospereum’s</w:t>
      </w:r>
      <w:r>
        <w:t xml:space="preserve"> </w:t>
      </w:r>
      <w:r>
        <w:t xml:space="preserve">commerce rewards infrastructure. Instead of offering customers a percentage discount at</w:t>
      </w:r>
      <w:r>
        <w:t xml:space="preserve"> </w:t>
      </w:r>
      <w:r>
        <w:t xml:space="preserve">checkout, the partner purchases PSRE and distributes it to customers as on-chain purchase</w:t>
      </w:r>
      <w:r>
        <w:t xml:space="preserve"> </w:t>
      </w:r>
      <w:r>
        <w:t xml:space="preserve">rewards.</w:t>
      </w:r>
    </w:p>
    <w:p>
      <w:pPr>
        <w:pStyle w:val="BodyText"/>
      </w:pPr>
      <w:r>
        <w:t xml:space="preserve">From the customer’s perspective, this is seamless: they receive</w:t>
      </w:r>
      <w:r>
        <w:t xml:space="preserve"> </w:t>
      </w:r>
      <w:r>
        <w:t xml:space="preserve">“X PSRE rewards”</w:t>
      </w:r>
      <w:r>
        <w:t xml:space="preserve"> </w:t>
      </w:r>
      <w:r>
        <w:t xml:space="preserve">credited in</w:t>
      </w:r>
      <w:r>
        <w:t xml:space="preserve"> </w:t>
      </w:r>
      <w:r>
        <w:t xml:space="preserve">the partner’s app or storefront. Customers do not need to interact with the blockchain directly.</w:t>
      </w:r>
      <w:r>
        <w:t xml:space="preserve"> </w:t>
      </w:r>
      <w:r>
        <w:t xml:space="preserve">The partner’s ecommerce backend (or Midas integration layer) handles all on-chain</w:t>
      </w:r>
      <w:r>
        <w:t xml:space="preserve"> </w:t>
      </w:r>
      <w:r>
        <w:t xml:space="preserve">interactions on their behalf.</w:t>
      </w:r>
    </w:p>
    <w:bookmarkEnd w:id="19"/>
    <w:bookmarkStart w:id="20" w:name="partnervault"/>
    <w:p>
      <w:pPr>
        <w:pStyle w:val="Heading3"/>
      </w:pPr>
      <w:r>
        <w:t xml:space="preserve">5.2 PartnerVault</w:t>
      </w:r>
    </w:p>
    <w:p>
      <w:pPr>
        <w:pStyle w:val="FirstParagraph"/>
      </w:pPr>
      <w:r>
        <w:t xml:space="preserve">Each partner holds a single</w:t>
      </w:r>
      <w:r>
        <w:t xml:space="preserve"> </w:t>
      </w:r>
      <w:r>
        <w:rPr>
          <w:b/>
          <w:bCs/>
        </w:rPr>
        <w:t xml:space="preserve">PartnerVault</w:t>
      </w:r>
      <w:r>
        <w:t xml:space="preserve"> </w:t>
      </w:r>
      <w:r>
        <w:t xml:space="preserve">— a dedicated smart contract that serves as the</w:t>
      </w:r>
      <w:r>
        <w:t xml:space="preserve"> </w:t>
      </w:r>
      <w:r>
        <w:t xml:space="preserve">partner’s on-chain identity for reward accounting. The PartnerVault:</w:t>
      </w:r>
    </w:p>
    <w:p>
      <w:pPr>
        <w:pStyle w:val="Compact"/>
        <w:numPr>
          <w:ilvl w:val="0"/>
          <w:numId w:val="1006"/>
        </w:numPr>
      </w:pPr>
      <w:r>
        <w:t xml:space="preserve">Receives USDC from the partner’s backend and executes PSRE purchases via a DEX</w:t>
      </w:r>
    </w:p>
    <w:p>
      <w:pPr>
        <w:pStyle w:val="Compact"/>
        <w:numPr>
          <w:ilvl w:val="0"/>
          <w:numId w:val="1006"/>
        </w:numPr>
      </w:pPr>
      <w:r>
        <w:t xml:space="preserve">Tracks the partner’s net retained PSRE balance across its ecosystem</w:t>
      </w:r>
    </w:p>
    <w:p>
      <w:pPr>
        <w:pStyle w:val="Compact"/>
        <w:numPr>
          <w:ilvl w:val="0"/>
          <w:numId w:val="1006"/>
        </w:numPr>
      </w:pPr>
      <w:r>
        <w:t xml:space="preserve">Maintains a registry of linked CustomerVaults</w:t>
      </w:r>
    </w:p>
    <w:p>
      <w:pPr>
        <w:pStyle w:val="Compact"/>
        <w:numPr>
          <w:ilvl w:val="0"/>
          <w:numId w:val="1006"/>
        </w:numPr>
      </w:pPr>
      <w:r>
        <w:t xml:space="preserve">Is the canonical accounting boundary for reward calculations</w:t>
      </w:r>
    </w:p>
    <w:bookmarkEnd w:id="20"/>
    <w:bookmarkStart w:id="21" w:name="customervault"/>
    <w:p>
      <w:pPr>
        <w:pStyle w:val="Heading3"/>
      </w:pPr>
      <w:r>
        <w:t xml:space="preserve">5.3 CustomerVault</w:t>
      </w:r>
    </w:p>
    <w:p>
      <w:pPr>
        <w:pStyle w:val="FirstParagraph"/>
      </w:pPr>
      <w:r>
        <w:t xml:space="preserve">For each customer who receives rewards, the partner deploys a lightweight</w:t>
      </w:r>
      <w:r>
        <w:t xml:space="preserve"> </w:t>
      </w:r>
      <w:r>
        <w:rPr>
          <w:b/>
          <w:bCs/>
        </w:rPr>
        <w:t xml:space="preserve">CustomerVault</w:t>
      </w:r>
      <w:r>
        <w:t xml:space="preserve"> </w:t>
      </w:r>
      <w:r>
        <w:t xml:space="preserve">contract. Key properties:</w:t>
      </w:r>
    </w:p>
    <w:p>
      <w:pPr>
        <w:pStyle w:val="Compact"/>
        <w:numPr>
          <w:ilvl w:val="0"/>
          <w:numId w:val="1007"/>
        </w:numPr>
      </w:pPr>
      <w:r>
        <w:t xml:space="preserve">The partner pays all gas costs for CustomerVault deployment and operation</w:t>
      </w:r>
    </w:p>
    <w:p>
      <w:pPr>
        <w:pStyle w:val="Compact"/>
        <w:numPr>
          <w:ilvl w:val="0"/>
          <w:numId w:val="1007"/>
        </w:numPr>
      </w:pPr>
      <w:r>
        <w:t xml:space="preserve">The CustomerVault is registered to (linked with) the parent PartnerVault at creation</w:t>
      </w:r>
    </w:p>
    <w:p>
      <w:pPr>
        <w:pStyle w:val="Compact"/>
        <w:numPr>
          <w:ilvl w:val="0"/>
          <w:numId w:val="1007"/>
        </w:numPr>
      </w:pPr>
      <w:r>
        <w:t xml:space="preserve">PSRE held in registered CustomerVaults counts toward the partner’s net retention score</w:t>
      </w:r>
    </w:p>
    <w:p>
      <w:pPr>
        <w:pStyle w:val="Compact"/>
        <w:numPr>
          <w:ilvl w:val="0"/>
          <w:numId w:val="1007"/>
        </w:numPr>
      </w:pPr>
      <w:r>
        <w:t xml:space="preserve">Customers interact with their rewards through the partner’s app UI, not the blockchain directly</w:t>
      </w:r>
    </w:p>
    <w:p>
      <w:pPr>
        <w:pStyle w:val="Compact"/>
        <w:numPr>
          <w:ilvl w:val="0"/>
          <w:numId w:val="1007"/>
        </w:numPr>
      </w:pPr>
      <w:r>
        <w:t xml:space="preserve">A CustomerVault can be claimed by the customer at any time by asserting their wallet address</w:t>
      </w:r>
    </w:p>
    <w:p>
      <w:pPr>
        <w:pStyle w:val="FirstParagraph"/>
      </w:pPr>
      <w:r>
        <w:t xml:space="preserve">This architecture makes Prospereum</w:t>
      </w:r>
      <w:r>
        <w:t xml:space="preserve"> </w:t>
      </w:r>
      <w:r>
        <w:rPr>
          <w:b/>
          <w:bCs/>
        </w:rPr>
        <w:t xml:space="preserve">blockchain-agnostic for end customers</w:t>
      </w:r>
      <w:r>
        <w:t xml:space="preserve"> </w:t>
      </w:r>
      <w:r>
        <w:t xml:space="preserve">while</w:t>
      </w:r>
      <w:r>
        <w:t xml:space="preserve"> </w:t>
      </w:r>
      <w:r>
        <w:t xml:space="preserve">preserving full on-chain verifiability for the protocol.</w:t>
      </w:r>
    </w:p>
    <w:bookmarkEnd w:id="21"/>
    <w:bookmarkStart w:id="22" w:name="vault-lifecycle-and-anti-spam-controls"/>
    <w:p>
      <w:pPr>
        <w:pStyle w:val="Heading3"/>
      </w:pPr>
      <w:r>
        <w:t xml:space="preserve">5.4 Vault Lifecycle and Anti-Spam Controls</w:t>
      </w:r>
    </w:p>
    <w:p>
      <w:pPr>
        <w:pStyle w:val="FirstParagraph"/>
      </w:pPr>
      <w:r>
        <w:t xml:space="preserve">To prevent vault spam and maintain registry integrity, the following lifecycle rules apply:</w:t>
      </w:r>
    </w:p>
    <w:p>
      <w:pPr>
        <w:pStyle w:val="BodyText"/>
      </w:pPr>
      <w:r>
        <w:rPr>
          <w:b/>
          <w:bCs/>
        </w:rPr>
        <w:t xml:space="preserve">Registration Fee</w:t>
      </w:r>
      <w:r>
        <w:t xml:space="preserve"> </w:t>
      </w:r>
      <w:r>
        <w:t xml:space="preserve">A non-refundable fee of approximately $50 USDC equivalent is paid to the protocol treasury</w:t>
      </w:r>
      <w:r>
        <w:t xml:space="preserve"> </w:t>
      </w:r>
      <w:r>
        <w:t xml:space="preserve">at PartnerVault creation. This discourages throwaway vault creation.</w:t>
      </w:r>
    </w:p>
    <w:p>
      <w:pPr>
        <w:pStyle w:val="BodyText"/>
      </w:pPr>
      <w:r>
        <w:rPr>
          <w:b/>
          <w:bCs/>
        </w:rPr>
        <w:t xml:space="preserve">Vault Bond</w:t>
      </w:r>
      <w:r>
        <w:t xml:space="preserve"> </w:t>
      </w:r>
      <w:r>
        <w:t xml:space="preserve">Partners must post a</w:t>
      </w:r>
      <w:r>
        <w:t xml:space="preserve"> </w:t>
      </w:r>
      <w:r>
        <w:rPr>
          <w:b/>
          <w:bCs/>
        </w:rPr>
        <w:t xml:space="preserve">$500 USDC bond</w:t>
      </w:r>
      <w:r>
        <w:t xml:space="preserve"> </w:t>
      </w:r>
      <w:r>
        <w:t xml:space="preserve">to create a PartnerVault. The bond is held in</w:t>
      </w:r>
      <w:r>
        <w:t xml:space="preserve"> </w:t>
      </w:r>
      <w:r>
        <w:t xml:space="preserve">escrow by the factory contract and returned upon proper deregistration. This ensures</w:t>
      </w:r>
      <w:r>
        <w:t xml:space="preserve"> </w:t>
      </w:r>
      <w:r>
        <w:t xml:space="preserve">skin-in-the-game and prevents trivial registration/deregistration cycling.</w:t>
      </w:r>
    </w:p>
    <w:p>
      <w:pPr>
        <w:pStyle w:val="BodyText"/>
      </w:pPr>
      <w:r>
        <w:rPr>
          <w:i/>
          <w:iCs/>
        </w:rPr>
        <w:t xml:space="preserve">Rationale:</w:t>
      </w:r>
      <w:r>
        <w:t xml:space="preserve"> </w:t>
      </w:r>
      <w:r>
        <w:t xml:space="preserve">A PSRE-denominated bond would become prohibitively expensive for legitimate</w:t>
      </w:r>
      <w:r>
        <w:t xml:space="preserve"> </w:t>
      </w:r>
      <w:r>
        <w:t xml:space="preserve">partners as PSRE appreciates in value over time. A fixed USDC denomination maintains</w:t>
      </w:r>
      <w:r>
        <w:t xml:space="preserve"> </w:t>
      </w:r>
      <w:r>
        <w:t xml:space="preserve">consistent deterrence value regardless of PSRE price, and avoids the need for a price oracle</w:t>
      </w:r>
      <w:r>
        <w:t xml:space="preserve"> </w:t>
      </w:r>
      <w:r>
        <w:t xml:space="preserve">for bond valuation.</w:t>
      </w:r>
    </w:p>
    <w:p>
      <w:pPr>
        <w:pStyle w:val="BodyText"/>
      </w:pPr>
      <w:r>
        <w:rPr>
          <w:b/>
          <w:bCs/>
        </w:rPr>
        <w:t xml:space="preserve">Minimum Activity</w:t>
      </w:r>
      <w:r>
        <w:t xml:space="preserve"> </w:t>
      </w:r>
      <w:r>
        <w:t xml:space="preserve">A PartnerVault must generate at least $50 USDC equivalent in buy activity per epoch to</w:t>
      </w:r>
      <w:r>
        <w:t xml:space="preserve"> </w:t>
      </w:r>
      <w:r>
        <w:t xml:space="preserve">remain in active status. Vaults below this threshold are considered inactive for that epoch.</w:t>
      </w:r>
    </w:p>
    <w:p>
      <w:pPr>
        <w:pStyle w:val="BodyText"/>
      </w:pPr>
      <w:r>
        <w:rPr>
          <w:b/>
          <w:bCs/>
        </w:rPr>
        <w:t xml:space="preserve">Vault Expiry</w:t>
      </w:r>
      <w:r>
        <w:t xml:space="preserve"> </w:t>
      </w:r>
      <w:r>
        <w:t xml:space="preserve">PartnerVaults with zero qualifying activity for 4 consecutive epochs are automatically marked</w:t>
      </w:r>
      <w:r>
        <w:t xml:space="preserve"> </w:t>
      </w:r>
      <w:r>
        <w:t xml:space="preserve">inactive, freeing their slot. The vault bond remains claimable by the partner upon</w:t>
      </w:r>
      <w:r>
        <w:t xml:space="preserve"> </w:t>
      </w:r>
      <w:r>
        <w:t xml:space="preserve">deregistration.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behavioral-mining-proof-of-net-retention"/>
    <w:p>
      <w:pPr>
        <w:pStyle w:val="Heading2"/>
      </w:pPr>
      <w:r>
        <w:t xml:space="preserve">6. Behavioral Mining — Proof of Net Retention</w:t>
      </w:r>
    </w:p>
    <w:bookmarkStart w:id="24" w:name="overview"/>
    <w:p>
      <w:pPr>
        <w:pStyle w:val="Heading3"/>
      </w:pPr>
      <w:r>
        <w:t xml:space="preserve">6.1 Overview</w:t>
      </w:r>
    </w:p>
    <w:p>
      <w:pPr>
        <w:pStyle w:val="FirstParagraph"/>
      </w:pPr>
      <w:r>
        <w:t xml:space="preserve">Each partner participates in the Prospereum protocol by maintaining a PartnerVault and a</w:t>
      </w:r>
      <w:r>
        <w:t xml:space="preserve"> </w:t>
      </w:r>
      <w:r>
        <w:t xml:space="preserve">network of linked CustomerVaults. The protocol rewards partners based on how much PSRE</w:t>
      </w:r>
      <w:r>
        <w:t xml:space="preserve"> </w:t>
      </w:r>
      <w:r>
        <w:t xml:space="preserve">they retain within their vault ecosystem, weighted by time.</w:t>
      </w:r>
    </w:p>
    <w:p>
      <w:pPr>
        <w:pStyle w:val="BodyText"/>
      </w:pPr>
      <w:r>
        <w:t xml:space="preserve">This is the core shift from v2.x: rewards are no longer based on</w:t>
      </w:r>
      <w:r>
        <w:t xml:space="preserve"> </w:t>
      </w:r>
      <w:r>
        <w:rPr>
          <w:b/>
          <w:bCs/>
        </w:rPr>
        <w:t xml:space="preserve">gross buying activity</w:t>
      </w:r>
      <w:r>
        <w:t xml:space="preserve"> </w:t>
      </w:r>
      <w:r>
        <w:t xml:space="preserve">but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net retained PSRE</w:t>
      </w:r>
      <w:r>
        <w:t xml:space="preserve"> </w:t>
      </w:r>
      <w:r>
        <w:t xml:space="preserve">— the amount of PSRE that stays within the partner’s ecosystem</w:t>
      </w:r>
      <w:r>
        <w:t xml:space="preserve"> </w:t>
      </w:r>
      <w:r>
        <w:t xml:space="preserve">(partner vault + customer vaults) after accounting for any PSRE that leaves to unregistered</w:t>
      </w:r>
      <w:r>
        <w:t xml:space="preserve"> </w:t>
      </w:r>
      <w:r>
        <w:t xml:space="preserve">addresses (DEX sales, external wallet transfers).</w:t>
      </w:r>
    </w:p>
    <w:p>
      <w:pPr>
        <w:pStyle w:val="BodyText"/>
      </w:pPr>
      <w:r>
        <w:rPr>
          <w:b/>
          <w:bCs/>
        </w:rPr>
        <w:t xml:space="preserve">Wash trading is structurally impossible under this model:</w:t>
      </w:r>
      <w:r>
        <w:t xml:space="preserve"> </w:t>
      </w:r>
      <w:r>
        <w:t xml:space="preserve">- A wash trader buys PSRE through their vault, then sells it to a DEX</w:t>
      </w:r>
      <w:r>
        <w:t xml:space="preserve"> </w:t>
      </w:r>
      <w:r>
        <w:t xml:space="preserve">- The PSRE leaving to an unregistered address is counted as</w:t>
      </w:r>
      <w:r>
        <w:t xml:space="preserve"> </w:t>
      </w:r>
      <w:r>
        <w:t xml:space="preserve">“leaked”</w:t>
      </w:r>
      <w:r>
        <w:t xml:space="preserve"> </w:t>
      </w:r>
      <w:r>
        <w:t xml:space="preserve">- Net retention = purchased − leaked ≈ 0</w:t>
      </w:r>
      <w:r>
        <w:t xml:space="preserve"> </w:t>
      </w:r>
      <w:r>
        <w:t xml:space="preserve">- Reward = 0</w:t>
      </w:r>
      <w:r>
        <w:t xml:space="preserve"> </w:t>
      </w:r>
      <w:r>
        <w:t xml:space="preserve">- The attacker’s only outcome is a loss equal to trading costs plus registration fee</w:t>
      </w:r>
    </w:p>
    <w:p>
      <w:pPr>
        <w:pStyle w:val="BodyText"/>
      </w:pPr>
      <w:r>
        <w:rPr>
          <w:b/>
          <w:bCs/>
        </w:rPr>
        <w:t xml:space="preserve">Real partners are unaffected:</w:t>
      </w:r>
      <w:r>
        <w:t xml:space="preserve"> </w:t>
      </w:r>
      <w:r>
        <w:t xml:space="preserve">- Partner buys PSRE, distributes to registered CustomerVaults</w:t>
      </w:r>
      <w:r>
        <w:t xml:space="preserve"> </w:t>
      </w:r>
      <w:r>
        <w:t xml:space="preserve">- All distributed PSRE remains within the registered vault ecosystem</w:t>
      </w:r>
      <w:r>
        <w:t xml:space="preserve"> </w:t>
      </w:r>
      <w:r>
        <w:t xml:space="preserve">- Net retention stays high</w:t>
      </w:r>
      <w:r>
        <w:t xml:space="preserve"> </w:t>
      </w:r>
      <w:r>
        <w:t xml:space="preserve">- Reward is positive and proportional to retained value × time held</w:t>
      </w:r>
    </w:p>
    <w:bookmarkEnd w:id="24"/>
    <w:bookmarkStart w:id="25" w:name="epoch"/>
    <w:p>
      <w:pPr>
        <w:pStyle w:val="Heading3"/>
      </w:pPr>
      <w:r>
        <w:t xml:space="preserve">6.2 Epoch</w:t>
      </w:r>
    </w:p>
    <w:p>
      <w:pPr>
        <w:pStyle w:val="FirstParagraph"/>
      </w:pPr>
      <w:r>
        <w:t xml:space="preserve">The protocol operates in discrete time intervals called</w:t>
      </w:r>
      <w:r>
        <w:t xml:space="preserve"> </w:t>
      </w:r>
      <w:r>
        <w:rPr>
          <w:b/>
          <w:bCs/>
        </w:rPr>
        <w:t xml:space="preserve">epochs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p</m:t>
              </m:r>
              <m:r>
                <m:t>o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rPr>
              <m:nor/>
              <m:sty m:val="p"/>
            </m:rPr>
            <m:t> days</m:t>
          </m:r>
        </m:oMath>
      </m:oMathPara>
    </w:p>
    <w:p>
      <w:pPr>
        <w:pStyle w:val="FirstParagraph"/>
      </w:pPr>
      <w:r>
        <w:t xml:space="preserve">All mining activity and rewards are calculated and emitted once per epoch.</w:t>
      </w:r>
    </w:p>
    <w:bookmarkEnd w:id="25"/>
    <w:bookmarkStart w:id="26" w:name="net-retained-psre"/>
    <w:p>
      <w:pPr>
        <w:pStyle w:val="Heading3"/>
      </w:pPr>
      <w:r>
        <w:t xml:space="preserve">6.3 Net Retained PSRE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net retained PSRE for partner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at epoch</w:t>
      </w:r>
      <w:r>
        <w:t xml:space="preserve"> </w:t>
      </w:r>
      <m:oMath>
        <m:r>
          <m:t>t</m:t>
        </m:r>
      </m:oMath>
      <w:r>
        <w:t xml:space="preserve">, defined as: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PSRE in PartnerVault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t>v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registered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PSRE in </m:t>
              </m:r>
            </m:e>
          </m:nary>
          <m:r>
            <m:t>c</m:t>
          </m:r>
          <m:r>
            <m:t>v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cumulative PSRE leaked to unregistered addresses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t xml:space="preserve">“leaked”</w:t>
      </w:r>
      <w:r>
        <w:t xml:space="preserve"> </w:t>
      </w:r>
      <w:r>
        <w:t xml:space="preserve">PSRE means PSRE transferred from any vault in</w:t>
      </w:r>
      <w:r>
        <w:t xml:space="preserve"> </w:t>
      </w:r>
      <m:oMath>
        <m:r>
          <m:t>p</m:t>
        </m:r>
      </m:oMath>
      <w:r>
        <w:t xml:space="preserve">’s ecosystem to an address</w:t>
      </w:r>
      <w:r>
        <w:t xml:space="preserve"> </w:t>
      </w:r>
      <w:r>
        <w:t xml:space="preserve">that is not a registered vault (i.e., sent to a DEX, an external EOA, or any unregistered</w:t>
      </w:r>
      <w:r>
        <w:t xml:space="preserve"> </w:t>
      </w:r>
      <w:r>
        <w:t xml:space="preserve">contract).</w:t>
      </w:r>
    </w:p>
    <w:bookmarkEnd w:id="26"/>
    <w:bookmarkStart w:id="27" w:name="time-weighted-retention-score"/>
    <w:p>
      <w:pPr>
        <w:pStyle w:val="Heading3"/>
      </w:pPr>
      <w:r>
        <w:t xml:space="preserve">6.4 Time-Weighted Retention Score</w:t>
      </w:r>
    </w:p>
    <w:p>
      <w:pPr>
        <w:pStyle w:val="FirstParagraph"/>
      </w:pPr>
      <w:r>
        <w:t xml:space="preserve">To reward not just the amount retained but the duration of retention, the protocol computes a</w:t>
      </w:r>
      <w:r>
        <w:t xml:space="preserve"> </w:t>
      </w:r>
      <w:r>
        <w:t xml:space="preserve">time-weighted retention score: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W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t>N</m:t>
              </m:r>
            </m:e>
          </m:nary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τ</m:t>
          </m:r>
        </m:oMath>
      </m:oMathPara>
    </w:p>
    <w:p>
      <w:pPr>
        <w:pStyle w:val="FirstParagraph"/>
      </w:pPr>
      <w:r>
        <w:t xml:space="preserve">In discrete implementation: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W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N</m:t>
              </m:r>
            </m:e>
          </m:nary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τ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checkpoints within the epoch (triggered by vault activity events)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duration between checkpoints.</w:t>
      </w:r>
    </w:p>
    <w:p>
      <w:pPr>
        <w:pStyle w:val="BodyText"/>
      </w:pPr>
      <w:r>
        <w:t xml:space="preserve">This mirrors the time-weighted stake model used for stakers, ensuring that holding PSRE</w:t>
      </w:r>
      <w:r>
        <w:t xml:space="preserve"> </w:t>
      </w:r>
      <w:r>
        <w:t xml:space="preserve">longer within an epoch produces a higher retention score.</w:t>
      </w:r>
    </w:p>
    <w:bookmarkEnd w:id="27"/>
    <w:bookmarkStart w:id="28" w:name="total-retention-budget"/>
    <w:p>
      <w:pPr>
        <w:pStyle w:val="Heading3"/>
      </w:pPr>
      <w:r>
        <w:t xml:space="preserve">6.5 Total Retention Budget</w:t>
      </w:r>
    </w:p>
    <w:p>
      <w:pPr>
        <w:pStyle w:val="FirstParagraph"/>
      </w:pPr>
      <w:r>
        <w:t xml:space="preserve">Total time-weighted retention across all active partners: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W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t>T</m:t>
              </m:r>
            </m:e>
          </m:nary>
          <m:r>
            <m:t>W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28"/>
    <w:bookmarkStart w:id="29" w:name="demand-based-emission-limit"/>
    <w:p>
      <w:pPr>
        <w:pStyle w:val="Heading3"/>
      </w:pPr>
      <w:r>
        <w:t xml:space="preserve">6.6 Demand-Based Emission Limit</w:t>
      </w:r>
    </w:p>
    <w:p>
      <w:pPr>
        <w:pStyle w:val="FirstParagraph"/>
      </w:pPr>
      <w:r>
        <w:t xml:space="preserve">The demand-based emission limit is driven by the</w:t>
      </w:r>
      <w:r>
        <w:t xml:space="preserve"> </w:t>
      </w:r>
      <w:r>
        <w:rPr>
          <w:b/>
          <w:bCs/>
        </w:rPr>
        <w:t xml:space="preserve">net increase</w:t>
      </w:r>
      <w:r>
        <w:t xml:space="preserve"> </w:t>
      </w:r>
      <w:r>
        <w:t xml:space="preserve">in total time-weighted</w:t>
      </w:r>
      <w:r>
        <w:t xml:space="preserve"> </w:t>
      </w:r>
      <w:r>
        <w:t xml:space="preserve">retention across all partners relative to the previous epoch: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t>W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W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e</m:t>
                      </m:r>
                      <m:r>
                        <m:t>p</m:t>
                      </m:r>
                      <m:r>
                        <m:t>o</m:t>
                      </m:r>
                      <m:r>
                        <m:t>c</m:t>
                      </m:r>
                      <m:r>
                        <m:t>h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 reward rate (default 10%, DAO-adjustable within bounds).</w:t>
      </w:r>
    </w:p>
    <w:p>
      <w:pPr>
        <w:pStyle w:val="BodyText"/>
      </w:pPr>
      <w:r>
        <w:rPr>
          <w:i/>
          <w:iCs/>
        </w:rPr>
        <w:t xml:space="preserve">Rationale:</w:t>
      </w:r>
      <w:r>
        <w:t xml:space="preserve"> </w:t>
      </w:r>
      <w:r>
        <w:t xml:space="preserve">This formula measures the net increase in time-weighted retention per epoch,</w:t>
      </w:r>
      <w:r>
        <w:t xml:space="preserve"> </w:t>
      </w:r>
      <w:r>
        <w:t xml:space="preserve">not the absolute level. It rewards new buying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sustained holding that expands the total</w:t>
      </w:r>
      <w:r>
        <w:t xml:space="preserve"> </w:t>
      </w:r>
      <w:r>
        <w:t xml:space="preserve">retention base, while applying zero reward (not negative) when ecosystem retention decreases.</w:t>
      </w:r>
      <w:r>
        <w:t xml:space="preserve"> </w:t>
      </w:r>
      <w:r>
        <w:t xml:space="preserve">Partners who simply maintain their existing holdings produce a positive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t>W</m:t>
        </m:r>
        <m:r>
          <m:t>R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T</m:t>
        </m:r>
        <m:r>
          <m:t>W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e</m:t>
            </m:r>
            <m:r>
              <m:t>p</m:t>
            </m:r>
            <m:r>
              <m:t>o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for a constant hold). Partners who buy more or attract new</w:t>
      </w:r>
      <w:r>
        <w:t xml:space="preserve"> </w:t>
      </w:r>
      <w:r>
        <w:t xml:space="preserve">customers increase their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t>W</m:t>
        </m:r>
        <m:r>
          <m:t>R</m:t>
        </m:r>
      </m:oMath>
      <w:r>
        <w:t xml:space="preserve"> </w:t>
      </w:r>
      <w:r>
        <w:t xml:space="preserve">further.</w:t>
      </w:r>
    </w:p>
    <w:p>
      <w:pPr>
        <w:pStyle w:val="BodyText"/>
      </w:pPr>
      <w:r>
        <w:t xml:space="preserve">This ensures that emission scales with genuine, sustained demand growth — not transient buy</w:t>
      </w:r>
      <w:r>
        <w:t xml:space="preserve"> </w:t>
      </w:r>
      <w:r>
        <w:t xml:space="preserve">pressure or static position holding that doesn’t reflect new ecosystem participation.</w:t>
      </w:r>
    </w:p>
    <w:bookmarkEnd w:id="29"/>
    <w:bookmarkStart w:id="30" w:name="scarcity-based-emission-limit"/>
    <w:p>
      <w:pPr>
        <w:pStyle w:val="Heading3"/>
      </w:pPr>
      <w:r>
        <w:t xml:space="preserve">6.7 Scarcity-Based Emission Limit</w:t>
      </w:r>
    </w:p>
    <w:p>
      <w:pPr>
        <w:pStyle w:val="FirstParagraph"/>
      </w:pPr>
      <w:r>
        <w:t xml:space="preserve">To enforce long-term scarcity, emission is also limited by the remaining emission reserve.</w:t>
      </w:r>
    </w:p>
    <w:p>
      <w:pPr>
        <w:pStyle w:val="BodyText"/>
      </w:pPr>
      <w:r>
        <w:t xml:space="preserve">Let: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PSRE</m:t>
          </m:r>
          <m:r>
            <m:t> </m:t>
          </m:r>
          <m:r>
            <m:rPr>
              <m:nor/>
              <m:sty m:val="p"/>
            </m:rPr>
            <m:t>(total emission reserve)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cumulative PSRE already emitted. The scarcity-based emission cap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initial weekly emission ceiling (default: 0.1% of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 i.e., 12,600 PSRE/week)</w:t>
      </w:r>
    </w:p>
    <w:p>
      <w:pPr>
        <w:pStyle w:val="Compact"/>
        <w:numPr>
          <w:ilvl w:val="0"/>
          <w:numId w:val="1008"/>
        </w:numPr>
      </w:pPr>
      <m:oMath>
        <m:r>
          <m:t>k</m:t>
        </m:r>
      </m:oMath>
      <w:r>
        <w:t xml:space="preserve"> </w:t>
      </w:r>
      <w:r>
        <w:t xml:space="preserve">= scarcity exponent (default: 2, immutable)</w:t>
      </w:r>
    </w:p>
    <w:p>
      <w:pPr>
        <w:pStyle w:val="FirstParagraph"/>
      </w:pPr>
      <w:r>
        <w:t xml:space="preserve">As the reserve is depleted, emission decreases smoothly toward zero.</w:t>
      </w:r>
    </w:p>
    <w:bookmarkEnd w:id="30"/>
    <w:bookmarkStart w:id="31" w:name="final-emission-budget"/>
    <w:p>
      <w:pPr>
        <w:pStyle w:val="Heading3"/>
      </w:pPr>
      <w:r>
        <w:t xml:space="preserve">6.8 Final Emission Budget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individual-reward-calculation"/>
    <w:p>
      <w:pPr>
        <w:pStyle w:val="Heading2"/>
      </w:pPr>
      <w:r>
        <w:t xml:space="preserve">7. Individual Reward Calculation</w:t>
      </w:r>
    </w:p>
    <w:bookmarkStart w:id="33" w:name="budget-split"/>
    <w:p>
      <w:pPr>
        <w:pStyle w:val="Heading3"/>
      </w:pPr>
      <w:r>
        <w:t xml:space="preserve">7.1 Budget Split</w:t>
      </w:r>
    </w:p>
    <w:p>
      <w:pPr>
        <w:pStyle w:val="FirstParagraph"/>
      </w:pPr>
      <w:r>
        <w:t xml:space="preserve">The total emission budget for epoch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divided into two pools: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0.30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33"/>
    <w:bookmarkStart w:id="34" w:name="X1dd5dba8f30ac5e3d3b5e74e78f61f396ea838e"/>
    <w:p>
      <w:pPr>
        <w:pStyle w:val="Heading3"/>
      </w:pPr>
      <w:r>
        <w:t xml:space="preserve">7.2 Partner Status — Rolling Behavioral Mining Performance</w:t>
      </w:r>
    </w:p>
    <w:p>
      <w:pPr>
        <w:pStyle w:val="FirstParagraph"/>
      </w:pPr>
      <w:r>
        <w:t xml:space="preserve">The protocol maintains a rolling contribution score for each partner based on their</w:t>
      </w:r>
      <w:r>
        <w:t xml:space="preserve"> </w:t>
      </w:r>
      <w:r>
        <w:t xml:space="preserve">time-weighted retention: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θ</m:t>
          </m:r>
          <m:r>
            <m:rPr>
              <m:sty m:val="p"/>
            </m:rPr>
            <m:t>⋅</m:t>
          </m:r>
          <m:r>
            <m:t>T</m:t>
          </m:r>
          <m:r>
            <m:t>W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0.0769</m:t>
          </m:r>
          <m:r>
            <m:t> </m:t>
          </m:r>
          <m:r>
            <m:rPr>
              <m:nor/>
              <m:sty m:val="p"/>
            </m:rPr>
            <m:t>(13-epoch exponential moving average</m:t>
          </m:r>
          <m:r>
            <m:rPr>
              <m:sty m:val="p"/>
            </m:rPr>
            <m:t>≈</m:t>
          </m:r>
          <m:r>
            <m:rPr>
              <m:nor/>
              <m:sty m:val="p"/>
            </m:rPr>
            <m:t>one calendar quarter)</m:t>
          </m:r>
        </m:oMath>
      </m:oMathPara>
    </w:p>
    <w:p>
      <w:pPr>
        <w:pStyle w:val="FirstParagraph"/>
      </w:pPr>
      <w:r>
        <w:t xml:space="preserve">The partner’s percentage share of ecosystem 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Based on this share, the partner is assigned a tier: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Contribution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s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l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l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Default thresholds: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  <m:r>
                <m:t>i</m:t>
              </m:r>
              <m:r>
                <m:t>l</m:t>
              </m:r>
              <m:r>
                <m:t>v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0.005</m:t>
          </m:r>
          <m:r>
            <m:t> 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g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0.020</m:t>
          </m:r>
          <m:r>
            <m:t> </m:t>
          </m:r>
          <m:r>
            <m:rPr>
              <m:sty m:val="p"/>
            </m:rPr>
            <m:t>(</m:t>
          </m:r>
          <m:r>
            <m:t>2.0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bookmarkEnd w:id="34"/>
    <w:bookmarkStart w:id="35" w:name="tier-reward-rate"/>
    <w:p>
      <w:pPr>
        <w:pStyle w:val="Heading3"/>
      </w:pPr>
      <w:r>
        <w:t xml:space="preserve">7.3 Tier Reward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Reward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</w:tbl>
    <w:p>
      <w:pPr>
        <w:pStyle w:val="BodyText"/>
      </w:pPr>
      <w:r>
        <w:t xml:space="preserve">If total raw rewards demanded by partners exceed the protocol’s emission budget for that</w:t>
      </w:r>
      <w:r>
        <w:t xml:space="preserve"> </w:t>
      </w:r>
      <w:r>
        <w:t xml:space="preserve">epoch, reward rates are proportionally scaled down so that total rewards remain within the</w:t>
      </w:r>
      <w:r>
        <w:t xml:space="preserve"> </w:t>
      </w:r>
      <w:r>
        <w:t xml:space="preserve">allowed emission.</w:t>
      </w:r>
    </w:p>
    <w:bookmarkEnd w:id="35"/>
    <w:bookmarkStart w:id="36" w:name="partner-reward-calculation"/>
    <w:p>
      <w:pPr>
        <w:pStyle w:val="Heading3"/>
      </w:pPr>
      <w:r>
        <w:t xml:space="preserve">7.4 Partner Reward Calculation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reward rate assigned to partner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epoch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Raw reward entitlement (based on time-weighted retention):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T</m:t>
          </m:r>
          <m:r>
            <m:t>W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Total reward demand: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Reward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raw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n</m:t>
            </m:r>
            <m:r>
              <m:t>e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partners receive the full reward.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B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n</m:t>
            </m:r>
            <m:r>
              <m:t>e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rewards are scaled proportionally: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t</m:t>
                  </m:r>
                  <m:r>
                    <m:t>n</m:t>
                  </m:r>
                  <m:r>
                    <m:t>e</m:t>
                  </m:r>
                  <m:r>
                    <m:t>r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36"/>
    <w:bookmarkStart w:id="37" w:name="reward-vesting"/>
    <w:p>
      <w:pPr>
        <w:pStyle w:val="Heading3"/>
      </w:pPr>
      <w:r>
        <w:t xml:space="preserve">7.5 Reward Vesting</w:t>
      </w:r>
    </w:p>
    <w:p>
      <w:pPr>
        <w:pStyle w:val="FirstParagraph"/>
      </w:pPr>
      <w:r>
        <w:t xml:space="preserve">To prevent hit-and-run participation, partner rewards are subject to a</w:t>
      </w:r>
      <w:r>
        <w:t xml:space="preserve"> </w:t>
      </w:r>
      <w:r>
        <w:rPr>
          <w:b/>
          <w:bCs/>
        </w:rPr>
        <w:t xml:space="preserve">4-epoch vesting</w:t>
      </w:r>
      <w:r>
        <w:rPr>
          <w:b/>
          <w:bCs/>
        </w:rP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before they become claimable.</w:t>
      </w:r>
    </w:p>
    <w:p>
      <w:pPr>
        <w:pStyle w:val="BodyText"/>
      </w:pPr>
      <w:r>
        <w:t xml:space="preserve">Rewards earned in epoch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 released linearly across epochs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(25% per</w:t>
      </w:r>
      <w:r>
        <w:t xml:space="preserve"> </w:t>
      </w:r>
      <w:r>
        <w:t xml:space="preserve">epoch). Once a partner has been active for 4+ epochs, rewards vest continuously — new</w:t>
      </w:r>
      <w:r>
        <w:t xml:space="preserve"> </w:t>
      </w:r>
      <w:r>
        <w:t xml:space="preserve">tranches unlock each epoch, providing a smooth and predictable reward stream for genuine</w:t>
      </w:r>
      <w:r>
        <w:t xml:space="preserve"> </w:t>
      </w:r>
      <w:r>
        <w:t xml:space="preserve">long-term partners.</w:t>
      </w:r>
    </w:p>
    <w:p>
      <w:pPr>
        <w:pStyle w:val="BodyText"/>
      </w:pPr>
      <w:r>
        <w:t xml:space="preserve">This vesting period eliminates the profitability of single-epoch wash trading: an attacker who</w:t>
      </w:r>
      <w:r>
        <w:t xml:space="preserve"> </w:t>
      </w:r>
      <w:r>
        <w:t xml:space="preserve">spends gas and fees to achieve artificially high retention for one epoch cannot exit before the</w:t>
      </w:r>
      <w:r>
        <w:t xml:space="preserve"> </w:t>
      </w:r>
      <w:r>
        <w:t xml:space="preserve">vesting period expires, and sustained wash trading produces net retention ≈ 0 by design.</w:t>
      </w:r>
    </w:p>
    <w:bookmarkEnd w:id="37"/>
    <w:bookmarkStart w:id="38" w:name="staker-and-liquidity-provider-lp-rewards"/>
    <w:p>
      <w:pPr>
        <w:pStyle w:val="Heading3"/>
      </w:pPr>
      <w:r>
        <w:t xml:space="preserve">7.6 Staker and Liquidity Provider (LP) Rewards</w:t>
      </w:r>
    </w:p>
    <w:p>
      <w:pPr>
        <w:pStyle w:val="FirstParagraph"/>
      </w:pPr>
      <w:r>
        <w:t xml:space="preserve">Participants may earn rewards from the staking pool by locking PSRE tokens or providing</w:t>
      </w:r>
      <w:r>
        <w:t xml:space="preserve"> </w:t>
      </w:r>
      <w:r>
        <w:t xml:space="preserve">liquidity. Two forms of staking are supported:</w:t>
      </w:r>
    </w:p>
    <w:p>
      <w:pPr>
        <w:pStyle w:val="BodyText"/>
      </w:pPr>
      <w:r>
        <w:rPr>
          <w:b/>
          <w:bCs/>
        </w:rPr>
        <w:t xml:space="preserve">PSRE Staking</w:t>
      </w:r>
      <w:r>
        <w:t xml:space="preserve"> </w:t>
      </w:r>
      <w:r>
        <w:t xml:space="preserve">Users lock PSRE tokens in the staking contract for a minimum duration. This reduces</w:t>
      </w:r>
      <w:r>
        <w:t xml:space="preserve"> </w:t>
      </w:r>
      <w:r>
        <w:t xml:space="preserve">circulating supply and aligns long-term participants with the protocol.</w:t>
      </w:r>
    </w:p>
    <w:p>
      <w:pPr>
        <w:pStyle w:val="BodyText"/>
      </w:pPr>
      <w:r>
        <w:rPr>
          <w:b/>
          <w:bCs/>
        </w:rPr>
        <w:t xml:space="preserve">Liquidity Provider Staking</w:t>
      </w:r>
      <w:r>
        <w:t xml:space="preserve"> </w:t>
      </w:r>
      <w:r>
        <w:t xml:space="preserve">Users who provide liquidity to PSRE trading pools may stake their LP tokens to earn rewards.</w:t>
      </w:r>
      <w:r>
        <w:t xml:space="preserve"> </w:t>
      </w:r>
      <w:r>
        <w:t xml:space="preserve">This encourages deeper market liquidity and lower trading slippage.</w:t>
      </w:r>
    </w:p>
    <w:p>
      <w:pPr>
        <w:pStyle w:val="BodyText"/>
      </w:pPr>
      <w:r>
        <w:t xml:space="preserve">Both forms of staking share the same reward pool and are treated equivalently with no</w:t>
      </w:r>
      <w:r>
        <w:t xml:space="preserve"> </w:t>
      </w:r>
      <w:r>
        <w:t xml:space="preserve">weighting multiplier. Rewards are distributed according to time-weighted stake: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StakeTime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τ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TotalStakeTime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StakeTime</m:t>
                  </m:r>
                </m:e>
                <m:sub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StakeTime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TotalStakeTime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anti-wash-trading-design"/>
    <w:p>
      <w:pPr>
        <w:pStyle w:val="Heading2"/>
      </w:pPr>
      <w:r>
        <w:t xml:space="preserve">8. Anti-Wash-Trading Design</w:t>
      </w:r>
    </w:p>
    <w:p>
      <w:pPr>
        <w:pStyle w:val="FirstParagraph"/>
      </w:pPr>
      <w:r>
        <w:t xml:space="preserve">Prospereum v3.0 introduces a multi-layered defense against wash trading and reward</w:t>
      </w:r>
      <w:r>
        <w:t xml:space="preserve"> </w:t>
      </w:r>
      <w:r>
        <w:t xml:space="preserve">manipulation:</w:t>
      </w:r>
    </w:p>
    <w:bookmarkStart w:id="40" w:name="net-retention-accounting"/>
    <w:p>
      <w:pPr>
        <w:pStyle w:val="Heading3"/>
      </w:pPr>
      <w:r>
        <w:t xml:space="preserve">8.1 Net Retention Accounting</w:t>
      </w:r>
    </w:p>
    <w:p>
      <w:pPr>
        <w:pStyle w:val="FirstParagraph"/>
      </w:pPr>
      <w:r>
        <w:t xml:space="preserve">The fundamental change: rewards are based on PSRE that</w:t>
      </w:r>
      <w:r>
        <w:t xml:space="preserve"> </w:t>
      </w:r>
      <w:r>
        <w:rPr>
          <w:b/>
          <w:bCs/>
        </w:rPr>
        <w:t xml:space="preserve">stays</w:t>
      </w:r>
      <w:r>
        <w:t xml:space="preserve"> </w:t>
      </w:r>
      <w:r>
        <w:t xml:space="preserve">in the ecosystem, not</w:t>
      </w:r>
      <w:r>
        <w:t xml:space="preserve"> </w:t>
      </w:r>
      <w:r>
        <w:t xml:space="preserve">PSRE that passes through it. Any PSRE that exits to an unregistered address is subtracted</w:t>
      </w:r>
      <w:r>
        <w:t xml:space="preserve"> </w:t>
      </w:r>
      <w:r>
        <w:t xml:space="preserve">from the retention score. A zero-retention partner earns zero reward regardless of buy volume.</w:t>
      </w:r>
    </w:p>
    <w:bookmarkEnd w:id="40"/>
    <w:bookmarkStart w:id="41" w:name="registered-vault-ecosystem"/>
    <w:p>
      <w:pPr>
        <w:pStyle w:val="Heading3"/>
      </w:pPr>
      <w:r>
        <w:t xml:space="preserve">8.2 Registered Vault Ecosystem</w:t>
      </w:r>
    </w:p>
    <w:p>
      <w:pPr>
        <w:pStyle w:val="FirstParagraph"/>
      </w:pPr>
      <w:r>
        <w:t xml:space="preserve">PSRE distributed to registered CustomerVaults remains</w:t>
      </w:r>
      <w:r>
        <w:t xml:space="preserve"> </w:t>
      </w:r>
      <w:r>
        <w:t xml:space="preserve">“in ecosystem”</w:t>
      </w:r>
      <w:r>
        <w:t xml:space="preserve"> </w:t>
      </w:r>
      <w:r>
        <w:t xml:space="preserve">and contributes to</w:t>
      </w:r>
      <w:r>
        <w:t xml:space="preserve"> </w:t>
      </w:r>
      <w:r>
        <w:t xml:space="preserve">retention. This design means partners can freely distribute rewards to customers without</w:t>
      </w:r>
      <w:r>
        <w:t xml:space="preserve"> </w:t>
      </w:r>
      <w:r>
        <w:t xml:space="preserve">penalty — as intended — while preventing leakage to DEXes or unregistered addresses.</w:t>
      </w:r>
    </w:p>
    <w:bookmarkEnd w:id="41"/>
    <w:bookmarkStart w:id="42" w:name="reward-vesting-4-epochs"/>
    <w:p>
      <w:pPr>
        <w:pStyle w:val="Heading3"/>
      </w:pPr>
      <w:r>
        <w:t xml:space="preserve">8.3 Reward Vesting (4 Epochs)</w:t>
      </w:r>
    </w:p>
    <w:p>
      <w:pPr>
        <w:pStyle w:val="FirstParagraph"/>
      </w:pPr>
      <w:r>
        <w:t xml:space="preserve">Rewards cannot be claimed until 4 epochs after earning. This eliminates the profitability of</w:t>
      </w:r>
      <w:r>
        <w:t xml:space="preserve"> </w:t>
      </w:r>
      <w:r>
        <w:t xml:space="preserve">any strategy that requires extracting rewards quickly after a wash-trade burst.</w:t>
      </w:r>
    </w:p>
    <w:bookmarkEnd w:id="42"/>
    <w:bookmarkStart w:id="43" w:name="vault-bond"/>
    <w:p>
      <w:pPr>
        <w:pStyle w:val="Heading3"/>
      </w:pPr>
      <w:r>
        <w:t xml:space="preserve">8.4 Vault Bond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$500 USDC bond</w:t>
      </w:r>
      <w:r>
        <w:t xml:space="preserve"> </w:t>
      </w:r>
      <w:r>
        <w:t xml:space="preserve">required to create a PartnerVault creates a meaningful economic cost</w:t>
      </w:r>
      <w:r>
        <w:t xml:space="preserve"> </w:t>
      </w:r>
      <w:r>
        <w:t xml:space="preserve">for attackers attempting to create disposable vaults. The bond is returned only on legitimate</w:t>
      </w:r>
      <w:r>
        <w:t xml:space="preserve"> </w:t>
      </w:r>
      <w:r>
        <w:t xml:space="preserve">deregistration (paid to the factory contract), not on vault abandonment.</w:t>
      </w:r>
    </w:p>
    <w:bookmarkEnd w:id="43"/>
    <w:bookmarkStart w:id="44" w:name="registration-fee"/>
    <w:p>
      <w:pPr>
        <w:pStyle w:val="Heading3"/>
      </w:pPr>
      <w:r>
        <w:t xml:space="preserve">8.5 Registration Fee</w:t>
      </w:r>
    </w:p>
    <w:p>
      <w:pPr>
        <w:pStyle w:val="FirstParagraph"/>
      </w:pPr>
      <w:r>
        <w:t xml:space="preserve">The ~$50 USDC non-refundable registration fee ensures each vault represents a deliberate,</w:t>
      </w:r>
      <w:r>
        <w:t xml:space="preserve"> </w:t>
      </w:r>
      <w:r>
        <w:t xml:space="preserve">committed partner — not a throwaway attack surface.</w:t>
      </w:r>
    </w:p>
    <w:bookmarkEnd w:id="44"/>
    <w:bookmarkStart w:id="45" w:name="vault-expiry"/>
    <w:p>
      <w:pPr>
        <w:pStyle w:val="Heading3"/>
      </w:pPr>
      <w:r>
        <w:t xml:space="preserve">8.6 Vault Expiry</w:t>
      </w:r>
    </w:p>
    <w:p>
      <w:pPr>
        <w:pStyle w:val="FirstParagraph"/>
      </w:pPr>
      <w:r>
        <w:t xml:space="preserve">Inactive vaults are automatically expired after 4 consecutive epochs of zero activity, keeping</w:t>
      </w:r>
      <w:r>
        <w:t xml:space="preserve"> </w:t>
      </w:r>
      <w:r>
        <w:t xml:space="preserve">the registry clean and preventing ghost vaults from accumulating any historical advantage.</w:t>
      </w:r>
    </w:p>
    <w:bookmarkEnd w:id="45"/>
    <w:bookmarkStart w:id="46" w:name="minimum-activity-threshold"/>
    <w:p>
      <w:pPr>
        <w:pStyle w:val="Heading3"/>
      </w:pPr>
      <w:r>
        <w:t xml:space="preserve">8.7 Minimum Activity Threshold</w:t>
      </w:r>
    </w:p>
    <w:p>
      <w:pPr>
        <w:pStyle w:val="FirstParagraph"/>
      </w:pPr>
      <w:r>
        <w:t xml:space="preserve">The $50 USDC minimum activity per epoch prevents micro-activity spam from generating</w:t>
      </w:r>
      <w:r>
        <w:t xml:space="preserve"> </w:t>
      </w:r>
      <w:r>
        <w:t xml:space="preserve">legitimate vault status without meaningful participation.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governance"/>
    <w:p>
      <w:pPr>
        <w:pStyle w:val="Heading2"/>
      </w:pPr>
      <w:r>
        <w:t xml:space="preserve">9. Governance</w:t>
      </w:r>
    </w:p>
    <w:p>
      <w:pPr>
        <w:pStyle w:val="FirstParagraph"/>
      </w:pPr>
      <w:r>
        <w:t xml:space="preserve">The Prospereum protocol is governed by a decentralized autonomous organization (DAO)</w:t>
      </w:r>
      <w:r>
        <w:t xml:space="preserve"> </w:t>
      </w:r>
      <w:r>
        <w:t xml:space="preserve">responsible for maintaining operational parameters while preserving the protocol’s core</w:t>
      </w:r>
      <w:r>
        <w:t xml:space="preserve"> </w:t>
      </w:r>
      <w:r>
        <w:t xml:space="preserve">monetary policy.</w:t>
      </w:r>
    </w:p>
    <w:bookmarkStart w:id="48" w:name="adjustable-parameters"/>
    <w:p>
      <w:pPr>
        <w:pStyle w:val="Heading3"/>
      </w:pPr>
      <w:r>
        <w:t xml:space="preserve">9.1 Adjustable Parameters</w:t>
      </w:r>
    </w:p>
    <w:p>
      <w:pPr>
        <w:pStyle w:val="FirstParagraph"/>
      </w:pPr>
      <w:r>
        <w:rPr>
          <w:b/>
          <w:bCs/>
        </w:rPr>
        <w:t xml:space="preserve">Base Reward Rate</w:t>
      </w:r>
    </w:p>
    <w:p>
      <w:pPr>
        <w:pStyle w:val="BodyText"/>
      </w:pPr>
      <m:oMathPara>
        <m:oMathParaPr>
          <m:jc m:val="center"/>
        </m:oMathParaPr>
        <m:oMath>
          <m:r>
            <m:t>0.05</m:t>
          </m:r>
          <m:r>
            <m:rPr>
              <m:sty m:val="p"/>
            </m:rPr>
            <m:t>≤</m:t>
          </m:r>
          <m:sSub>
            <m:e>
              <m:r>
                <m:t>α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≤</m:t>
          </m:r>
          <m:r>
            <m:t>0.15</m:t>
          </m:r>
        </m:oMath>
      </m:oMathPara>
    </w:p>
    <w:p>
      <w:pPr>
        <w:pStyle w:val="FirstParagraph"/>
      </w:pPr>
      <w:r>
        <w:rPr>
          <w:b/>
          <w:bCs/>
        </w:rPr>
        <w:t xml:space="preserve">Partner Tier Thresholds</w:t>
      </w:r>
      <w:r>
        <w:t xml:space="preserve"> </w:t>
      </w:r>
      <w:r>
        <w:t xml:space="preserve">Contribution-share thresholds for Bronze/Silver/Gold may be adjusted within bounds.</w:t>
      </w:r>
    </w:p>
    <w:p>
      <w:pPr>
        <w:pStyle w:val="BodyText"/>
      </w:pPr>
      <w:r>
        <w:rPr>
          <w:b/>
          <w:bCs/>
        </w:rPr>
        <w:t xml:space="preserve">Reward Pool Allocation</w:t>
      </w:r>
      <w:r>
        <w:t xml:space="preserve"> </w:t>
      </w:r>
      <w:r>
        <w:t xml:space="preserve">Default: 70% partners / 30% stakers. DAO may adjust within:</w:t>
      </w:r>
    </w:p>
    <w:p>
      <w:pPr>
        <w:pStyle w:val="BodyText"/>
      </w:pPr>
      <m:oMathPara>
        <m:oMathParaPr>
          <m:jc m:val="center"/>
        </m:oMathParaPr>
        <m:oMath>
          <m:r>
            <m:t>60</m:t>
          </m:r>
          <m:r>
            <m:rPr>
              <m:sty m:val="p"/>
            </m:rPr>
            <m:t>%</m:t>
          </m:r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≤</m:t>
          </m:r>
          <m:r>
            <m:t>80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r>
            <m:t>20</m:t>
          </m:r>
          <m:r>
            <m:rPr>
              <m:sty m:val="p"/>
            </m:rPr>
            <m:t>%</m:t>
          </m:r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≤</m:t>
          </m:r>
          <m:r>
            <m:t>40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Initial Weekly Emission Ceiling</w:t>
      </w:r>
    </w:p>
    <w:p>
      <w:pPr>
        <w:pStyle w:val="BodyText"/>
      </w:pPr>
      <m:oMathPara>
        <m:oMathParaPr>
          <m:jc m:val="center"/>
        </m:oMathParaPr>
        <m:oMath>
          <m:r>
            <m:t>0.0005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0.002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For PSRE: lower bound ≈ 6,300 PSRE/week; upper bound ≈ 25,200 PSRE/week.</w:t>
      </w:r>
    </w:p>
    <w:p>
      <w:pPr>
        <w:pStyle w:val="BodyText"/>
      </w:pPr>
      <w:r>
        <w:rPr>
          <w:b/>
          <w:bCs/>
        </w:rPr>
        <w:t xml:space="preserve">Vault Bond Amount</w:t>
      </w:r>
      <w:r>
        <w:t xml:space="preserve"> </w:t>
      </w:r>
      <w:r>
        <w:t xml:space="preserve">DAO may adjust the vault bond requirement within predefined bounds (denominated in USDC).</w:t>
      </w:r>
    </w:p>
    <w:p>
      <w:pPr>
        <w:pStyle w:val="BodyText"/>
      </w:pPr>
      <w:r>
        <w:rPr>
          <w:b/>
          <w:bCs/>
        </w:rPr>
        <w:t xml:space="preserve">Minimum Activity Threshold</w:t>
      </w:r>
      <w:r>
        <w:t xml:space="preserve"> </w:t>
      </w:r>
      <w:r>
        <w:t xml:space="preserve">DAO may adjust the minimum epoch activity threshold for active vault status.</w:t>
      </w:r>
    </w:p>
    <w:bookmarkEnd w:id="48"/>
    <w:bookmarkStart w:id="49" w:name="non-modifiable-parameters"/>
    <w:p>
      <w:pPr>
        <w:pStyle w:val="Heading3"/>
      </w:pPr>
      <w:r>
        <w:t xml:space="preserve">9.2 Non-Modifiable Parameters</w:t>
      </w:r>
    </w:p>
    <w:p>
      <w:pPr>
        <w:pStyle w:val="FirstParagraph"/>
      </w:pPr>
      <w:r>
        <w:t xml:space="preserve">The following are permanently fixed and cannot be modified by governance: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Supply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Emission Reserve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600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Scarcity Function Form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Scarcity Exponent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Minting Rule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t xml:space="preserve">The DAO cannot mint tokens outside the minting rule.</w:t>
      </w:r>
    </w:p>
    <w:bookmarkEnd w:id="49"/>
    <w:bookmarkStart w:id="50" w:name="monetary-policy-integrity"/>
    <w:p>
      <w:pPr>
        <w:pStyle w:val="Heading3"/>
      </w:pPr>
      <w:r>
        <w:t xml:space="preserve">9.3 Monetary Policy Integrity</w:t>
      </w:r>
    </w:p>
    <w:p>
      <w:pPr>
        <w:pStyle w:val="FirstParagraph"/>
      </w:pPr>
      <w:r>
        <w:t xml:space="preserve">The immutable supply cap, scarcity function, and emission reserve ensure that Prospereum’s</w:t>
      </w:r>
      <w:r>
        <w:t xml:space="preserve"> </w:t>
      </w:r>
      <w:r>
        <w:t xml:space="preserve">monetary policy remains predictable and resistant to discretionary inflation. Governance is</w:t>
      </w:r>
      <w:r>
        <w:t xml:space="preserve"> </w:t>
      </w:r>
      <w:r>
        <w:t xml:space="preserve">limited to adjusting operational parameters while the fundamental token issuance model</w:t>
      </w:r>
      <w:r>
        <w:t xml:space="preserve"> </w:t>
      </w:r>
      <w:r>
        <w:t xml:space="preserve">remains fixed.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dd4a8a633c83fcb1655b6404fbc7020f4eb0535"/>
    <w:p>
      <w:pPr>
        <w:pStyle w:val="Heading2"/>
      </w:pPr>
      <w:r>
        <w:t xml:space="preserve">10. Why the Reward Mechanism is Non-Inflationary</w:t>
      </w:r>
    </w:p>
    <w:p>
      <w:pPr>
        <w:pStyle w:val="FirstParagraph"/>
      </w:pPr>
      <w:r>
        <w:t xml:space="preserve">A common question about behavioral mining protocols is whether reward emission creates</w:t>
      </w:r>
      <w:r>
        <w:t xml:space="preserve"> </w:t>
      </w:r>
      <w:r>
        <w:t xml:space="preserve">inflationary pressure on the token. The Prospereum design is specifically constructed to be</w:t>
      </w:r>
      <w:r>
        <w:t xml:space="preserve"> </w:t>
      </w:r>
      <w:r>
        <w:t xml:space="preserve">non-inflationary in both supply and circulating terms. Here is why.</w:t>
      </w:r>
    </w:p>
    <w:bookmarkStart w:id="52" w:name="X0b5939ea7e925b1668962cce8ab91a9db2e6eb1"/>
    <w:p>
      <w:pPr>
        <w:pStyle w:val="Heading3"/>
      </w:pPr>
      <w:r>
        <w:t xml:space="preserve">10.1 The Scarcity Cap is Always the Binding Constraint</w:t>
      </w:r>
    </w:p>
    <w:p>
      <w:pPr>
        <w:pStyle w:val="FirstParagraph"/>
      </w:pPr>
      <w:r>
        <w:t xml:space="preserve">The actual emission in any epoch is bounded by: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The scarcity cap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c</m:t>
            </m:r>
            <m:r>
              <m:t>a</m:t>
            </m:r>
            <m:r>
              <m:t>r</m:t>
            </m:r>
            <m:r>
              <m:t>c</m:t>
            </m:r>
            <m:r>
              <m:t>i</m:t>
            </m:r>
            <m:r>
              <m:t>t</m:t>
            </m:r>
            <m:r>
              <m:t>y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always active and declines</w:t>
      </w:r>
      <w:r>
        <w:t xml:space="preserve"> </w:t>
      </w:r>
      <w:r>
        <w:t xml:space="preserve">monotonically 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increases. At genesis, the maximum possible emission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0.001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nor/>
              <m:sty m:val="p"/>
            </m:rPr>
            <m:t> PSRE/week</m:t>
          </m:r>
        </m:oMath>
      </m:oMathPara>
    </w:p>
    <w:p>
      <w:pPr>
        <w:pStyle w:val="FirstParagraph"/>
      </w:pPr>
      <w:r>
        <w:t xml:space="preserve">This ceiling declines toward zero as the emission reserve is consumed. Regardless of how much</w:t>
      </w:r>
      <w:r>
        <w:t xml:space="preserve"> </w:t>
      </w:r>
      <w:r>
        <w:t xml:space="preserve">demand partners generate, emission</w:t>
      </w:r>
      <w:r>
        <w:t xml:space="preserve"> </w:t>
      </w:r>
      <w:r>
        <w:rPr>
          <w:b/>
          <w:bCs/>
        </w:rPr>
        <w:t xml:space="preserve">cannot exceed this ceiling</w:t>
      </w:r>
      <w:r>
        <w:t xml:space="preserve">. Total emission over the</w:t>
      </w:r>
      <w:r>
        <w:t xml:space="preserve"> </w:t>
      </w:r>
      <w:r>
        <w:t xml:space="preserve">protocol’s entire lifetime is absolutely bounded at: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B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PSRE</m:t>
          </m:r>
        </m:oMath>
      </m:oMathPara>
    </w:p>
    <w:bookmarkEnd w:id="52"/>
    <w:bookmarkStart w:id="53" w:name="X348717ac20100db4551cfc8261db1f2a00e60a4"/>
    <w:p>
      <w:pPr>
        <w:pStyle w:val="Heading3"/>
      </w:pPr>
      <w:r>
        <w:t xml:space="preserve">10.2 Partner Buying Creates Net Deflationary Pressure on Circulating Supply</w:t>
      </w:r>
    </w:p>
    <w:p>
      <w:pPr>
        <w:pStyle w:val="FirstParagraph"/>
      </w:pPr>
      <w:r>
        <w:t xml:space="preserve">Partners must purchase PSRE from the open market to increase their vault balance and earn</w:t>
      </w:r>
      <w:r>
        <w:t xml:space="preserve"> </w:t>
      </w:r>
      <w:r>
        <w:t xml:space="preserve">rewards. For every 100 PSRE a partner buys and holds in the vault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100 PSRE is removed from circulating supply</w:t>
      </w:r>
      <w:r>
        <w:t xml:space="preserve"> </w:t>
      </w:r>
      <w:r>
        <w:t xml:space="preserve">(bought from market, locked in vault)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Only ~10 PSRE of new supply is emitted as reward</w:t>
      </w:r>
      <w:r>
        <w:t xml:space="preserve"> </w:t>
      </w:r>
      <w:r>
        <w:t xml:space="preserve">(at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applied to the TWR delta)</w:t>
      </w:r>
    </w:p>
    <w:p>
      <w:pPr>
        <w:pStyle w:val="Compact"/>
        <w:numPr>
          <w:ilvl w:val="0"/>
          <w:numId w:val="1009"/>
        </w:numPr>
      </w:pPr>
      <w:r>
        <w:t xml:space="preserve">That reward PSRE</w:t>
      </w:r>
      <w:r>
        <w:t xml:space="preserve"> </w:t>
      </w:r>
      <w:r>
        <w:rPr>
          <w:b/>
          <w:bCs/>
        </w:rPr>
        <w:t xml:space="preserve">also enters the vault</w:t>
      </w:r>
      <w:r>
        <w:t xml:space="preserve"> </w:t>
      </w:r>
      <w:r>
        <w:t xml:space="preserve">— it is distributed to CustomerVaults, not sold</w:t>
      </w:r>
    </w:p>
    <w:p>
      <w:pPr>
        <w:pStyle w:val="FirstParagraph"/>
      </w:pPr>
      <w:r>
        <w:t xml:space="preserve">The net circulating supply effect per epoch of partner buying is approximately</w:t>
      </w:r>
      <w:r>
        <w:t xml:space="preserve"> </w:t>
      </w:r>
      <w:r>
        <w:rPr>
          <w:b/>
          <w:bCs/>
        </w:rPr>
        <w:t xml:space="preserve">−90%</w:t>
      </w:r>
      <w:r>
        <w:t xml:space="preserve">: for</w:t>
      </w:r>
      <w:r>
        <w:t xml:space="preserve"> </w:t>
      </w:r>
      <w:r>
        <w:t xml:space="preserve">every 100 PSRE worth of buying pressure, only ~10 PSRE of new supply is created, and both</w:t>
      </w:r>
      <w:r>
        <w:t xml:space="preserve"> </w:t>
      </w:r>
      <w:r>
        <w:t xml:space="preserve">the purchased PSRE and the reward enter the vault ecosystem rather than circulating.</w:t>
      </w:r>
    </w:p>
    <w:bookmarkEnd w:id="53"/>
    <w:bookmarkStart w:id="54" w:name="reward-psre-does-not-circulate"/>
    <w:p>
      <w:pPr>
        <w:pStyle w:val="Heading3"/>
      </w:pPr>
      <w:r>
        <w:t xml:space="preserve">10.3 Reward PSRE Does Not Circulate</w:t>
      </w:r>
    </w:p>
    <w:p>
      <w:pPr>
        <w:pStyle w:val="FirstParagraph"/>
      </w:pPr>
      <w:r>
        <w:t xml:space="preserve">Reward PSRE minted by the RewardEngine is deposited into the PartnerVault and distributed</w:t>
      </w:r>
      <w:r>
        <w:t xml:space="preserve"> </w:t>
      </w:r>
      <w:r>
        <w:t xml:space="preserve">to registered CustomerVaults. It does not enter the open market. It only becomes potentially</w:t>
      </w:r>
      <w:r>
        <w:t xml:space="preserve"> </w:t>
      </w:r>
      <w:r>
        <w:t xml:space="preserve">circulating if a customer explicitly withdraws their CustomerVault balance to an external</w:t>
      </w:r>
      <w:r>
        <w:t xml:space="preserve"> </w:t>
      </w:r>
      <w:r>
        <w:t xml:space="preserve">address — and that withdrawal is tracked as</w:t>
      </w:r>
      <w:r>
        <w:t xml:space="preserve"> </w:t>
      </w:r>
      <w:r>
        <w:rPr>
          <w:b/>
          <w:bCs/>
        </w:rPr>
        <w:t xml:space="preserve">leakage</w:t>
      </w:r>
      <w:r>
        <w:t xml:space="preserve">, reducing the partner’s future</w:t>
      </w:r>
      <w:r>
        <w:t xml:space="preserve"> </w:t>
      </w:r>
      <w:r>
        <w:t xml:space="preserve">retention score. This creates a strong economic disincentive for partners to allow or encourage</w:t>
      </w:r>
      <w:r>
        <w:t xml:space="preserve"> </w:t>
      </w:r>
      <w:r>
        <w:t xml:space="preserve">customer withdrawals.</w:t>
      </w:r>
    </w:p>
    <w:bookmarkEnd w:id="54"/>
    <w:bookmarkStart w:id="55" w:name="absolute-supply-cap"/>
    <w:p>
      <w:pPr>
        <w:pStyle w:val="Heading3"/>
      </w:pPr>
      <w:r>
        <w:t xml:space="preserve">10.4 Absolute Supply Cap</w:t>
      </w:r>
    </w:p>
    <w:p>
      <w:pPr>
        <w:pStyle w:val="FirstParagraph"/>
      </w:pPr>
      <w:r>
        <w:t xml:space="preserve">Total emission over the protocol’s lifetime cannot exceed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600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PSRE</w:t>
      </w:r>
      <w:r>
        <w:t xml:space="preserve"> </w:t>
      </w:r>
      <w:r>
        <w:t xml:space="preserve">by construction of the minting rule. The DAO cannot mint additional PSRE, cannot override the</w:t>
      </w:r>
      <w:r>
        <w:t xml:space="preserve"> </w:t>
      </w:r>
      <w:r>
        <w:t xml:space="preserve">scarcity function, and cannot increase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.</w:t>
      </w:r>
    </w:p>
    <w:bookmarkEnd w:id="55"/>
    <w:bookmarkStart w:id="56" w:name="compounding-rewards-are-intentional"/>
    <w:p>
      <w:pPr>
        <w:pStyle w:val="Heading3"/>
      </w:pPr>
      <w:r>
        <w:t xml:space="preserve">10.5 Compounding Rewards are Intentional</w:t>
      </w:r>
    </w:p>
    <w:p>
      <w:pPr>
        <w:pStyle w:val="FirstParagraph"/>
      </w:pPr>
      <w:r>
        <w:t xml:space="preserve">The reward PSRE that enters a vault increases the vault’s</w:t>
      </w:r>
      <w:r>
        <w:t xml:space="preserve"> </w:t>
      </w:r>
      <m:oMath>
        <m:r>
          <m:t>N</m:t>
        </m:r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balance. This higher balance</w:t>
      </w:r>
      <w:r>
        <w:t xml:space="preserve"> </w:t>
      </w:r>
      <w:r>
        <w:t xml:space="preserve">produces a higher</w:t>
      </w:r>
      <w:r>
        <w:t xml:space="preserve"> </w:t>
      </w:r>
      <m:oMath>
        <m:r>
          <m:t>T</m:t>
        </m:r>
        <m:r>
          <m:t>W</m:t>
        </m:r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 subsequent epochs, which increases the vault’s share of future</w:t>
      </w:r>
      <w:r>
        <w:t xml:space="preserve"> </w:t>
      </w:r>
      <w:r>
        <w:t xml:space="preserve">rewards. This compounding is intentional — it is the mechanism by which long-term</w:t>
      </w:r>
      <w:r>
        <w:t xml:space="preserve"> </w:t>
      </w:r>
      <w:r>
        <w:t xml:space="preserve">participants are rewarded for sustained holding. It does not create supply inflation because the</w:t>
      </w:r>
      <w:r>
        <w:t xml:space="preserve"> </w:t>
      </w:r>
      <w:r>
        <w:t xml:space="preserve">compounded rewards remain locked in the vault ecosystem and the scarcity cap is unaffected</w:t>
      </w:r>
      <w:r>
        <w:t xml:space="preserve"> </w:t>
      </w:r>
      <w:r>
        <w:t xml:space="preserve">by vault balances.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Prospereum v3.0 introduces</w:t>
      </w:r>
      <w:r>
        <w:t xml:space="preserve"> </w:t>
      </w:r>
      <w:r>
        <w:rPr>
          <w:b/>
          <w:bCs/>
        </w:rPr>
        <w:t xml:space="preserve">Proof of Net Retention</w:t>
      </w:r>
      <w:r>
        <w:t xml:space="preserve"> </w:t>
      </w:r>
      <w:r>
        <w:t xml:space="preserve">— a behavioral mining primitive that</w:t>
      </w:r>
      <w:r>
        <w:t xml:space="preserve"> </w:t>
      </w:r>
      <w:r>
        <w:t xml:space="preserve">rewards genuine, sustained economic participation while making exploitative strategies</w:t>
      </w:r>
      <w:r>
        <w:t xml:space="preserve"> </w:t>
      </w:r>
      <w:r>
        <w:t xml:space="preserve">structurally unprofitable.</w:t>
      </w:r>
    </w:p>
    <w:p>
      <w:pPr>
        <w:pStyle w:val="BodyText"/>
      </w:pPr>
      <w:r>
        <w:t xml:space="preserve">Prospereum is:</w:t>
      </w:r>
    </w:p>
    <w:p>
      <w:pPr>
        <w:pStyle w:val="BodyText"/>
      </w:pPr>
      <w:r>
        <w:rPr>
          <w:b/>
          <w:bCs/>
        </w:rPr>
        <w:t xml:space="preserve">Demand-Bounded ∩ Scarcity-Controlled ∩ Retention-Verified ∩ Governance-Limited</w:t>
      </w:r>
    </w:p>
    <w:p>
      <w:pPr>
        <w:pStyle w:val="BodyText"/>
      </w:pPr>
      <w:r>
        <w:t xml:space="preserve">It bridges Bitcoin’s scarcity discipline with Ethereum’s programmable ecosystem model, and</w:t>
      </w:r>
      <w:r>
        <w:t xml:space="preserve"> </w:t>
      </w:r>
      <w:r>
        <w:t xml:space="preserve">extends both with a commerce-native reward layer that aligns the interests of ecommerce</w:t>
      </w:r>
      <w:r>
        <w:t xml:space="preserve"> </w:t>
      </w:r>
      <w:r>
        <w:t xml:space="preserve">brands, their customers, and the protocol’s long-term sustainability.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2026-03-24T04:07:07Z</dcterms:created>
  <dcterms:modified xsi:type="dcterms:W3CDTF">2026-03-24T04:07:07Z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