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Malgun Gothic"/>
          <w:b/>
          <w:color w:val="1F4E79"/>
          <w:sz w:val="40"/>
        </w:rPr>
        <w:t>성장거점형 도심복합개발사업 및 성장잠재권 활성화사업 요약 보고서</w:t>
      </w:r>
    </w:p>
    <w:p>
      <w:pPr>
        <w:jc w:val="center"/>
      </w:pPr>
      <w:r>
        <w:rPr>
          <w:rFonts w:ascii="Calibri" w:hAnsi="Calibri" w:eastAsia="Malgun Gothic"/>
          <w:color w:val="5A5A5A"/>
          <w:sz w:val="22"/>
        </w:rPr>
        <w:t>서울시 자치구 관계자 설명자료 정리 | 2026. 5. 14.</w:t>
      </w:r>
    </w:p>
    <w:p>
      <w:pPr>
        <w:pStyle w:val="Heading1"/>
      </w:pPr>
      <w:r>
        <w:rPr>
          <w:rFonts w:ascii="Calibri" w:hAnsi="Calibri" w:eastAsia="Malgun Gothic"/>
          <w:b/>
          <w:color w:val="2E74B5"/>
          <w:sz w:val="32"/>
        </w:rPr>
        <w:t>1. 보고서 개요</w:t>
      </w:r>
    </w:p>
    <w:p>
      <w:pPr>
        <w:spacing w:after="120" w:line="264" w:lineRule="auto"/>
      </w:pPr>
      <w:r>
        <w:rPr>
          <w:rFonts w:ascii="Calibri" w:hAnsi="Calibri" w:eastAsia="Malgun Gothic"/>
          <w:color w:val="222222"/>
          <w:sz w:val="21"/>
        </w:rPr>
        <w:t>본 보고서는 서울시 도시공간본부 도시공간전략과가 자치구 관계자를 대상으로 설명한 성장거점형 도심복합개발사업과 성장잠재권 활성화사업의 핵심 내용을 정리한 것이다. 두 사업은 민간 참여와 공공기여를 결합해 기존 정비사업의 장기화와 비역세권 지역의 개발 기회 불균형을 보완하는 데 목적이 있다.</w:t>
      </w:r>
    </w:p>
    <w:tbl>
      <w:tblPr>
        <w:tblStyle w:val="TableGrid"/>
        <w:tblW w:type="auto" w:w="0"/>
        <w:tblLook w:firstColumn="1" w:firstRow="1" w:lastColumn="0" w:lastRow="0" w:noHBand="0" w:noVBand="1" w:val="04A0"/>
      </w:tblPr>
      <w:tblGrid>
        <w:gridCol w:w="4680"/>
        <w:gridCol w:w="4680"/>
      </w:tblGrid>
      <w:tr>
        <w:tc>
          <w:tcPr>
            <w:tcW w:type="dxa" w:w="2015"/>
            <w:shd w:fill="F2F4F7"/>
            <w:tcMar>
              <w:top w:w="80" w:type="dxa"/>
              <w:start w:w="120" w:type="dxa"/>
              <w:bottom w:w="80" w:type="dxa"/>
              <w:end w:w="120" w:type="dxa"/>
            </w:tcMar>
            <w:vAlign w:val="center"/>
          </w:tcPr>
          <w:p>
            <w:pPr>
              <w:jc w:val="center"/>
            </w:pPr>
            <w:r>
              <w:rPr>
                <w:rFonts w:ascii="Calibri" w:hAnsi="Calibri" w:eastAsia="Malgun Gothic"/>
                <w:b/>
                <w:color w:val="1F4E79"/>
                <w:sz w:val="19"/>
              </w:rPr>
              <w:t>구분</w:t>
            </w:r>
          </w:p>
        </w:tc>
        <w:tc>
          <w:tcPr>
            <w:tcW w:type="dxa" w:w="7343"/>
            <w:shd w:fill="F2F4F7"/>
            <w:tcMar>
              <w:top w:w="80" w:type="dxa"/>
              <w:start w:w="120" w:type="dxa"/>
              <w:bottom w:w="80" w:type="dxa"/>
              <w:end w:w="120" w:type="dxa"/>
            </w:tcMar>
            <w:vAlign w:val="center"/>
          </w:tcPr>
          <w:p>
            <w:pPr>
              <w:jc w:val="center"/>
            </w:pPr>
            <w:r>
              <w:rPr>
                <w:rFonts w:ascii="Calibri" w:hAnsi="Calibri" w:eastAsia="Malgun Gothic"/>
                <w:b/>
                <w:color w:val="1F4E79"/>
                <w:sz w:val="19"/>
              </w:rPr>
              <w:t>내용</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설명회</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2026년 5월 14일 10:00~12:00, 서울시청 서소문1청사 1동 13층 대회의실</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참석 대상</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자치구 역세권 활성화사업 등 관련 업무 팀장 및 담당자</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주요 안건</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성장거점형 도심복합개발사업 소개, 법령·조례·운영기준·추천제안 계획 설명</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주요 안건</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성장잠재권 활성화사업 소개, 운영기준 및 추천제안 계획 설명</w:t>
            </w:r>
          </w:p>
        </w:tc>
      </w:tr>
    </w:tbl>
    <w:p/>
    <w:p>
      <w:pPr>
        <w:pStyle w:val="Heading1"/>
      </w:pPr>
      <w:r>
        <w:rPr>
          <w:rFonts w:ascii="Calibri" w:hAnsi="Calibri" w:eastAsia="Malgun Gothic"/>
          <w:b/>
          <w:color w:val="2E74B5"/>
          <w:sz w:val="32"/>
        </w:rPr>
        <w:t>2. 핵심 요약</w:t>
      </w:r>
    </w:p>
    <w:p>
      <w:pPr>
        <w:pStyle w:val="ListBullet"/>
        <w:spacing w:after="80" w:line="276" w:lineRule="auto"/>
      </w:pPr>
      <w:r>
        <w:rPr>
          <w:rFonts w:ascii="Calibri" w:hAnsi="Calibri" w:eastAsia="Malgun Gothic"/>
          <w:color w:val="222222"/>
          <w:sz w:val="20"/>
        </w:rPr>
        <w:t>성장거점형 도심복합개발사업은 민간 참여주체를 확대한 복합개발 모델로, 기존 도심의 고밀복합개발과 신성장거점 조성을 목표로 한다.</w:t>
      </w:r>
    </w:p>
    <w:p>
      <w:pPr>
        <w:pStyle w:val="ListBullet"/>
        <w:spacing w:after="80" w:line="276" w:lineRule="auto"/>
      </w:pPr>
      <w:r>
        <w:rPr>
          <w:rFonts w:ascii="Calibri" w:hAnsi="Calibri" w:eastAsia="Malgun Gothic"/>
          <w:color w:val="222222"/>
          <w:sz w:val="20"/>
        </w:rPr>
        <w:t>성장잠재권 활성화사업은 역세권 밖 주요 간선도로변의 저이용 토지를 대상으로 가로 활성화, 주거환경 개선, 지역 필요시설 공급을 유도한다.</w:t>
      </w:r>
    </w:p>
    <w:p>
      <w:pPr>
        <w:pStyle w:val="ListBullet"/>
        <w:spacing w:after="80" w:line="276" w:lineRule="auto"/>
      </w:pPr>
      <w:r>
        <w:rPr>
          <w:rFonts w:ascii="Calibri" w:hAnsi="Calibri" w:eastAsia="Malgun Gothic"/>
          <w:color w:val="222222"/>
          <w:sz w:val="20"/>
        </w:rPr>
        <w:t>두 사업 모두 용도지역 상향, 용적률 완화, 공공기여 기준을 결합해 사업성을 보완하되 공공성 확보를 전제로 한다.</w:t>
      </w:r>
    </w:p>
    <w:p>
      <w:pPr>
        <w:pStyle w:val="ListBullet"/>
        <w:spacing w:after="80" w:line="276" w:lineRule="auto"/>
      </w:pPr>
      <w:r>
        <w:rPr>
          <w:rFonts w:ascii="Calibri" w:hAnsi="Calibri" w:eastAsia="Malgun Gothic"/>
          <w:color w:val="222222"/>
          <w:sz w:val="20"/>
        </w:rPr>
        <w:t>시범사업은 자치구 추천을 통해 후보지를 발굴하고, 서울시 내부 적정성 검토를 거쳐 최종 대상지를 선정하는 방식으로 추진된다.</w:t>
      </w:r>
    </w:p>
    <w:p>
      <w:pPr>
        <w:pStyle w:val="Heading1"/>
      </w:pPr>
      <w:r>
        <w:rPr>
          <w:rFonts w:ascii="Calibri" w:hAnsi="Calibri" w:eastAsia="Malgun Gothic"/>
          <w:b/>
          <w:color w:val="2E74B5"/>
          <w:sz w:val="32"/>
        </w:rPr>
        <w:t>3. 도심복합개발사업: 성장거점형과 주거중심형</w:t>
      </w:r>
    </w:p>
    <w:p>
      <w:pPr>
        <w:pStyle w:val="Heading2"/>
      </w:pPr>
      <w:r>
        <w:rPr>
          <w:rFonts w:ascii="Calibri" w:hAnsi="Calibri" w:eastAsia="Malgun Gothic"/>
          <w:b/>
          <w:color w:val="2E74B5"/>
          <w:sz w:val="26"/>
        </w:rPr>
        <w:t>3.1 제도 배경과 목적</w:t>
      </w:r>
    </w:p>
    <w:p>
      <w:pPr>
        <w:spacing w:after="120" w:line="264" w:lineRule="auto"/>
      </w:pPr>
      <w:r>
        <w:rPr>
          <w:rFonts w:ascii="Calibri" w:hAnsi="Calibri" w:eastAsia="Malgun Gothic"/>
          <w:color w:val="222222"/>
          <w:sz w:val="21"/>
        </w:rPr>
        <w:t>기존 정비사업은 전면수용, 공공 개입, 긴급입법에 따른 세부 규정 미비 등으로 사업 기간 장기화와 사업성 부족 문제가 제기되었다. 새 제도는 민간 주도 사업 참여를 확대하고 일반상업지역까지 용도지역 상향 및 용적률 완화를 허용해 복합개발의 추진 안정성과 실행력을 높이려는 취지다.</w:t>
      </w:r>
    </w:p>
    <w:p>
      <w:pPr>
        <w:pStyle w:val="Heading2"/>
      </w:pPr>
      <w:r>
        <w:rPr>
          <w:rFonts w:ascii="Calibri" w:hAnsi="Calibri" w:eastAsia="Malgun Gothic"/>
          <w:b/>
          <w:color w:val="2E74B5"/>
          <w:sz w:val="26"/>
        </w:rPr>
        <w:t>3.2 사업 유형 구분</w:t>
      </w:r>
    </w:p>
    <w:p>
      <w:pPr>
        <w:spacing w:after="120" w:line="264" w:lineRule="auto"/>
      </w:pPr>
      <w:r>
        <w:rPr>
          <w:rFonts w:ascii="Calibri" w:hAnsi="Calibri" w:eastAsia="Malgun Gothic"/>
          <w:color w:val="222222"/>
          <w:sz w:val="21"/>
        </w:rPr>
        <w:t>도심복합개발사업은 설명자료상 성장거점형과 주거중심형으로 유형이 구분된다. 이번 자치구 설명자료와 시범사업 추천 계획은 성장거점형 복합개발에 무게가 실려 있으나, 제도 이해 차원에서는 주거중심형의 위치와 차이를 함께 봐야 한다.</w:t>
      </w:r>
    </w:p>
    <w:tbl>
      <w:tblPr>
        <w:tblStyle w:val="TableGrid"/>
        <w:tblW w:type="auto" w:w="0"/>
        <w:tblLook w:firstColumn="1" w:firstRow="1" w:lastColumn="0" w:lastRow="0" w:noHBand="0" w:noVBand="1" w:val="04A0"/>
      </w:tblPr>
      <w:tblGrid>
        <w:gridCol w:w="3120"/>
        <w:gridCol w:w="3120"/>
        <w:gridCol w:w="3120"/>
      </w:tblGrid>
      <w:tr>
        <w:tc>
          <w:tcPr>
            <w:tcW w:type="dxa" w:w="1800"/>
            <w:shd w:fill="F2F4F7"/>
            <w:tcMar>
              <w:top w:w="80" w:type="dxa"/>
              <w:start w:w="120" w:type="dxa"/>
              <w:bottom w:w="80" w:type="dxa"/>
              <w:end w:w="120" w:type="dxa"/>
            </w:tcMar>
            <w:vAlign w:val="center"/>
          </w:tcPr>
          <w:p>
            <w:pPr>
              <w:jc w:val="center"/>
            </w:pPr>
            <w:r>
              <w:rPr>
                <w:rFonts w:ascii="Calibri" w:hAnsi="Calibri" w:eastAsia="Malgun Gothic"/>
                <w:b/>
                <w:color w:val="1F4E79"/>
                <w:sz w:val="19"/>
              </w:rPr>
              <w:t>구분</w:t>
            </w:r>
          </w:p>
        </w:tc>
        <w:tc>
          <w:tcPr>
            <w:tcW w:type="dxa" w:w="3816"/>
            <w:shd w:fill="F2F4F7"/>
            <w:tcMar>
              <w:top w:w="80" w:type="dxa"/>
              <w:start w:w="120" w:type="dxa"/>
              <w:bottom w:w="80" w:type="dxa"/>
              <w:end w:w="120" w:type="dxa"/>
            </w:tcMar>
            <w:vAlign w:val="center"/>
          </w:tcPr>
          <w:p>
            <w:pPr>
              <w:jc w:val="center"/>
            </w:pPr>
            <w:r>
              <w:rPr>
                <w:rFonts w:ascii="Calibri" w:hAnsi="Calibri" w:eastAsia="Malgun Gothic"/>
                <w:b/>
                <w:color w:val="1F4E79"/>
                <w:sz w:val="19"/>
              </w:rPr>
              <w:t>성장거점형</w:t>
            </w:r>
          </w:p>
        </w:tc>
        <w:tc>
          <w:tcPr>
            <w:tcW w:type="dxa" w:w="3744"/>
            <w:shd w:fill="F2F4F7"/>
            <w:tcMar>
              <w:top w:w="80" w:type="dxa"/>
              <w:start w:w="120" w:type="dxa"/>
              <w:bottom w:w="80" w:type="dxa"/>
              <w:end w:w="120" w:type="dxa"/>
            </w:tcMar>
            <w:vAlign w:val="center"/>
          </w:tcPr>
          <w:p>
            <w:pPr>
              <w:jc w:val="center"/>
            </w:pPr>
            <w:r>
              <w:rPr>
                <w:rFonts w:ascii="Calibri" w:hAnsi="Calibri" w:eastAsia="Malgun Gothic"/>
                <w:b/>
                <w:color w:val="1F4E79"/>
                <w:sz w:val="19"/>
              </w:rPr>
              <w:t>주거중심형</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algun Gothic"/>
                <w:sz w:val="18"/>
              </w:rPr>
              <w:t>기능 방향</w:t>
            </w:r>
          </w:p>
        </w:tc>
        <w:tc>
          <w:tcPr>
            <w:tcW w:type="dxa" w:w="3816"/>
            <w:tcMar>
              <w:top w:w="80" w:type="dxa"/>
              <w:start w:w="120" w:type="dxa"/>
              <w:bottom w:w="80" w:type="dxa"/>
              <w:end w:w="120" w:type="dxa"/>
            </w:tcMar>
            <w:vAlign w:val="center"/>
          </w:tcPr>
          <w:p>
            <w:pPr>
              <w:spacing w:after="0" w:line="252" w:lineRule="auto"/>
            </w:pPr>
            <w:r>
              <w:rPr>
                <w:rFonts w:ascii="Calibri" w:hAnsi="Calibri" w:eastAsia="Malgun Gothic"/>
                <w:sz w:val="18"/>
              </w:rPr>
              <w:t>업무·상업·호텔·지식산업센터·전시공연장 등 중심지 기능과 비주거 복합기능을 강화</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주택 공급을 중심으로 하되 상업시설, 생활SOC 등 복합기능을 일부 결합</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algun Gothic"/>
                <w:sz w:val="18"/>
              </w:rPr>
              <w:t>입지 요건</w:t>
            </w:r>
          </w:p>
        </w:tc>
        <w:tc>
          <w:tcPr>
            <w:tcW w:type="dxa" w:w="3816"/>
            <w:tcMar>
              <w:top w:w="80" w:type="dxa"/>
              <w:start w:w="120" w:type="dxa"/>
              <w:bottom w:w="80" w:type="dxa"/>
              <w:end w:w="120" w:type="dxa"/>
            </w:tcMar>
            <w:vAlign w:val="center"/>
          </w:tcPr>
          <w:p>
            <w:pPr>
              <w:spacing w:after="0" w:line="252" w:lineRule="auto"/>
            </w:pPr>
            <w:r>
              <w:rPr>
                <w:rFonts w:ascii="Calibri" w:hAnsi="Calibri" w:eastAsia="Malgun Gothic"/>
                <w:sz w:val="18"/>
              </w:rPr>
              <w:t>5천㎡ 이상, 노후도 미적용. 도심·부도심·생활권 중심지 또는 대중교통 결절지 500m 이내 등 중심성 있는 지역</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5천㎡ 이상, 20년 이상 경과 건축물 40% 이상. 면적 과반이 역세권 500m 이내 또는 준공업지역인 곳</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algun Gothic"/>
                <w:sz w:val="18"/>
              </w:rPr>
              <w:t>사업 주체</w:t>
            </w:r>
          </w:p>
        </w:tc>
        <w:tc>
          <w:tcPr>
            <w:tcW w:type="dxa" w:w="3816"/>
            <w:tcMar>
              <w:top w:w="80" w:type="dxa"/>
              <w:start w:w="120" w:type="dxa"/>
              <w:bottom w:w="80" w:type="dxa"/>
              <w:end w:w="120" w:type="dxa"/>
            </w:tcMar>
            <w:vAlign w:val="center"/>
          </w:tcPr>
          <w:p>
            <w:pPr>
              <w:spacing w:after="0" w:line="252" w:lineRule="auto"/>
            </w:pPr>
            <w:r>
              <w:rPr>
                <w:rFonts w:ascii="Calibri" w:hAnsi="Calibri" w:eastAsia="Malgun Gothic"/>
                <w:sz w:val="18"/>
              </w:rPr>
              <w:t>토지등소유자 20명 이내, 신탁, 리츠, 공공시행 등 민간·공공 주체 활용 가능</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성장거점형과 동일하게 토지등소유자, 신탁, 리츠, 공공시행 등 활용 가능</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algun Gothic"/>
                <w:sz w:val="18"/>
              </w:rPr>
              <w:t>동의 요건</w:t>
            </w:r>
          </w:p>
        </w:tc>
        <w:tc>
          <w:tcPr>
            <w:tcW w:type="dxa" w:w="3816"/>
            <w:tcMar>
              <w:top w:w="80" w:type="dxa"/>
              <w:start w:w="120" w:type="dxa"/>
              <w:bottom w:w="80" w:type="dxa"/>
              <w:end w:w="120" w:type="dxa"/>
            </w:tcMar>
            <w:vAlign w:val="center"/>
          </w:tcPr>
          <w:p>
            <w:pPr>
              <w:spacing w:after="0" w:line="252" w:lineRule="auto"/>
            </w:pPr>
            <w:r>
              <w:rPr>
                <w:rFonts w:ascii="Calibri" w:hAnsi="Calibri" w:eastAsia="Malgun Gothic"/>
                <w:sz w:val="18"/>
              </w:rPr>
              <w:t>사업시행인가 단계에서 토지등소유자 수 2/3 및 면적 1/2 이상 동의 등 검토</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성장거점형과 같은 도심복합개발사업 틀의 동의요건 적용</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algun Gothic"/>
                <w:sz w:val="18"/>
              </w:rPr>
              <w:t>규제특례</w:t>
            </w:r>
          </w:p>
        </w:tc>
        <w:tc>
          <w:tcPr>
            <w:tcW w:type="dxa" w:w="3816"/>
            <w:tcMar>
              <w:top w:w="80" w:type="dxa"/>
              <w:start w:w="120" w:type="dxa"/>
              <w:bottom w:w="80" w:type="dxa"/>
              <w:end w:w="120" w:type="dxa"/>
            </w:tcMar>
            <w:vAlign w:val="center"/>
          </w:tcPr>
          <w:p>
            <w:pPr>
              <w:spacing w:after="0" w:line="252" w:lineRule="auto"/>
            </w:pPr>
            <w:r>
              <w:rPr>
                <w:rFonts w:ascii="Calibri" w:hAnsi="Calibri" w:eastAsia="Malgun Gothic"/>
                <w:sz w:val="18"/>
              </w:rPr>
              <w:t>법적상한 용적률 완화, 건축물 용도제한·건폐율·도시공원녹지 기준 완화 가능</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주거지역 1.2배, 준주거지역 1.4배 등 주거공급 중심의 용적률 완화 구조</w:t>
            </w:r>
          </w:p>
        </w:tc>
      </w:tr>
      <w:tr>
        <w:tc>
          <w:tcPr>
            <w:tcW w:type="dxa" w:w="1800"/>
            <w:tcMar>
              <w:top w:w="80" w:type="dxa"/>
              <w:start w:w="120" w:type="dxa"/>
              <w:bottom w:w="80" w:type="dxa"/>
              <w:end w:w="120" w:type="dxa"/>
            </w:tcMar>
            <w:vAlign w:val="center"/>
          </w:tcPr>
          <w:p>
            <w:pPr>
              <w:spacing w:after="0" w:line="252" w:lineRule="auto"/>
            </w:pPr>
            <w:r>
              <w:rPr>
                <w:rFonts w:ascii="Calibri" w:hAnsi="Calibri" w:eastAsia="Malgun Gothic"/>
                <w:sz w:val="18"/>
              </w:rPr>
              <w:t>공공기여·주택</w:t>
            </w:r>
          </w:p>
        </w:tc>
        <w:tc>
          <w:tcPr>
            <w:tcW w:type="dxa" w:w="3816"/>
            <w:tcMar>
              <w:top w:w="80" w:type="dxa"/>
              <w:start w:w="120" w:type="dxa"/>
              <w:bottom w:w="80" w:type="dxa"/>
              <w:end w:w="120" w:type="dxa"/>
            </w:tcMar>
            <w:vAlign w:val="center"/>
          </w:tcPr>
          <w:p>
            <w:pPr>
              <w:spacing w:after="0" w:line="252" w:lineRule="auto"/>
            </w:pPr>
            <w:r>
              <w:rPr>
                <w:rFonts w:ascii="Calibri" w:hAnsi="Calibri" w:eastAsia="Malgun Gothic"/>
                <w:sz w:val="18"/>
              </w:rPr>
              <w:t>기반시설·생활인프라·공공시설·국민주택규모 주택 건설·설치, 시·도 조례로 정하는 개발 또는 현금납부 가능</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주택 건립 시 용적률 상향 50% 범위에서 공급하되 공공분양 60%, 공공임대 40% 등 주택공급 기준을 중점 검토</w:t>
            </w:r>
          </w:p>
        </w:tc>
      </w:tr>
    </w:tbl>
    <w:p/>
    <w:p>
      <w:pPr>
        <w:pStyle w:val="Heading2"/>
      </w:pPr>
      <w:r>
        <w:rPr>
          <w:rFonts w:ascii="Calibri" w:hAnsi="Calibri" w:eastAsia="Malgun Gothic"/>
          <w:b/>
          <w:color w:val="2E74B5"/>
          <w:sz w:val="26"/>
        </w:rPr>
        <w:t>3.3 주요 운영 기준</w:t>
      </w:r>
    </w:p>
    <w:tbl>
      <w:tblPr>
        <w:tblStyle w:val="TableGrid"/>
        <w:tblW w:type="auto" w:w="0"/>
        <w:tblLook w:firstColumn="1" w:firstRow="1" w:lastColumn="0" w:lastRow="0" w:noHBand="0" w:noVBand="1" w:val="04A0"/>
      </w:tblPr>
      <w:tblGrid>
        <w:gridCol w:w="4680"/>
        <w:gridCol w:w="4680"/>
      </w:tblGrid>
      <w:tr>
        <w:tc>
          <w:tcPr>
            <w:tcW w:type="dxa" w:w="2160"/>
            <w:shd w:fill="F2F4F7"/>
            <w:tcMar>
              <w:top w:w="80" w:type="dxa"/>
              <w:start w:w="120" w:type="dxa"/>
              <w:bottom w:w="80" w:type="dxa"/>
              <w:end w:w="120" w:type="dxa"/>
            </w:tcMar>
            <w:vAlign w:val="center"/>
          </w:tcPr>
          <w:p>
            <w:pPr>
              <w:jc w:val="center"/>
            </w:pPr>
            <w:r>
              <w:rPr>
                <w:rFonts w:ascii="Calibri" w:hAnsi="Calibri" w:eastAsia="Malgun Gothic"/>
                <w:b/>
                <w:color w:val="1F4E79"/>
                <w:sz w:val="19"/>
              </w:rPr>
              <w:t>항목</w:t>
            </w:r>
          </w:p>
        </w:tc>
        <w:tc>
          <w:tcPr>
            <w:tcW w:type="dxa" w:w="7200"/>
            <w:shd w:fill="F2F4F7"/>
            <w:tcMar>
              <w:top w:w="80" w:type="dxa"/>
              <w:start w:w="120" w:type="dxa"/>
              <w:bottom w:w="80" w:type="dxa"/>
              <w:end w:w="120" w:type="dxa"/>
            </w:tcMar>
            <w:vAlign w:val="center"/>
          </w:tcPr>
          <w:p>
            <w:pPr>
              <w:jc w:val="center"/>
            </w:pPr>
            <w:r>
              <w:rPr>
                <w:rFonts w:ascii="Calibri" w:hAnsi="Calibri" w:eastAsia="Malgun Gothic"/>
                <w:b/>
                <w:color w:val="1F4E79"/>
                <w:sz w:val="19"/>
              </w:rPr>
              <w:t>주요 내용</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사업 유형</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성장거점형과 주거중심형으로 구분. 성장거점형은 기존 도심 고도화와 신성장거점 조성, 주거중심형은 주택연면적 50% 이상 등 주택공급 중심 구조</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입지</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도심·부도심·광역중심 또는 환승역 주변지역을 중심으로 검토. 성장거점형은 환승역 반경 500m 등 대중교통 결절성과 중심성을 중시</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면적</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대상지 규모는 5천㎡ 이상을 기본 기준으로 제시</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시행 주체</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신탁, 리츠, 토지소유자 등 민간 참여주체 활용. 설명자료의 검토서 예시는 토지소유자 20인 이하 등을 언급</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동의 요건</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토지등소유자 수 2/3 이상 및 토지면적 1/2 이상 동의 등 사업 추진 동의요건 검토</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용적률 체계</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기준용적률, 상한용적률, 법적상한용적률의 3단계 체계를 적용. 용도지역 변경 후 조례상 상한과 시행령상 법적상한을 구분</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공공기여</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용도지역 상향 및 규제특례에 따른 공공기여를 구분해 산정. 평균 표준지공시지가가 낮은 자치구는 증가용적률 기준을 완화하는 방향 제시</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주거·비주거</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성장거점형 복합개발은 비주거용도 50% 초과 계획 등 중심지 기능 확보 기준을 검토</w:t>
            </w:r>
          </w:p>
        </w:tc>
      </w:tr>
    </w:tbl>
    <w:p/>
    <w:p>
      <w:pPr>
        <w:pStyle w:val="Heading2"/>
      </w:pPr>
      <w:r>
        <w:rPr>
          <w:rFonts w:ascii="Calibri" w:hAnsi="Calibri" w:eastAsia="Malgun Gothic"/>
          <w:b/>
          <w:color w:val="2E74B5"/>
          <w:sz w:val="26"/>
        </w:rPr>
        <w:t>3.4 시범사업 운영</w:t>
      </w:r>
    </w:p>
    <w:p>
      <w:pPr>
        <w:spacing w:after="120" w:line="264" w:lineRule="auto"/>
      </w:pPr>
      <w:r>
        <w:rPr>
          <w:rFonts w:ascii="Calibri" w:hAnsi="Calibri" w:eastAsia="Malgun Gothic"/>
          <w:color w:val="222222"/>
          <w:sz w:val="21"/>
        </w:rPr>
        <w:t>서울시는 자치구 대상지 추천을 통해 지역 내 고밀복합개발을 선도할 성장거점을 발굴하고, 사업 실현 가능성과 중심지 육성 효과를 함께 고려해 시범사업지를 선정할 계획이다.</w:t>
      </w:r>
    </w:p>
    <w:p>
      <w:pPr>
        <w:pStyle w:val="ListBullet"/>
        <w:spacing w:after="80" w:line="276" w:lineRule="auto"/>
      </w:pPr>
      <w:r>
        <w:rPr>
          <w:rFonts w:ascii="Calibri" w:hAnsi="Calibri" w:eastAsia="Malgun Gothic"/>
          <w:color w:val="222222"/>
          <w:sz w:val="20"/>
        </w:rPr>
        <w:t>선정 기준은 정책적 요건, 입지요건, 현황·잠재력, 제외 대상 검토로 구성된다.</w:t>
      </w:r>
    </w:p>
    <w:p>
      <w:pPr>
        <w:pStyle w:val="ListBullet"/>
        <w:spacing w:after="80" w:line="276" w:lineRule="auto"/>
      </w:pPr>
      <w:r>
        <w:rPr>
          <w:rFonts w:ascii="Calibri" w:hAnsi="Calibri" w:eastAsia="Malgun Gothic"/>
          <w:color w:val="222222"/>
          <w:sz w:val="20"/>
        </w:rPr>
        <w:t>정책적 요건에는 관광숙박시설 등 도시성장기반 구축, 지역경제 활성화, 기업유치·전략시설 등이 포함된다.</w:t>
      </w:r>
    </w:p>
    <w:p>
      <w:pPr>
        <w:pStyle w:val="ListBullet"/>
        <w:spacing w:after="80" w:line="276" w:lineRule="auto"/>
      </w:pPr>
      <w:r>
        <w:rPr>
          <w:rFonts w:ascii="Calibri" w:hAnsi="Calibri" w:eastAsia="Malgun Gothic"/>
          <w:color w:val="222222"/>
          <w:sz w:val="20"/>
        </w:rPr>
        <w:t>추진 일정은 2026년 5월 설명회, 6월 시범사업 추천·제안, 7~8월 사업타당성 및 내부 정책회의, 9월 시범사업지 선정 순으로 제시되었다.</w:t>
      </w:r>
    </w:p>
    <w:p>
      <w:pPr>
        <w:pStyle w:val="Heading1"/>
      </w:pPr>
      <w:r>
        <w:rPr>
          <w:rFonts w:ascii="Calibri" w:hAnsi="Calibri" w:eastAsia="Malgun Gothic"/>
          <w:b/>
          <w:color w:val="2E74B5"/>
          <w:sz w:val="32"/>
        </w:rPr>
        <w:t>4. 성장잠재권 활성화사업</w:t>
      </w:r>
    </w:p>
    <w:p>
      <w:pPr>
        <w:pStyle w:val="Heading2"/>
      </w:pPr>
      <w:r>
        <w:rPr>
          <w:rFonts w:ascii="Calibri" w:hAnsi="Calibri" w:eastAsia="Malgun Gothic"/>
          <w:b/>
          <w:color w:val="2E74B5"/>
          <w:sz w:val="26"/>
        </w:rPr>
        <w:t>4.1 추진 배경</w:t>
      </w:r>
    </w:p>
    <w:p>
      <w:pPr>
        <w:spacing w:after="120" w:line="264" w:lineRule="auto"/>
      </w:pPr>
      <w:r>
        <w:rPr>
          <w:rFonts w:ascii="Calibri" w:hAnsi="Calibri" w:eastAsia="Malgun Gothic"/>
          <w:color w:val="222222"/>
          <w:sz w:val="21"/>
        </w:rPr>
        <w:t>성장잠재권 활성화사업은 역세권 개발사업 기회가 자치구별로 불균형하게 분포하는 문제를 보완하고, 주요 간선도로변의 저이용 토지와 노후 건축물을 재구조화하기 위해 마련되었다. 설명자료는 폭 35m 이상의 주요 간선도로를 사람들이 활동하고 대중교통 접근성이 높은 기반시설로 보고 이를 ‘성장축’으로 설정한다.</w:t>
      </w:r>
    </w:p>
    <w:p>
      <w:pPr>
        <w:pStyle w:val="Heading2"/>
      </w:pPr>
      <w:r>
        <w:rPr>
          <w:rFonts w:ascii="Calibri" w:hAnsi="Calibri" w:eastAsia="Malgun Gothic"/>
          <w:b/>
          <w:color w:val="2E74B5"/>
          <w:sz w:val="26"/>
        </w:rPr>
        <w:t>4.2 대상지 기준</w:t>
      </w:r>
    </w:p>
    <w:tbl>
      <w:tblPr>
        <w:tblStyle w:val="TableGrid"/>
        <w:tblW w:type="auto" w:w="0"/>
        <w:tblLook w:firstColumn="1" w:firstRow="1" w:lastColumn="0" w:lastRow="0" w:noHBand="0" w:noVBand="1" w:val="04A0"/>
      </w:tblPr>
      <w:tblGrid>
        <w:gridCol w:w="4680"/>
        <w:gridCol w:w="4680"/>
      </w:tblGrid>
      <w:tr>
        <w:tc>
          <w:tcPr>
            <w:tcW w:type="dxa" w:w="2160"/>
            <w:shd w:fill="F2F4F7"/>
            <w:tcMar>
              <w:top w:w="80" w:type="dxa"/>
              <w:start w:w="120" w:type="dxa"/>
              <w:bottom w:w="80" w:type="dxa"/>
              <w:end w:w="120" w:type="dxa"/>
            </w:tcMar>
            <w:vAlign w:val="center"/>
          </w:tcPr>
          <w:p>
            <w:pPr>
              <w:jc w:val="center"/>
            </w:pPr>
            <w:r>
              <w:rPr>
                <w:rFonts w:ascii="Calibri" w:hAnsi="Calibri" w:eastAsia="Malgun Gothic"/>
                <w:b/>
                <w:color w:val="1F4E79"/>
                <w:sz w:val="19"/>
              </w:rPr>
              <w:t>항목</w:t>
            </w:r>
          </w:p>
        </w:tc>
        <w:tc>
          <w:tcPr>
            <w:tcW w:type="dxa" w:w="7200"/>
            <w:shd w:fill="F2F4F7"/>
            <w:tcMar>
              <w:top w:w="80" w:type="dxa"/>
              <w:start w:w="120" w:type="dxa"/>
              <w:bottom w:w="80" w:type="dxa"/>
              <w:end w:w="120" w:type="dxa"/>
            </w:tcMar>
            <w:vAlign w:val="center"/>
          </w:tcPr>
          <w:p>
            <w:pPr>
              <w:jc w:val="center"/>
            </w:pPr>
            <w:r>
              <w:rPr>
                <w:rFonts w:ascii="Calibri" w:hAnsi="Calibri" w:eastAsia="Malgun Gothic"/>
                <w:b/>
                <w:color w:val="1F4E79"/>
                <w:sz w:val="19"/>
              </w:rPr>
              <w:t>운영 기준 요약</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사업 범위</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폭 35m 이상 간선도로변에 연접한 지역. 용도지역과 타 사업구역 포함 여부에 따라 최종 범위 조정</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사업 유형</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지구단위계획 또는 도시정비형 재개발 방식 활용</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면적</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최소 1,500㎡ 이상. 지구단위계획은 5,000㎡ 이하, 도시정비형 재개발은 10,000㎡ 이하</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용도지역</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제2종일반주거지역(7층 이하 포함), 제3종일반주거지역, 준주거지역 가능</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접도</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2면 이상이 폭 6m 이상 도로에 접하고, 1면은 폭 35m 이상 간선도로에 대상지 둘레의 1/8 이상 접도</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Malgun Gothic"/>
                <w:sz w:val="18"/>
              </w:rPr>
              <w:t>제외</w:t>
            </w:r>
          </w:p>
        </w:tc>
        <w:tc>
          <w:tcPr>
            <w:tcW w:type="dxa" w:w="7200"/>
            <w:tcMar>
              <w:top w:w="80" w:type="dxa"/>
              <w:start w:w="120" w:type="dxa"/>
              <w:bottom w:w="80" w:type="dxa"/>
              <w:end w:w="120" w:type="dxa"/>
            </w:tcMar>
            <w:vAlign w:val="center"/>
          </w:tcPr>
          <w:p>
            <w:pPr>
              <w:spacing w:after="0" w:line="252" w:lineRule="auto"/>
            </w:pPr>
            <w:r>
              <w:rPr>
                <w:rFonts w:ascii="Calibri" w:hAnsi="Calibri" w:eastAsia="Malgun Gothic"/>
                <w:sz w:val="18"/>
              </w:rPr>
              <w:t>역세권 또는 다른 개발사업 대상지와 중복되거나, 공원·학교·공공주택단지 등 개발이 곤란한 구역은 제외 검토</w:t>
            </w:r>
          </w:p>
        </w:tc>
      </w:tr>
    </w:tbl>
    <w:p/>
    <w:p>
      <w:pPr>
        <w:pStyle w:val="Heading2"/>
      </w:pPr>
      <w:r>
        <w:rPr>
          <w:rFonts w:ascii="Calibri" w:hAnsi="Calibri" w:eastAsia="Malgun Gothic"/>
          <w:b/>
          <w:color w:val="2E74B5"/>
          <w:sz w:val="26"/>
        </w:rPr>
        <w:t>4.3 활성화 전략과 건축 기준</w:t>
      </w:r>
    </w:p>
    <w:p>
      <w:pPr>
        <w:pStyle w:val="ListBullet"/>
        <w:spacing w:after="80" w:line="276" w:lineRule="auto"/>
      </w:pPr>
      <w:r>
        <w:rPr>
          <w:rFonts w:ascii="Calibri" w:hAnsi="Calibri" w:eastAsia="Malgun Gothic"/>
          <w:color w:val="222222"/>
          <w:sz w:val="20"/>
        </w:rPr>
        <w:t>용도지역 변경을 통해 간선도로변 고밀개발을 유도하고, 친환경 건축·관광숙박시설·공개공지 등 용적률 인센티브를 결합한다.</w:t>
      </w:r>
    </w:p>
    <w:p>
      <w:pPr>
        <w:pStyle w:val="ListBullet"/>
        <w:spacing w:after="80" w:line="276" w:lineRule="auto"/>
      </w:pPr>
      <w:r>
        <w:rPr>
          <w:rFonts w:ascii="Calibri" w:hAnsi="Calibri" w:eastAsia="Malgun Gothic"/>
          <w:color w:val="222222"/>
          <w:sz w:val="20"/>
        </w:rPr>
        <w:t>다양한 용도를 도입해 지역 활력을 높이고, 공공기여를 활용해 도로·보육·복지·창업 등 지역 필요시설을 공급한다.</w:t>
      </w:r>
    </w:p>
    <w:p>
      <w:pPr>
        <w:pStyle w:val="ListBullet"/>
        <w:spacing w:after="80" w:line="276" w:lineRule="auto"/>
      </w:pPr>
      <w:r>
        <w:rPr>
          <w:rFonts w:ascii="Calibri" w:hAnsi="Calibri" w:eastAsia="Malgun Gothic"/>
          <w:color w:val="222222"/>
          <w:sz w:val="20"/>
        </w:rPr>
        <w:t>주거계획은 국민주택규모 85㎡ 이하를 원칙으로 하며, 성장잠재권 활성화사업으로 건설하는 주택은 도시형 생활주택 설치를 금지한다.</w:t>
      </w:r>
    </w:p>
    <w:p>
      <w:pPr>
        <w:pStyle w:val="ListBullet"/>
        <w:spacing w:after="80" w:line="276" w:lineRule="auto"/>
      </w:pPr>
      <w:r>
        <w:rPr>
          <w:rFonts w:ascii="Calibri" w:hAnsi="Calibri" w:eastAsia="Malgun Gothic"/>
          <w:color w:val="222222"/>
          <w:sz w:val="20"/>
        </w:rPr>
        <w:t>높이계획은 지구단위계획 기준에 따라 산출된 최고높이의 20% 범위 내 가감 적용이 가능하도록 제시된다.</w:t>
      </w:r>
    </w:p>
    <w:p>
      <w:pPr>
        <w:pStyle w:val="ListBullet"/>
        <w:spacing w:after="80" w:line="276" w:lineRule="auto"/>
      </w:pPr>
      <w:r>
        <w:rPr>
          <w:rFonts w:ascii="Calibri" w:hAnsi="Calibri" w:eastAsia="Malgun Gothic"/>
          <w:color w:val="222222"/>
          <w:sz w:val="20"/>
        </w:rPr>
        <w:t>공개공지, 지속가능형 공동주택, 친환경 건축물, 역사문화 보전 등 공공성과 도시환경 개선 기준을 함께 검토한다.</w:t>
      </w:r>
    </w:p>
    <w:p>
      <w:pPr>
        <w:pStyle w:val="Heading2"/>
      </w:pPr>
      <w:r>
        <w:rPr>
          <w:rFonts w:ascii="Calibri" w:hAnsi="Calibri" w:eastAsia="Malgun Gothic"/>
          <w:b/>
          <w:color w:val="2E74B5"/>
          <w:sz w:val="26"/>
        </w:rPr>
        <w:t>4.4 공공기여와 공모 일정</w:t>
      </w:r>
    </w:p>
    <w:p>
      <w:pPr>
        <w:spacing w:after="120" w:line="264" w:lineRule="auto"/>
      </w:pPr>
      <w:r>
        <w:rPr>
          <w:rFonts w:ascii="Calibri" w:hAnsi="Calibri" w:eastAsia="Malgun Gothic"/>
          <w:color w:val="222222"/>
          <w:sz w:val="21"/>
        </w:rPr>
        <w:t>공공기여율은 증가용적률의 5/10을 기본으로 하며, 자치구 평균 표준지공시지가가 서울시 전체 평균의 60% 이하인 경우 3/10 적용 등 완화 가능성이 제시되었다. 공공시설은 부지 전체가 아니라 증가용적률에 해당하는 용적률을 기준으로 환산하고, 공공주택보다 지역 필요시설과 생활SOC 확보를 우선 검토하는 방향이다.</w:t>
      </w:r>
    </w:p>
    <w:tbl>
      <w:tblPr>
        <w:tblStyle w:val="TableGrid"/>
        <w:tblW w:type="auto" w:w="0"/>
        <w:tblLook w:firstColumn="1" w:firstRow="1" w:lastColumn="0" w:lastRow="0" w:noHBand="0" w:noVBand="1" w:val="04A0"/>
      </w:tblPr>
      <w:tblGrid>
        <w:gridCol w:w="4680"/>
        <w:gridCol w:w="4680"/>
      </w:tblGrid>
      <w:tr>
        <w:tc>
          <w:tcPr>
            <w:tcW w:type="dxa" w:w="2015"/>
            <w:shd w:fill="F2F4F7"/>
            <w:tcMar>
              <w:top w:w="80" w:type="dxa"/>
              <w:start w:w="120" w:type="dxa"/>
              <w:bottom w:w="80" w:type="dxa"/>
              <w:end w:w="120" w:type="dxa"/>
            </w:tcMar>
            <w:vAlign w:val="center"/>
          </w:tcPr>
          <w:p>
            <w:pPr>
              <w:jc w:val="center"/>
            </w:pPr>
            <w:r>
              <w:rPr>
                <w:rFonts w:ascii="Calibri" w:hAnsi="Calibri" w:eastAsia="Malgun Gothic"/>
                <w:b/>
                <w:color w:val="1F4E79"/>
                <w:sz w:val="19"/>
              </w:rPr>
              <w:t>일정</w:t>
            </w:r>
          </w:p>
        </w:tc>
        <w:tc>
          <w:tcPr>
            <w:tcW w:type="dxa" w:w="7343"/>
            <w:shd w:fill="F2F4F7"/>
            <w:tcMar>
              <w:top w:w="80" w:type="dxa"/>
              <w:start w:w="120" w:type="dxa"/>
              <w:bottom w:w="80" w:type="dxa"/>
              <w:end w:w="120" w:type="dxa"/>
            </w:tcMar>
            <w:vAlign w:val="center"/>
          </w:tcPr>
          <w:p>
            <w:pPr>
              <w:jc w:val="center"/>
            </w:pPr>
            <w:r>
              <w:rPr>
                <w:rFonts w:ascii="Calibri" w:hAnsi="Calibri" w:eastAsia="Malgun Gothic"/>
                <w:b/>
                <w:color w:val="1F4E79"/>
                <w:sz w:val="19"/>
              </w:rPr>
              <w:t>내용</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2026.5.14.</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성장잠재권 활성화사업 설명 및 추천제안 안내 자치구 교육</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2026.5.28.</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시범사업 가능 후보지 자치구 추천제안 요청</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2026.6월</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대상 후보지 접수(자치구 → 서울시)</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2026.7~8월</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대상 후보지 사업 적정성 검토</w:t>
            </w:r>
          </w:p>
        </w:tc>
      </w:tr>
      <w:tr>
        <w:tc>
          <w:tcPr>
            <w:tcW w:type="dxa" w:w="2015"/>
            <w:tcMar>
              <w:top w:w="80" w:type="dxa"/>
              <w:start w:w="120" w:type="dxa"/>
              <w:bottom w:w="80" w:type="dxa"/>
              <w:end w:w="120" w:type="dxa"/>
            </w:tcMar>
            <w:vAlign w:val="center"/>
          </w:tcPr>
          <w:p>
            <w:pPr>
              <w:spacing w:after="0" w:line="252" w:lineRule="auto"/>
            </w:pPr>
            <w:r>
              <w:rPr>
                <w:rFonts w:ascii="Calibri" w:hAnsi="Calibri" w:eastAsia="Malgun Gothic"/>
                <w:sz w:val="18"/>
              </w:rPr>
              <w:t>2026.9월</w:t>
            </w:r>
          </w:p>
        </w:tc>
        <w:tc>
          <w:tcPr>
            <w:tcW w:type="dxa" w:w="7343"/>
            <w:tcMar>
              <w:top w:w="80" w:type="dxa"/>
              <w:start w:w="120" w:type="dxa"/>
              <w:bottom w:w="80" w:type="dxa"/>
              <w:end w:w="120" w:type="dxa"/>
            </w:tcMar>
            <w:vAlign w:val="center"/>
          </w:tcPr>
          <w:p>
            <w:pPr>
              <w:spacing w:after="0" w:line="252" w:lineRule="auto"/>
            </w:pPr>
            <w:r>
              <w:rPr>
                <w:rFonts w:ascii="Calibri" w:hAnsi="Calibri" w:eastAsia="Malgun Gothic"/>
                <w:sz w:val="18"/>
              </w:rPr>
              <w:t>성장잠재권 활성화 시범사업 가능 후보지 선정 및 사업 추진</w:t>
            </w:r>
          </w:p>
        </w:tc>
      </w:tr>
    </w:tbl>
    <w:p/>
    <w:p>
      <w:pPr>
        <w:pStyle w:val="Heading1"/>
      </w:pPr>
      <w:r>
        <w:rPr>
          <w:rFonts w:ascii="Calibri" w:hAnsi="Calibri" w:eastAsia="Malgun Gothic"/>
          <w:b/>
          <w:color w:val="2E74B5"/>
          <w:sz w:val="32"/>
        </w:rPr>
        <w:t>5. 두 신규 사업 비교</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fill="F2F4F7"/>
            <w:tcMar>
              <w:top w:w="80" w:type="dxa"/>
              <w:start w:w="120" w:type="dxa"/>
              <w:bottom w:w="80" w:type="dxa"/>
              <w:end w:w="120" w:type="dxa"/>
            </w:tcMar>
            <w:vAlign w:val="center"/>
          </w:tcPr>
          <w:p>
            <w:pPr>
              <w:jc w:val="center"/>
            </w:pPr>
            <w:r>
              <w:rPr>
                <w:rFonts w:ascii="Calibri" w:hAnsi="Calibri" w:eastAsia="Malgun Gothic"/>
                <w:b/>
                <w:color w:val="1F4E79"/>
                <w:sz w:val="19"/>
              </w:rPr>
              <w:t>구분</w:t>
            </w:r>
          </w:p>
        </w:tc>
        <w:tc>
          <w:tcPr>
            <w:tcW w:type="dxa" w:w="2592"/>
            <w:shd w:fill="F2F4F7"/>
            <w:tcMar>
              <w:top w:w="80" w:type="dxa"/>
              <w:start w:w="120" w:type="dxa"/>
              <w:bottom w:w="80" w:type="dxa"/>
              <w:end w:w="120" w:type="dxa"/>
            </w:tcMar>
            <w:vAlign w:val="center"/>
          </w:tcPr>
          <w:p>
            <w:pPr>
              <w:jc w:val="center"/>
            </w:pPr>
            <w:r>
              <w:rPr>
                <w:rFonts w:ascii="Calibri" w:hAnsi="Calibri" w:eastAsia="Malgun Gothic"/>
                <w:b/>
                <w:color w:val="1F4E79"/>
                <w:sz w:val="19"/>
              </w:rPr>
              <w:t>성장거점형 도심복합개발</w:t>
            </w:r>
          </w:p>
        </w:tc>
        <w:tc>
          <w:tcPr>
            <w:tcW w:type="dxa" w:w="2592"/>
            <w:shd w:fill="F2F4F7"/>
            <w:tcMar>
              <w:top w:w="80" w:type="dxa"/>
              <w:start w:w="120" w:type="dxa"/>
              <w:bottom w:w="80" w:type="dxa"/>
              <w:end w:w="120" w:type="dxa"/>
            </w:tcMar>
            <w:vAlign w:val="center"/>
          </w:tcPr>
          <w:p>
            <w:pPr>
              <w:jc w:val="center"/>
            </w:pPr>
            <w:r>
              <w:rPr>
                <w:rFonts w:ascii="Calibri" w:hAnsi="Calibri" w:eastAsia="Malgun Gothic"/>
                <w:b/>
                <w:color w:val="1F4E79"/>
                <w:sz w:val="19"/>
              </w:rPr>
              <w:t>주거중심형 도심복합개발</w:t>
            </w:r>
          </w:p>
        </w:tc>
        <w:tc>
          <w:tcPr>
            <w:tcW w:type="dxa" w:w="2592"/>
            <w:shd w:fill="F2F4F7"/>
            <w:tcMar>
              <w:top w:w="80" w:type="dxa"/>
              <w:start w:w="120" w:type="dxa"/>
              <w:bottom w:w="80" w:type="dxa"/>
              <w:end w:w="120" w:type="dxa"/>
            </w:tcMar>
            <w:vAlign w:val="center"/>
          </w:tcPr>
          <w:p>
            <w:pPr>
              <w:jc w:val="center"/>
            </w:pPr>
            <w:r>
              <w:rPr>
                <w:rFonts w:ascii="Calibri" w:hAnsi="Calibri" w:eastAsia="Malgun Gothic"/>
                <w:b/>
                <w:color w:val="1F4E79"/>
                <w:sz w:val="19"/>
              </w:rPr>
              <w:t>성장잠재권 활성화</w:t>
            </w:r>
          </w:p>
        </w:tc>
      </w:tr>
      <w:tr>
        <w:tc>
          <w:tcPr>
            <w:tcW w:type="dxa" w:w="1584"/>
            <w:tcMar>
              <w:top w:w="80" w:type="dxa"/>
              <w:start w:w="120" w:type="dxa"/>
              <w:bottom w:w="80" w:type="dxa"/>
              <w:end w:w="120" w:type="dxa"/>
            </w:tcMar>
            <w:vAlign w:val="center"/>
          </w:tcPr>
          <w:p>
            <w:pPr>
              <w:spacing w:after="0" w:line="252" w:lineRule="auto"/>
            </w:pPr>
            <w:r>
              <w:rPr>
                <w:rFonts w:ascii="Calibri" w:hAnsi="Calibri" w:eastAsia="Malgun Gothic"/>
                <w:sz w:val="18"/>
              </w:rPr>
              <w:t>핵심 목표</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대규모 고밀복합개발을 통한 기존 도심 고도화와 신성장거점 조성</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주택공급을 중심으로 한 복합개발과 주거기능 확충</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비역세권 간선도로변의 저이용 토지 활성화와 지역 균형성장</w:t>
            </w:r>
          </w:p>
        </w:tc>
      </w:tr>
      <w:tr>
        <w:tc>
          <w:tcPr>
            <w:tcW w:type="dxa" w:w="1584"/>
            <w:tcMar>
              <w:top w:w="80" w:type="dxa"/>
              <w:start w:w="120" w:type="dxa"/>
              <w:bottom w:w="80" w:type="dxa"/>
              <w:end w:w="120" w:type="dxa"/>
            </w:tcMar>
            <w:vAlign w:val="center"/>
          </w:tcPr>
          <w:p>
            <w:pPr>
              <w:spacing w:after="0" w:line="252" w:lineRule="auto"/>
            </w:pPr>
            <w:r>
              <w:rPr>
                <w:rFonts w:ascii="Calibri" w:hAnsi="Calibri" w:eastAsia="Malgun Gothic"/>
                <w:sz w:val="18"/>
              </w:rPr>
              <w:t>공간 초점</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도심·광역중심, 환승역 주변 등 중심지 성격이 강한 지역</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역세권 500m 이내 또는 준공업지역 등 주거공급 잠재지가 있는 지역</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폭 35m 이상 주요 간선도로변, 성장축 주변 지역</w:t>
            </w:r>
          </w:p>
        </w:tc>
      </w:tr>
      <w:tr>
        <w:tc>
          <w:tcPr>
            <w:tcW w:type="dxa" w:w="1584"/>
            <w:tcMar>
              <w:top w:w="80" w:type="dxa"/>
              <w:start w:w="120" w:type="dxa"/>
              <w:bottom w:w="80" w:type="dxa"/>
              <w:end w:w="120" w:type="dxa"/>
            </w:tcMar>
            <w:vAlign w:val="center"/>
          </w:tcPr>
          <w:p>
            <w:pPr>
              <w:spacing w:after="0" w:line="252" w:lineRule="auto"/>
            </w:pPr>
            <w:r>
              <w:rPr>
                <w:rFonts w:ascii="Calibri" w:hAnsi="Calibri" w:eastAsia="Malgun Gothic"/>
                <w:sz w:val="18"/>
              </w:rPr>
              <w:t>사업 방식</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도심복합개발법과 서울시 조례·운영기준을 바탕으로 민간 주도 복합개발</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도심복합개발사업 유형 중 주택연면적 50% 이상인 주거 중심 복합개발</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지구단위계획 또는 도시정비형 재개발을 활용한 활성화사업</w:t>
            </w:r>
          </w:p>
        </w:tc>
      </w:tr>
      <w:tr>
        <w:tc>
          <w:tcPr>
            <w:tcW w:type="dxa" w:w="1584"/>
            <w:tcMar>
              <w:top w:w="80" w:type="dxa"/>
              <w:start w:w="120" w:type="dxa"/>
              <w:bottom w:w="80" w:type="dxa"/>
              <w:end w:w="120" w:type="dxa"/>
            </w:tcMar>
            <w:vAlign w:val="center"/>
          </w:tcPr>
          <w:p>
            <w:pPr>
              <w:spacing w:after="0" w:line="252" w:lineRule="auto"/>
            </w:pPr>
            <w:r>
              <w:rPr>
                <w:rFonts w:ascii="Calibri" w:hAnsi="Calibri" w:eastAsia="Malgun Gothic"/>
                <w:sz w:val="18"/>
              </w:rPr>
              <w:t>주요 수단</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용도지역 상향, 용적률 완화, 공공기여, 비주거 기능 확보</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용적률 완화, 공공분양·공공임대 등 주택공급 기준, 생활SOC 결합</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용도지역 상향, 용적률 인센티브, 지역 필요시설 공급, 가로환경 개선</w:t>
            </w:r>
          </w:p>
        </w:tc>
      </w:tr>
      <w:tr>
        <w:tc>
          <w:tcPr>
            <w:tcW w:type="dxa" w:w="1584"/>
            <w:tcMar>
              <w:top w:w="80" w:type="dxa"/>
              <w:start w:w="120" w:type="dxa"/>
              <w:bottom w:w="80" w:type="dxa"/>
              <w:end w:w="120" w:type="dxa"/>
            </w:tcMar>
            <w:vAlign w:val="center"/>
          </w:tcPr>
          <w:p>
            <w:pPr>
              <w:spacing w:after="0" w:line="252" w:lineRule="auto"/>
            </w:pPr>
            <w:r>
              <w:rPr>
                <w:rFonts w:ascii="Calibri" w:hAnsi="Calibri" w:eastAsia="Malgun Gothic"/>
                <w:sz w:val="18"/>
              </w:rPr>
              <w:t>검토 포인트</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중심지 육성 효과, 사업 실현 가능성, 비주거 기능, 공공기여 적정성</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노후도, 역세권·준공업지역 여부, 주택공급 비율, 공공주택 공급계획</w:t>
            </w:r>
          </w:p>
        </w:tc>
        <w:tc>
          <w:tcPr>
            <w:tcW w:type="dxa" w:w="2592"/>
            <w:tcMar>
              <w:top w:w="80" w:type="dxa"/>
              <w:start w:w="120" w:type="dxa"/>
              <w:bottom w:w="80" w:type="dxa"/>
              <w:end w:w="120" w:type="dxa"/>
            </w:tcMar>
            <w:vAlign w:val="center"/>
          </w:tcPr>
          <w:p>
            <w:pPr>
              <w:spacing w:after="0" w:line="252" w:lineRule="auto"/>
            </w:pPr>
            <w:r>
              <w:rPr>
                <w:rFonts w:ascii="Calibri" w:hAnsi="Calibri" w:eastAsia="Malgun Gothic"/>
                <w:sz w:val="18"/>
              </w:rPr>
              <w:t>간선도로 접도, 타 사업 중복 여부, 저이용·노후도, 생활SOC 필요성</w:t>
            </w:r>
          </w:p>
        </w:tc>
      </w:tr>
    </w:tbl>
    <w:p/>
    <w:p>
      <w:pPr>
        <w:pStyle w:val="Heading1"/>
      </w:pPr>
      <w:r>
        <w:rPr>
          <w:rFonts w:ascii="Calibri" w:hAnsi="Calibri" w:eastAsia="Malgun Gothic"/>
          <w:b/>
          <w:color w:val="2E74B5"/>
          <w:sz w:val="32"/>
        </w:rPr>
        <w:t>6. 기존 역세권 사업들과의 차이점</w:t>
      </w:r>
    </w:p>
    <w:p>
      <w:pPr>
        <w:spacing w:after="120" w:line="264" w:lineRule="auto"/>
      </w:pPr>
      <w:r>
        <w:rPr>
          <w:rFonts w:ascii="Calibri" w:hAnsi="Calibri" w:eastAsia="Malgun Gothic"/>
          <w:color w:val="222222"/>
          <w:sz w:val="21"/>
        </w:rPr>
        <w:t>서울시의 기존 역세권 사업은 대중교통 결절점 주변을 압축적으로 복합·고밀 개발해 주택공급과 지역필요시설을 확보하는 데 초점을 둔다. 반면 이번 설명자료의 성장거점형 도심복합개발사업과 성장잠재권 활성화사업은 역세권 밖 중심지·간선도로축까지 정책 대상을 확장하고, 민간 참여와 공공기여를 결합해 새로운 사업성 구조를 만들려는 성격이 강하다.</w:t>
      </w:r>
    </w:p>
    <w:p>
      <w:pPr>
        <w:pStyle w:val="Heading2"/>
      </w:pPr>
      <w:r>
        <w:rPr>
          <w:rFonts w:ascii="Calibri" w:hAnsi="Calibri" w:eastAsia="Malgun Gothic"/>
          <w:b/>
          <w:color w:val="2E74B5"/>
          <w:sz w:val="26"/>
        </w:rPr>
        <w:t>6.1 역세권 활성화사업과 성장잠재권 활성화사업</w:t>
      </w:r>
    </w:p>
    <w:tbl>
      <w:tblPr>
        <w:tblStyle w:val="TableGrid"/>
        <w:tblW w:type="auto" w:w="0"/>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pPr>
              <w:jc w:val="center"/>
            </w:pPr>
            <w:r>
              <w:rPr>
                <w:rFonts w:ascii="Calibri" w:hAnsi="Calibri" w:eastAsia="Malgun Gothic"/>
                <w:b/>
                <w:color w:val="1F4E79"/>
                <w:sz w:val="19"/>
              </w:rPr>
              <w:t>구분</w:t>
            </w:r>
          </w:p>
        </w:tc>
        <w:tc>
          <w:tcPr>
            <w:tcW w:type="dxa" w:w="3671"/>
            <w:shd w:fill="F2F4F7"/>
            <w:tcMar>
              <w:top w:w="80" w:type="dxa"/>
              <w:start w:w="120" w:type="dxa"/>
              <w:bottom w:w="80" w:type="dxa"/>
              <w:end w:w="120" w:type="dxa"/>
            </w:tcMar>
            <w:vAlign w:val="center"/>
          </w:tcPr>
          <w:p>
            <w:pPr>
              <w:jc w:val="center"/>
            </w:pPr>
            <w:r>
              <w:rPr>
                <w:rFonts w:ascii="Calibri" w:hAnsi="Calibri" w:eastAsia="Malgun Gothic"/>
                <w:b/>
                <w:color w:val="1F4E79"/>
                <w:sz w:val="19"/>
              </w:rPr>
              <w:t>역세권 활성화사업</w:t>
            </w:r>
          </w:p>
        </w:tc>
        <w:tc>
          <w:tcPr>
            <w:tcW w:type="dxa" w:w="3744"/>
            <w:shd w:fill="F2F4F7"/>
            <w:tcMar>
              <w:top w:w="80" w:type="dxa"/>
              <w:start w:w="120" w:type="dxa"/>
              <w:bottom w:w="80" w:type="dxa"/>
              <w:end w:w="120" w:type="dxa"/>
            </w:tcMar>
            <w:vAlign w:val="center"/>
          </w:tcPr>
          <w:p>
            <w:pPr>
              <w:jc w:val="center"/>
            </w:pPr>
            <w:r>
              <w:rPr>
                <w:rFonts w:ascii="Calibri" w:hAnsi="Calibri" w:eastAsia="Malgun Gothic"/>
                <w:b/>
                <w:color w:val="1F4E79"/>
                <w:sz w:val="19"/>
              </w:rPr>
              <w:t>성장잠재권 활성화사업</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정책 목표</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역세권 복합·고밀개발을 통한 주택공급, 지역필요시설 확충, 저개발·침체지역 활성화</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역세권 밖 주요 간선도로변의 저이용 토지를 활성화하고 비역세권 성장축을 보완</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공간 범위</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 주변 대중교통 결절점 중심</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폭 35m 이상 주요 간선도로변과 그 주변 성장잠재권</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사업 수단</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용도지역 상향, 용적률 증가분 공공기여, 지역필요시설 확보</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용도지역 상향, 용적률 인센티브, 가로환경 개선, 생활SOC 공급</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공공성</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공공임대주택, 공공임대상가, 생활서비스시설 등 역세권 수요 대응</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도로·보행공간·보육·복지·창업 등 지역 필요시설 확보</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판단 포인트</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역과의 거리, 역세권 기능, 주택공급 효과</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35m 이상 간선도로 접도, 타 사업 중복 여부, 저이용·노후도, 생활SOC 필요성</w:t>
            </w:r>
          </w:p>
        </w:tc>
      </w:tr>
    </w:tbl>
    <w:p/>
    <w:p>
      <w:pPr>
        <w:pStyle w:val="Heading2"/>
      </w:pPr>
      <w:r>
        <w:rPr>
          <w:rFonts w:ascii="Calibri" w:hAnsi="Calibri" w:eastAsia="Malgun Gothic"/>
          <w:b/>
          <w:color w:val="2E74B5"/>
          <w:sz w:val="26"/>
        </w:rPr>
        <w:t>6.2 역세권 활성화사업과 성장거점형 도심복합개발사업</w:t>
      </w:r>
    </w:p>
    <w:tbl>
      <w:tblPr>
        <w:tblStyle w:val="TableGrid"/>
        <w:tblW w:type="auto" w:w="0"/>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pPr>
              <w:jc w:val="center"/>
            </w:pPr>
            <w:r>
              <w:rPr>
                <w:rFonts w:ascii="Calibri" w:hAnsi="Calibri" w:eastAsia="Malgun Gothic"/>
                <w:b/>
                <w:color w:val="1F4E79"/>
                <w:sz w:val="19"/>
              </w:rPr>
              <w:t>구분</w:t>
            </w:r>
          </w:p>
        </w:tc>
        <w:tc>
          <w:tcPr>
            <w:tcW w:type="dxa" w:w="3671"/>
            <w:shd w:fill="F2F4F7"/>
            <w:tcMar>
              <w:top w:w="80" w:type="dxa"/>
              <w:start w:w="120" w:type="dxa"/>
              <w:bottom w:w="80" w:type="dxa"/>
              <w:end w:w="120" w:type="dxa"/>
            </w:tcMar>
            <w:vAlign w:val="center"/>
          </w:tcPr>
          <w:p>
            <w:pPr>
              <w:jc w:val="center"/>
            </w:pPr>
            <w:r>
              <w:rPr>
                <w:rFonts w:ascii="Calibri" w:hAnsi="Calibri" w:eastAsia="Malgun Gothic"/>
                <w:b/>
                <w:color w:val="1F4E79"/>
                <w:sz w:val="19"/>
              </w:rPr>
              <w:t>역세권 활성화사업</w:t>
            </w:r>
          </w:p>
        </w:tc>
        <w:tc>
          <w:tcPr>
            <w:tcW w:type="dxa" w:w="3744"/>
            <w:shd w:fill="F2F4F7"/>
            <w:tcMar>
              <w:top w:w="80" w:type="dxa"/>
              <w:start w:w="120" w:type="dxa"/>
              <w:bottom w:w="80" w:type="dxa"/>
              <w:end w:w="120" w:type="dxa"/>
            </w:tcMar>
            <w:vAlign w:val="center"/>
          </w:tcPr>
          <w:p>
            <w:pPr>
              <w:jc w:val="center"/>
            </w:pPr>
            <w:r>
              <w:rPr>
                <w:rFonts w:ascii="Calibri" w:hAnsi="Calibri" w:eastAsia="Malgun Gothic"/>
                <w:b/>
                <w:color w:val="1F4E79"/>
                <w:sz w:val="19"/>
              </w:rPr>
              <w:t>성장거점형 도심복합개발사업</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정책 목표</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역세권 중심의 복합·고밀개발과 지역균형발전</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도심·광역중심 고도화와 신성장거점 조성</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입지 논리</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 중심의 대중교통 접근성과 주택·생활서비스 수요</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중심지 기능, 환승역 접근성, 업무·상업·관광 등 전략 기능</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개발 성격</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주거·상업·생활서비스가 결합된 역세권 복합개발</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비주거 중심기능을 강화하는 대규모 고밀복합개발</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공공기여</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증가용적률에 따른 공공기여와 지역필요시설 확보</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용도지역 상향 및 규제특례에 따른 공공기여, 중심지 기능 확보</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판단 포인트</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역세권 기능과 공공기여시설의 지역 필요성</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비주거 기능, 중심지 육성 효과, 사업 실현 가능성</w:t>
            </w:r>
          </w:p>
        </w:tc>
      </w:tr>
    </w:tbl>
    <w:p/>
    <w:p>
      <w:pPr>
        <w:pStyle w:val="Heading2"/>
      </w:pPr>
      <w:r>
        <w:rPr>
          <w:rFonts w:ascii="Calibri" w:hAnsi="Calibri" w:eastAsia="Malgun Gothic"/>
          <w:b/>
          <w:color w:val="2E74B5"/>
          <w:sz w:val="26"/>
        </w:rPr>
        <w:t>6.3 장기전세주택과 주거중심형의 직접 비교</w:t>
      </w:r>
    </w:p>
    <w:p>
      <w:pPr>
        <w:spacing w:after="120" w:line="264" w:lineRule="auto"/>
      </w:pPr>
      <w:r>
        <w:rPr>
          <w:rFonts w:ascii="Calibri" w:hAnsi="Calibri" w:eastAsia="Malgun Gothic"/>
          <w:color w:val="222222"/>
          <w:sz w:val="21"/>
        </w:rPr>
        <w:t>역세권 장기전세주택 사업과 비교할 때의 직접 비교 대상은 성장거점형이 아니라 주거중심형 도심복합개발사업이다. 두 사업 모두 주택공급과 용적률 인센티브를 활용하지만, 장기전세주택은 역세권에서 장기전세주택 공급을 핵심 공공성으로 삼는 반면, 주거중심형은 도심복합개발사업의 한 유형으로 주택연면적 50% 이상, 공공분양·공공임대 공급, 생활SOC 등 복합개발 요소를 함께 검토한다.</w:t>
      </w:r>
    </w:p>
    <w:tbl>
      <w:tblPr>
        <w:tblStyle w:val="TableGrid"/>
        <w:tblW w:type="auto" w:w="0"/>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pPr>
              <w:jc w:val="center"/>
            </w:pPr>
            <w:r>
              <w:rPr>
                <w:rFonts w:ascii="Calibri" w:hAnsi="Calibri" w:eastAsia="Malgun Gothic"/>
                <w:b/>
                <w:color w:val="1F4E79"/>
                <w:sz w:val="19"/>
              </w:rPr>
              <w:t>구분</w:t>
            </w:r>
          </w:p>
        </w:tc>
        <w:tc>
          <w:tcPr>
            <w:tcW w:type="dxa" w:w="3671"/>
            <w:shd w:fill="F2F4F7"/>
            <w:tcMar>
              <w:top w:w="80" w:type="dxa"/>
              <w:start w:w="120" w:type="dxa"/>
              <w:bottom w:w="80" w:type="dxa"/>
              <w:end w:w="120" w:type="dxa"/>
            </w:tcMar>
            <w:vAlign w:val="center"/>
          </w:tcPr>
          <w:p>
            <w:pPr>
              <w:jc w:val="center"/>
            </w:pPr>
            <w:r>
              <w:rPr>
                <w:rFonts w:ascii="Calibri" w:hAnsi="Calibri" w:eastAsia="Malgun Gothic"/>
                <w:b/>
                <w:color w:val="1F4E79"/>
                <w:sz w:val="19"/>
              </w:rPr>
              <w:t>역세권 장기전세주택</w:t>
            </w:r>
          </w:p>
        </w:tc>
        <w:tc>
          <w:tcPr>
            <w:tcW w:type="dxa" w:w="3744"/>
            <w:shd w:fill="F2F4F7"/>
            <w:tcMar>
              <w:top w:w="80" w:type="dxa"/>
              <w:start w:w="120" w:type="dxa"/>
              <w:bottom w:w="80" w:type="dxa"/>
              <w:end w:w="120" w:type="dxa"/>
            </w:tcMar>
            <w:vAlign w:val="center"/>
          </w:tcPr>
          <w:p>
            <w:pPr>
              <w:jc w:val="center"/>
            </w:pPr>
            <w:r>
              <w:rPr>
                <w:rFonts w:ascii="Calibri" w:hAnsi="Calibri" w:eastAsia="Malgun Gothic"/>
                <w:b/>
                <w:color w:val="1F4E79"/>
                <w:sz w:val="19"/>
              </w:rPr>
              <w:t>주거중심형 도심복합개발사업</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공통점</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역세권 등 입지에서 주택공급과 용적률 인센티브를 결합</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주택공급과 용적률 인센티브를 결합하고 공공주택 공급을 검토</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핵심 공공성</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장기전세주택 공급이 제도의 핵심 목적</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공공분양·공공임대 등 공공주택과 생활SOC·공공시설을 포함한 복합개발 공공성 확보</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입지 초점</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역세권 입지를 중심으로 사업성 및 장기전세주택 공급 가능성 검토</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면적 과반이 역세권 500m 이내 또는 준공업지역인 곳 등 주거공급 잠재지 검토</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개발 성격</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주거공급형 역세권 인센티브 사업 성격</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도심복합개발사업 중 주택연면적 50% 이상인 주거 중심 복합개발 유형</w:t>
            </w:r>
          </w:p>
        </w:tc>
      </w:tr>
      <w:tr>
        <w:tc>
          <w:tcPr>
            <w:tcW w:type="dxa" w:w="1944"/>
            <w:tcMar>
              <w:top w:w="80" w:type="dxa"/>
              <w:start w:w="120" w:type="dxa"/>
              <w:bottom w:w="80" w:type="dxa"/>
              <w:end w:w="120" w:type="dxa"/>
            </w:tcMar>
            <w:vAlign w:val="center"/>
          </w:tcPr>
          <w:p>
            <w:pPr>
              <w:spacing w:after="0" w:line="252" w:lineRule="auto"/>
            </w:pPr>
            <w:r>
              <w:rPr>
                <w:rFonts w:ascii="Calibri" w:hAnsi="Calibri" w:eastAsia="Malgun Gothic"/>
                <w:sz w:val="18"/>
              </w:rPr>
              <w:t>검토 포인트</w:t>
            </w:r>
          </w:p>
        </w:tc>
        <w:tc>
          <w:tcPr>
            <w:tcW w:type="dxa" w:w="3671"/>
            <w:tcMar>
              <w:top w:w="80" w:type="dxa"/>
              <w:start w:w="120" w:type="dxa"/>
              <w:bottom w:w="80" w:type="dxa"/>
              <w:end w:w="120" w:type="dxa"/>
            </w:tcMar>
            <w:vAlign w:val="center"/>
          </w:tcPr>
          <w:p>
            <w:pPr>
              <w:spacing w:after="0" w:line="252" w:lineRule="auto"/>
            </w:pPr>
            <w:r>
              <w:rPr>
                <w:rFonts w:ascii="Calibri" w:hAnsi="Calibri" w:eastAsia="Malgun Gothic"/>
                <w:sz w:val="18"/>
              </w:rPr>
              <w:t>장기전세주택 공급 규모, 용적률 적용체계, 서울시 매입·공급 구조</w:t>
            </w:r>
          </w:p>
        </w:tc>
        <w:tc>
          <w:tcPr>
            <w:tcW w:type="dxa" w:w="3744"/>
            <w:tcMar>
              <w:top w:w="80" w:type="dxa"/>
              <w:start w:w="120" w:type="dxa"/>
              <w:bottom w:w="80" w:type="dxa"/>
              <w:end w:w="120" w:type="dxa"/>
            </w:tcMar>
            <w:vAlign w:val="center"/>
          </w:tcPr>
          <w:p>
            <w:pPr>
              <w:spacing w:after="0" w:line="252" w:lineRule="auto"/>
            </w:pPr>
            <w:r>
              <w:rPr>
                <w:rFonts w:ascii="Calibri" w:hAnsi="Calibri" w:eastAsia="Malgun Gothic"/>
                <w:sz w:val="18"/>
              </w:rPr>
              <w:t>주택연면적 비율, 노후도, 동의요건, 공공분양·공공임대 공급 비율, 생활SOC 계획</w:t>
            </w:r>
          </w:p>
        </w:tc>
      </w:tr>
    </w:tbl>
    <w:p/>
    <w:p>
      <w:pPr>
        <w:pStyle w:val="Heading2"/>
      </w:pPr>
      <w:r>
        <w:rPr>
          <w:rFonts w:ascii="Calibri" w:hAnsi="Calibri" w:eastAsia="Malgun Gothic"/>
          <w:b/>
          <w:color w:val="2E74B5"/>
          <w:sz w:val="26"/>
        </w:rPr>
        <w:t>6.4 실무상 구분 기준</w:t>
      </w:r>
    </w:p>
    <w:p>
      <w:pPr>
        <w:pStyle w:val="ListBullet"/>
        <w:spacing w:after="80" w:line="276" w:lineRule="auto"/>
      </w:pPr>
      <w:r>
        <w:rPr>
          <w:rFonts w:ascii="Calibri" w:hAnsi="Calibri" w:eastAsia="Malgun Gothic"/>
          <w:color w:val="222222"/>
          <w:sz w:val="20"/>
        </w:rPr>
        <w:t>후보지가 역세권 내부이고 주택공급·생활서비스시설 확충이 핵심이면 역세권 활성화사업 또는 역세권 장기전세주택과의 정합성을 먼저 검토한다.</w:t>
      </w:r>
    </w:p>
    <w:p>
      <w:pPr>
        <w:pStyle w:val="ListBullet"/>
        <w:spacing w:after="80" w:line="276" w:lineRule="auto"/>
      </w:pPr>
      <w:r>
        <w:rPr>
          <w:rFonts w:ascii="Calibri" w:hAnsi="Calibri" w:eastAsia="Malgun Gothic"/>
          <w:color w:val="222222"/>
          <w:sz w:val="20"/>
        </w:rPr>
        <w:t>후보지가 도심복합개발사업 대상이면서 주택연면적이 50% 이상인 주택공급 중심 계획이라면 성장거점형이 아니라 주거중심형으로 분류될 가능성이 높다.</w:t>
      </w:r>
    </w:p>
    <w:p>
      <w:pPr>
        <w:pStyle w:val="ListBullet"/>
        <w:spacing w:after="80" w:line="276" w:lineRule="auto"/>
      </w:pPr>
      <w:r>
        <w:rPr>
          <w:rFonts w:ascii="Calibri" w:hAnsi="Calibri" w:eastAsia="Malgun Gothic"/>
          <w:color w:val="222222"/>
          <w:sz w:val="20"/>
        </w:rPr>
        <w:t>후보지가 중심지 고도화, 관광숙박·업무·상업 등 비주거 중심기능 확보, 대규모 고밀복합개발이 필요한 곳이면 성장거점형 도심복합개발사업의 적합성이 높다.</w:t>
      </w:r>
    </w:p>
    <w:p>
      <w:pPr>
        <w:pStyle w:val="ListBullet"/>
        <w:spacing w:after="80" w:line="276" w:lineRule="auto"/>
      </w:pPr>
      <w:r>
        <w:rPr>
          <w:rFonts w:ascii="Calibri" w:hAnsi="Calibri" w:eastAsia="Malgun Gothic"/>
          <w:color w:val="222222"/>
          <w:sz w:val="20"/>
        </w:rPr>
        <w:t>후보지가 역세권 밖이지만 폭 35m 이상 주요 간선도로변에 접하고, 저이용 토지·노후 건축물·가로환경 개선 수요가 크면 성장잠재권 활성화사업으로 검토할 여지가 있다.</w:t>
      </w:r>
    </w:p>
    <w:p>
      <w:pPr>
        <w:pStyle w:val="ListBullet"/>
        <w:spacing w:after="80" w:line="276" w:lineRule="auto"/>
      </w:pPr>
      <w:r>
        <w:rPr>
          <w:rFonts w:ascii="Calibri" w:hAnsi="Calibri" w:eastAsia="Malgun Gothic"/>
          <w:color w:val="222222"/>
          <w:sz w:val="20"/>
        </w:rPr>
        <w:t>역세권 사업은 대중교통 결절점 중심의 ‘역 주변 고밀화’ 논리가 강하고, 성장잠재권 활성화사업은 간선도로변의 ‘가로축 재구조화’ 논리가 강하다.</w:t>
      </w:r>
    </w:p>
    <w:p>
      <w:pPr>
        <w:pStyle w:val="Heading1"/>
      </w:pPr>
      <w:r>
        <w:rPr>
          <w:rFonts w:ascii="Calibri" w:hAnsi="Calibri" w:eastAsia="Malgun Gothic"/>
          <w:b/>
          <w:color w:val="2E74B5"/>
          <w:sz w:val="32"/>
        </w:rPr>
        <w:t>7. 자치구 검토 체크리스트</w:t>
      </w:r>
    </w:p>
    <w:p>
      <w:pPr>
        <w:pStyle w:val="ListBullet"/>
        <w:spacing w:after="80" w:line="276" w:lineRule="auto"/>
      </w:pPr>
      <w:r>
        <w:rPr>
          <w:rFonts w:ascii="Calibri" w:hAnsi="Calibri" w:eastAsia="Malgun Gothic"/>
          <w:color w:val="222222"/>
          <w:sz w:val="20"/>
        </w:rPr>
        <w:t>후보지가 사업별 입지 기준을 충족하는지 확인: 성장거점형은 중심지·환승역 접근성, 성장잠재권은 35m 이상 간선도로 접도와 타 사업 중복 여부가 핵심이다.</w:t>
      </w:r>
    </w:p>
    <w:p>
      <w:pPr>
        <w:pStyle w:val="ListBullet"/>
        <w:spacing w:after="80" w:line="276" w:lineRule="auto"/>
      </w:pPr>
      <w:r>
        <w:rPr>
          <w:rFonts w:ascii="Calibri" w:hAnsi="Calibri" w:eastAsia="Malgun Gothic"/>
          <w:color w:val="222222"/>
          <w:sz w:val="20"/>
        </w:rPr>
        <w:t>도심복합개발사업 후보지는 먼저 성장거점형인지 주거중심형인지 구분한다. 비주거 중심기능과 중심지 육성 효과가 크면 성장거점형, 주택공급 비중이 높고 주택연면적 50% 이상이면 주거중심형 검토가 필요하다.</w:t>
      </w:r>
    </w:p>
    <w:p>
      <w:pPr>
        <w:pStyle w:val="ListBullet"/>
        <w:spacing w:after="80" w:line="276" w:lineRule="auto"/>
      </w:pPr>
      <w:r>
        <w:rPr>
          <w:rFonts w:ascii="Calibri" w:hAnsi="Calibri" w:eastAsia="Malgun Gothic"/>
          <w:color w:val="222222"/>
          <w:sz w:val="20"/>
        </w:rPr>
        <w:t>역세권 사업으로 처리하는 것이 더 자연스러운 후보지는 아닌지 우선 분류한다. 역세권 내부 후보지는 역세권 활성화사업·역세권 장기전세주택과 신규 사업의 중복 적용 가능성 및 제외 기준을 함께 검토한다.</w:t>
      </w:r>
    </w:p>
    <w:p>
      <w:pPr>
        <w:pStyle w:val="ListBullet"/>
        <w:spacing w:after="80" w:line="276" w:lineRule="auto"/>
      </w:pPr>
      <w:r>
        <w:rPr>
          <w:rFonts w:ascii="Calibri" w:hAnsi="Calibri" w:eastAsia="Malgun Gothic"/>
          <w:color w:val="222222"/>
          <w:sz w:val="20"/>
        </w:rPr>
        <w:t>용도지역 변경 필요성과 변경 단계의 타당성을 검토하고, 조례상 상한과 법적상한 용적률을 구분해 산정한다.</w:t>
      </w:r>
    </w:p>
    <w:p>
      <w:pPr>
        <w:pStyle w:val="ListBullet"/>
        <w:spacing w:after="80" w:line="276" w:lineRule="auto"/>
      </w:pPr>
      <w:r>
        <w:rPr>
          <w:rFonts w:ascii="Calibri" w:hAnsi="Calibri" w:eastAsia="Malgun Gothic"/>
          <w:color w:val="222222"/>
          <w:sz w:val="20"/>
        </w:rPr>
        <w:t>공공기여 시설의 종류, 면적, 비율을 지역 수요와 연결해 제시한다. 도로·보육·복지·창업시설 등 생활SOC 필요성을 근거화하는 것이 중요하다.</w:t>
      </w:r>
    </w:p>
    <w:p>
      <w:pPr>
        <w:pStyle w:val="ListBullet"/>
        <w:spacing w:after="80" w:line="276" w:lineRule="auto"/>
      </w:pPr>
      <w:r>
        <w:rPr>
          <w:rFonts w:ascii="Calibri" w:hAnsi="Calibri" w:eastAsia="Malgun Gothic"/>
          <w:color w:val="222222"/>
          <w:sz w:val="20"/>
        </w:rPr>
        <w:t>주거와 비주거 용도의 비율, 공공주택 공급 유형, 공개공지·보행공간 계획을 함께 검토한다.</w:t>
      </w:r>
    </w:p>
    <w:p>
      <w:pPr>
        <w:pStyle w:val="ListBullet"/>
        <w:spacing w:after="80" w:line="276" w:lineRule="auto"/>
      </w:pPr>
      <w:r>
        <w:rPr>
          <w:rFonts w:ascii="Calibri" w:hAnsi="Calibri" w:eastAsia="Malgun Gothic"/>
          <w:color w:val="222222"/>
          <w:sz w:val="20"/>
        </w:rPr>
        <w:t>대상지 현황사진, 도시관리계획, 기반시설 현황, 종합의견 등 신청 양식에 필요한 자료를 사전에 정리한다.</w:t>
      </w:r>
    </w:p>
    <w:p>
      <w:pPr>
        <w:pStyle w:val="Heading1"/>
      </w:pPr>
      <w:r>
        <w:rPr>
          <w:rFonts w:ascii="Calibri" w:hAnsi="Calibri" w:eastAsia="Malgun Gothic"/>
          <w:b/>
          <w:color w:val="2E74B5"/>
          <w:sz w:val="32"/>
        </w:rPr>
        <w:t>8. 종합 시사점</w:t>
      </w:r>
    </w:p>
    <w:p>
      <w:pPr>
        <w:spacing w:after="120" w:line="264" w:lineRule="auto"/>
      </w:pPr>
      <w:r>
        <w:rPr>
          <w:rFonts w:ascii="Calibri" w:hAnsi="Calibri" w:eastAsia="Malgun Gothic"/>
          <w:color w:val="222222"/>
          <w:sz w:val="21"/>
        </w:rPr>
        <w:t>두 사업은 서울시가 역세권 중심의 정비 프레임을 넘어 중심지와 간선도로축을 함께 활용하려는 정책 방향을 보여준다. 자치구는 단순한 개발 가능지 발굴을 넘어, 해당 지역이 왜 성장거점 또는 성장잠재권으로 기능할 수 있는지, 공공기여가 어떤 지역문제를 해결하는지, 사업 추진 주체와 동의요건을 어떻게 충족할 수 있는지를 함께 제시해야 한다.</w:t>
      </w:r>
    </w:p>
    <w:p>
      <w:pPr>
        <w:spacing w:after="120" w:line="264" w:lineRule="auto"/>
      </w:pPr>
      <w:r>
        <w:rPr>
          <w:rFonts w:ascii="Calibri" w:hAnsi="Calibri" w:eastAsia="Malgun Gothic"/>
          <w:color w:val="222222"/>
          <w:sz w:val="21"/>
        </w:rPr>
        <w:t>특히 시범사업 단계에서는 사업성, 공공성, 속도, 지역 균형성의 균형이 중요하다. 후보지 추천 시에는 입지요건 충족 여부를 우선 확인하고, 공공기여 계획과 가로·보행환경 개선 효과를 구체적으로 제시하는 것이 선정 가능성을 높이는 핵심 대응 방향이다.</w:t>
      </w:r>
    </w:p>
    <w:p>
      <w:pPr>
        <w:pStyle w:val="Heading1"/>
      </w:pPr>
      <w:r>
        <w:rPr>
          <w:rFonts w:ascii="Calibri" w:hAnsi="Calibri" w:eastAsia="Malgun Gothic"/>
          <w:b/>
          <w:color w:val="2E74B5"/>
          <w:sz w:val="32"/>
        </w:rPr>
        <w:t>9. 참고 기준</w:t>
      </w:r>
    </w:p>
    <w:p>
      <w:pPr>
        <w:pStyle w:val="ListBullet"/>
        <w:spacing w:after="80" w:line="276" w:lineRule="auto"/>
      </w:pPr>
      <w:r>
        <w:rPr>
          <w:rFonts w:ascii="Calibri" w:hAnsi="Calibri" w:eastAsia="Malgun Gothic"/>
          <w:color w:val="222222"/>
          <w:sz w:val="20"/>
        </w:rPr>
        <w:t>서울특별시, 역세권 활성화사업 운영기준(2026.04.30.) 및 사업 안내 페이지</w:t>
      </w:r>
    </w:p>
    <w:p>
      <w:pPr>
        <w:pStyle w:val="ListBullet"/>
        <w:spacing w:after="80" w:line="276" w:lineRule="auto"/>
      </w:pPr>
      <w:r>
        <w:rPr>
          <w:rFonts w:ascii="Calibri" w:hAnsi="Calibri" w:eastAsia="Malgun Gothic"/>
          <w:color w:val="222222"/>
          <w:sz w:val="20"/>
        </w:rPr>
        <w:t>서울특별시, 역세권 장기전세주택 건립 운영기준(2026.3.6. 시행) 및 사업 안내 페이지</w:t>
      </w:r>
    </w:p>
    <w:p>
      <w:pPr>
        <w:pStyle w:val="ListBullet"/>
        <w:spacing w:after="80" w:line="276" w:lineRule="auto"/>
      </w:pPr>
      <w:r>
        <w:rPr>
          <w:rFonts w:ascii="Calibri" w:hAnsi="Calibri" w:eastAsia="Malgun Gothic"/>
          <w:color w:val="222222"/>
          <w:sz w:val="20"/>
        </w:rPr>
        <w:t>서울특별시 도시공간본부, 성장거점형 도심복합개발사업 및 성장잠재권 활성화사업 자치구 관계자 설명자료(2026.5.14.)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787878"/>
        <w:sz w:val="16"/>
      </w:rPr>
      <w:t>서울시 설명자료 요약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