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  <w:spacing w:before="2160" w:after="720" w:line="720" w:lineRule="exact"/>
        <w:jc w:val="center"/>
      </w:pPr>
      <w:r>
        <w:rPr>
          <w:rFonts w:ascii="Times New Roman" w:hAnsi="Times New Roman" w:hint="eastAsia" w:eastAsia="黑体" w:cs="Times New Roman"/>
          <w:b/>
          <w:color w:val="000000"/>
          <w:sz w:val="44"/>
        </w:rPr>
        <w:t>InfraGraph AI 交通知识资产构建与应用设计报告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第二届交融杯人工智能场景创新应用大赛 交通知识资产构建与应用赛道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作品名称：InfraGraph AI——交通基础设施知识资产工厂与工程知识图谱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作品版本：V2.0 参赛提交版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参赛单位：中国港湾工程有限责任公司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团队负责人：马青</w:t>
      </w:r>
    </w:p>
    <w:p>
      <w:pPr>
        <w:spacing w:line="560" w:lineRule="exact" w:after="12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报告日期：2026年10月</w:t>
      </w:r>
    </w:p>
    <w:p>
      <w:pPr>
        <w:spacing w:line="440" w:lineRule="exact" w:after="0" w:before="720"/>
        <w:ind w:firstLine="634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数据边界：报告中的工程资料、构件编号、数值和标注集均为合成演示数据，不含业主、合作方、项目敏感信息或个人数据。文中出现的标准编号仅作为实体标识符使用，相关内容不代表标准原文。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报告摘要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核心要点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定位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：把公路、铁路、桥梁、隧道等工程中分散、隐性、中英文混杂的资料（不符合项、检验记录、施工方案、合同条款、往来函件、养护报告）转化为可计算、可追溯、可发布的知识资产。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知识资产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：10 类实体、9 种关系的工程本体，35 个规范概念、131 个中英文别名；每条关系保存原文句子和字符位置。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工具组件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：知识抽取、跨语言实体对齐、本体约束的关系构建、混合语义检索、主张核验、人工复核与版本发布，以 REST API 和 MCP 服务对外提供。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质量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：在 10 份中英文合成资料和 50 条人工标注关系上，关系精确率 1.00、召回率 0.96、F1 0.98；跨语言实体对齐 100%；检索 Recall@3 为 100%、MRR 0.94；18 条主张的判定和依据均正确；均为合成标注集上的工程验证。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InfraGraph AI 不是又一个问答知识库，而是一条知识生产线：资料进入后被分句、识别实体与编号、在中英文之间对齐、按本体构建关系，每条关系都能定位到原文的哪一句、哪几个字符；自动抽取中不确定的关系进入人工复核；发布前校验出处与本体，冻结清单并计算哈希。产出的知识图谱既能被人浏览，也能被大模型和智能体调用：混合检索让中文问题命中英文记录，主张核验能判断一条工程说法是“有依据”“相互矛盾”还是“证据不足”。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本作品是 GlobalInfra AI 平台的知识资产层，可独立部署，也可通过 MCP 为平台的智能体提供知识底座。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一、应用场景介绍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（一）交通行业知识资产现状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交通基础设施项目在建设和运营中持续产生大量工程资料：不符合项报告、检验与试验记录、施工方案、合同通用条款和往来函件、构件检查与养护报告等。海外项目中，同一构件的记录往往中英文混写，同一个病害在不同资料中有不同叫法（裂缝、开裂、crack），同一个编号有多种写法（P52墩柱、Pier P52、P52 pier）。这些资料以文件形式散落在共享盘和业务系统中，知识以“文件”为单位存在，而不是以“构件—病害—措施—依据”这样可计算的关系存在。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（二）业务痛点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895"/>
        <w:gridCol w:w="2895"/>
        <w:gridCol w:w="2895"/>
      </w:tblGrid>
      <w:tr>
        <w:trPr>
          <w:cantSplit/>
          <w:tblHeader w:val="true"/>
        </w:trPr>
        <w:tc>
          <w:tcPr>
            <w:tcW w:type="dxa" w:w="12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痛点</w:t>
            </w:r>
          </w:p>
        </w:tc>
        <w:tc>
          <w:tcPr>
            <w:tcW w:type="dxa" w:w="42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表现</w:t>
            </w:r>
          </w:p>
        </w:tc>
        <w:tc>
          <w:tcPr>
            <w:tcW w:type="dxa" w:w="31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后果</w:t>
            </w:r>
          </w:p>
        </w:tc>
      </w:tr>
      <w:tr>
        <w:trPr>
          <w:cantSplit/>
        </w:trPr>
        <w:tc>
          <w:tcPr>
            <w:tcW w:type="dxa" w:w="12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异构与跨语言</w:t>
            </w:r>
          </w:p>
        </w:tc>
        <w:tc>
          <w:tcPr>
            <w:tcW w:type="dxa" w:w="42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中英文混杂，同物异名</w:t>
            </w:r>
          </w:p>
        </w:tc>
        <w:tc>
          <w:tcPr>
            <w:tcW w:type="dxa" w:w="31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中文检索查不到英文记录，统计口径不一致</w:t>
            </w:r>
          </w:p>
        </w:tc>
      </w:tr>
      <w:tr>
        <w:trPr>
          <w:cantSplit/>
        </w:trPr>
        <w:tc>
          <w:tcPr>
            <w:tcW w:type="dxa" w:w="12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隐性关系</w:t>
            </w:r>
          </w:p>
        </w:tc>
        <w:tc>
          <w:tcPr>
            <w:tcW w:type="dxa" w:w="42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“哪个墩有什么病害、用什么措施、依据哪个标准”只存在于句子里</w:t>
            </w:r>
          </w:p>
        </w:tc>
        <w:tc>
          <w:tcPr>
            <w:tcW w:type="dxa" w:w="31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无法查询、无法统计、无法供智能体推理</w:t>
            </w:r>
          </w:p>
        </w:tc>
      </w:tr>
      <w:tr>
        <w:trPr>
          <w:cantSplit/>
        </w:trPr>
        <w:tc>
          <w:tcPr>
            <w:tcW w:type="dxa" w:w="12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出处缺失</w:t>
            </w:r>
          </w:p>
        </w:tc>
        <w:tc>
          <w:tcPr>
            <w:tcW w:type="dxa" w:w="42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摘录和总结脱离原文</w:t>
            </w:r>
          </w:p>
        </w:tc>
        <w:tc>
          <w:tcPr>
            <w:tcW w:type="dxa" w:w="31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结论不可审计，大模型引用无法核实</w:t>
            </w:r>
          </w:p>
        </w:tc>
      </w:tr>
      <w:tr>
        <w:trPr>
          <w:cantSplit/>
        </w:trPr>
        <w:tc>
          <w:tcPr>
            <w:tcW w:type="dxa" w:w="12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版本混乱</w:t>
            </w:r>
          </w:p>
        </w:tc>
        <w:tc>
          <w:tcPr>
            <w:tcW w:type="dxa" w:w="42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资料更新后旧版仍被引用</w:t>
            </w:r>
          </w:p>
        </w:tc>
        <w:tc>
          <w:tcPr>
            <w:tcW w:type="dxa" w:w="31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决策依据过期</w:t>
            </w:r>
          </w:p>
        </w:tc>
      </w:tr>
      <w:tr>
        <w:trPr>
          <w:cantSplit/>
        </w:trPr>
        <w:tc>
          <w:tcPr>
            <w:tcW w:type="dxa" w:w="12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质量无闸门</w:t>
            </w:r>
          </w:p>
        </w:tc>
        <w:tc>
          <w:tcPr>
            <w:tcW w:type="dxa" w:w="42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自动抽取的错误直接入库</w:t>
            </w:r>
          </w:p>
        </w:tc>
        <w:tc>
          <w:tcPr>
            <w:tcW w:type="dxa" w:w="31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知识库可信度下降，越用越不敢用</w:t>
            </w:r>
          </w:p>
        </w:tc>
      </w:tr>
      <w:tr>
        <w:trPr>
          <w:cantSplit/>
        </w:trPr>
        <w:tc>
          <w:tcPr>
            <w:tcW w:type="dxa" w:w="127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无法验证说法</w:t>
            </w:r>
          </w:p>
        </w:tc>
        <w:tc>
          <w:tcPr>
            <w:tcW w:type="dxa" w:w="42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关键词命中即认为“有依据”</w:t>
            </w:r>
          </w:p>
        </w:tc>
        <w:tc>
          <w:tcPr>
            <w:tcW w:type="dxa" w:w="315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错误或相反的说法被当成有依据</w:t>
            </w:r>
          </w:p>
        </w:tc>
      </w:tr>
    </w:tbl>
    <w:p>
      <w:pPr>
        <w:spacing w:after="40"/>
      </w:pP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（三）业务目标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把异构资料转化为结构化、标准化、可计算的知识资产：实体规范化、关系受本体约束、出处精确到句子与字符。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让中英文资料在实体层面打通，实现跨语言检索与统计。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建立知识质量闸门：低置信度人工复核、出处与本体校验、版本接替与发布快照。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为大模型和智能体提供可信的知识服务：带出处的检索、可判定的主张核验、可调用的 MCP 接口。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二、总体方案与架构设计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（一）整体架构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49240" cy="3477006"/>
            <wp:docPr id="1" name="Picture 1" descr="图 1 InfraGraph AI 总体架构" title="图 1 InfraGraph AI 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-infra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477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图 1 InfraGraph AI 总体架构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895"/>
        <w:gridCol w:w="2895"/>
        <w:gridCol w:w="2895"/>
      </w:tblGrid>
      <w:tr>
        <w:trPr>
          <w:cantSplit/>
          <w:tblHeader w:val="true"/>
        </w:trPr>
        <w:tc>
          <w:tcPr>
            <w:tcW w:type="dxa" w:w="11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层级</w:t>
            </w:r>
          </w:p>
        </w:tc>
        <w:tc>
          <w:tcPr>
            <w:tcW w:type="dxa" w:w="36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38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1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知识来源层</w:t>
            </w:r>
          </w:p>
        </w:tc>
        <w:tc>
          <w:tcPr>
            <w:tcW w:type="dxa" w:w="36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文本、带文字层 PDF、Word 接入</w:t>
            </w:r>
          </w:p>
        </w:tc>
        <w:tc>
          <w:tcPr>
            <w:tcW w:type="dxa" w:w="38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统一抽取文本，保留来源编号、版本、司法辖区、领域、生命周期阶段</w:t>
            </w:r>
          </w:p>
        </w:tc>
      </w:tr>
      <w:tr>
        <w:trPr>
          <w:cantSplit/>
        </w:trPr>
        <w:tc>
          <w:tcPr>
            <w:tcW w:type="dxa" w:w="11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知识构建层</w:t>
            </w:r>
          </w:p>
        </w:tc>
        <w:tc>
          <w:tcPr>
            <w:tcW w:type="dxa" w:w="36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分句、实体识别、编号规范化、跨语言对齐、关系抽取</w:t>
            </w:r>
          </w:p>
        </w:tc>
        <w:tc>
          <w:tcPr>
            <w:tcW w:type="dxa" w:w="38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生成实体、提及（含字符位置）、关系（含引文）</w:t>
            </w:r>
          </w:p>
        </w:tc>
      </w:tr>
      <w:tr>
        <w:trPr>
          <w:cantSplit/>
        </w:trPr>
        <w:tc>
          <w:tcPr>
            <w:tcW w:type="dxa" w:w="11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质量治理层</w:t>
            </w:r>
          </w:p>
        </w:tc>
        <w:tc>
          <w:tcPr>
            <w:tcW w:type="dxa" w:w="36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置信度分流、人工复核、出处校验、本体合规、版本管理</w:t>
            </w:r>
          </w:p>
        </w:tc>
        <w:tc>
          <w:tcPr>
            <w:tcW w:type="dxa" w:w="38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保证进入图谱和发布版本的知识可信</w:t>
            </w:r>
          </w:p>
        </w:tc>
      </w:tr>
      <w:tr>
        <w:trPr>
          <w:cantSplit/>
        </w:trPr>
        <w:tc>
          <w:tcPr>
            <w:tcW w:type="dxa" w:w="11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知识存储层</w:t>
            </w:r>
          </w:p>
        </w:tc>
        <w:tc>
          <w:tcPr>
            <w:tcW w:type="dxa" w:w="36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来源、版本、句子、实体、提及、关系、主张、发布清单</w:t>
            </w:r>
          </w:p>
        </w:tc>
        <w:tc>
          <w:tcPr>
            <w:tcW w:type="dxa" w:w="38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关系型存储，所有对象可追溯到版本与句子</w:t>
            </w:r>
          </w:p>
        </w:tc>
      </w:tr>
      <w:tr>
        <w:trPr>
          <w:cantSplit/>
        </w:trPr>
        <w:tc>
          <w:tcPr>
            <w:tcW w:type="dxa" w:w="11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知识服务层</w:t>
            </w:r>
          </w:p>
        </w:tc>
        <w:tc>
          <w:tcPr>
            <w:tcW w:type="dxa" w:w="364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混合检索、主张核验、图谱浏览与导出、REST 与 MCP</w:t>
            </w:r>
          </w:p>
        </w:tc>
        <w:tc>
          <w:tcPr>
            <w:tcW w:type="dxa" w:w="38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面向人、大模型和智能体提供服务</w:t>
            </w:r>
          </w:p>
        </w:tc>
      </w:tr>
    </w:tbl>
    <w:p>
      <w:pPr>
        <w:spacing w:after="40"/>
      </w:pP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（二）数据集、知识库与知识图谱建设方案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数据集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：10 份中英文合成工程资料和配套标注集（50 条关系、11 个跨语言实体、16 条检索问题、18 条主张），用于回归评测。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知识库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：以“来源—版本—句子”为单位存储原文，每个版本计算 SHA-256，支持版本接替与历史查询。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知识图谱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：以本体约束的“实体—关系—实体”三元组表示工程知识，每条边携带来源、版本、引文和字符位置，可导出为 JSON-LD 和 N-Triples。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（三）工具组件与对外接口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895"/>
        <w:gridCol w:w="2895"/>
        <w:gridCol w:w="2895"/>
      </w:tblGrid>
      <w:tr>
        <w:trPr>
          <w:cantSplit/>
          <w:tblHeader w:val="true"/>
        </w:trPr>
        <w:tc>
          <w:tcPr>
            <w:tcW w:type="dxa" w:w="11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内部结构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对外接口</w:t>
            </w:r>
          </w:p>
        </w:tc>
      </w:tr>
      <w:tr>
        <w:trPr>
          <w:cantSplit/>
        </w:trPr>
        <w:tc>
          <w:tcPr>
            <w:tcW w:type="dxa" w:w="11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知识抽取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分句器 → 编号识别器 → 词表匹配器 → 关系构建器（就近归属）→ 可选模型补充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`POST /documents`、`POST /documents/upload`</w:t>
            </w:r>
          </w:p>
        </w:tc>
      </w:tr>
      <w:tr>
        <w:trPr>
          <w:cantSplit/>
        </w:trPr>
        <w:tc>
          <w:tcPr>
            <w:tcW w:type="dxa" w:w="11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图谱构建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实体规范化与合并 → 本体校验 → 置信度分流 → 复核队列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`GET /graph`、`GET /entities/{key}`、`GET/POST /review`</w:t>
            </w:r>
          </w:p>
        </w:tc>
      </w:tr>
      <w:tr>
        <w:trPr>
          <w:cantSplit/>
        </w:trPr>
        <w:tc>
          <w:tcPr>
            <w:tcW w:type="dxa" w:w="11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语义检索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BM25（英文分词、中文双字）+ 实体链接加权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`GET /search`</w:t>
            </w:r>
          </w:p>
        </w:tc>
      </w:tr>
      <w:tr>
        <w:trPr>
          <w:cantSplit/>
        </w:trPr>
        <w:tc>
          <w:tcPr>
            <w:tcW w:type="dxa" w:w="11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主张核验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检索 → 覆盖度、实体重合、义务极性、数值比对 → 判定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`POST /claims/verify`</w:t>
            </w:r>
          </w:p>
        </w:tc>
      </w:tr>
      <w:tr>
        <w:trPr>
          <w:cantSplit/>
        </w:trPr>
        <w:tc>
          <w:tcPr>
            <w:tcW w:type="dxa" w:w="11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版本发布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闸门校验 → 清单冻结 → SHA-256 → 差异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`GET /releases/gates`、`POST /releases`、`GET /export`</w:t>
            </w:r>
          </w:p>
        </w:tc>
      </w:tr>
      <w:tr>
        <w:trPr>
          <w:cantSplit/>
        </w:trPr>
        <w:tc>
          <w:tcPr>
            <w:tcW w:type="dxa" w:w="11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MCP 服务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官方 MCP Python SDK v2</w:t>
            </w:r>
          </w:p>
        </w:tc>
        <w:tc>
          <w:tcPr>
            <w:tcW w:type="dxa" w:w="374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`search_knowledge`、`verify_claim`、`get_entity`、`graph_neighbors`、`list_releases`</w:t>
            </w:r>
          </w:p>
        </w:tc>
      </w:tr>
    </w:tbl>
    <w:p>
      <w:pPr>
        <w:spacing w:after="40"/>
      </w:pP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MCP 服务只提供查询与核验；入库、复核和发布是知识管理人员的操作，不对智能体开放。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三、关键技术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（一）多源异构知识抽取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文本、PDF 文字层和 Word 段落统一转为文本，按行与中英文句末符号分句，保留每句在原文中的起止位置。小数点不作为句末（“0.3 mm”不会被拆开）。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（二）实体识别与归一化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编号类实体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：构件（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P47墩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Pier P47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S12车站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BRG-03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）、文件（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NCR-0042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SI-0019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）、标准（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GB 50204-2015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JTG H11-2004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JGJ 80-2016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）、合同条款（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Clause 13.3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Sub-Clause 13.3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第13.3条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）按模式识别并规范为同一标识；“第3步”不会被误认为条款。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概念类实体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：病害、危险源、措施、作业活动、参与方、合同事件以双语词表识别，长别名优先、互不重叠；英文按词边界匹配，避免词中误命中。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跨语言对齐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：“裂缝/开裂/crack”“环氧注浆/epoxy injection”“监理工程师/the engineer”归并为同一实体，实体记录它在中文和英文资料中的所有别名。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（三）本体约束的关系构建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本体规定 9 种关系的主体和客体类型，例如“存在病害”只能从资产指向病害，“依据”只能从作业、措施、病害或事件指向标准或条款。关系在句内构建：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无需关联词的关系（如“资产—存在病害—病害”）在句内共现即可建立；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需要关联词的关系（如“依据”须有“按照、依据、根据、in accordance with、under”等）只在出现关联词时建立；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“依据、批准方、提出方”采用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就近归属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：标准只归属同一分句中离它最近的主体。例如“裂缝须采用环氧注浆修补，并按照 GB 50204-2015 进行复检”中，标准归属“复检”，不会错挂到“环氧注浆”。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（四）知识质量校验机制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置信度分流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：有关联词的关系置信度 0.90；唯一主客体的共现 0.82；同一句中多个主体、多个客体且无关联词时为 0.60，进入人工复核队列（阈值 0.70）。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出处校验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：发布前逐条核对关系引文与所在版本原文在字符位置上逐字一致，被篡改的引文会使出处闸门不通过。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本体合规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：发布前复核每条关系的主客体类型。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复核闸门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：复核队列未清空不得发布；复核和发布须由具名人员完成，智能体或模型账号会被拒绝。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（五）检索增强与语义理解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检索以句子为单位，BM25 处理英文单词和中文双字切分，并过滤停用词；同时从查询中识别实体，对提及相同实体的句子加权。这样“crack on Pier P52 repair method”可以命中中文不符合项报告，“P52 蜂窝麻面”可以命中英文检验记录。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（六）主张核验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对一条工程主张，系统检索候选句子并逐句计算：词覆盖度、实体重合度、义务极性（“须、必须、shall、must”为规定，“无需、不必、可直接关闭、optional、no need”为免除）和数值（天、小时、毫米等单位下的数值）。若主张点名了构件、文件、条款或标准，候选句子所在资料必须提及同一对象，避免“P47 无需防护”被一条关于 P61 的句子判定。判定规则：与主张义务相反或数值不同的相关句子足够强时为“相互矛盾”；覆盖充分、实体一致且无冲突时为“有依据”；否则为“证据不足”。结果返回起决定作用的句子。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（七）知识版本管理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同一来源重新入库时，内容相同直接返回（幂等），内容不同须使用新版本号：旧版本及其关系标为“已替代”并保留，新版本成为当前版本，检索只返回当前版本。发布清单包含来源版本与哈希、实体和关系，与上一发布版本自动比较差异（新增、移除的关系，来源版本变化）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（八）大模型集成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配置 OpenAI 兼容接口后（兼容 DeepSeek、通义千问、本地 Ollama 等），模型可按句补充实体和关系。输出受 JSON Schema 约束，实体必须逐字引用原句，关系必须符合本体，句子作为不可信数据包裹传入；不满足条件的结果全部丢弃。未配置模型时全流程确定性运行。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四、数据与知识资产描述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（一）原始知识数据来源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171"/>
        <w:gridCol w:w="2171"/>
        <w:gridCol w:w="2171"/>
        <w:gridCol w:w="2171"/>
      </w:tblGrid>
      <w:tr>
        <w:trPr>
          <w:cantSplit/>
          <w:tblHeader w:val="true"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编号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资料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语言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类型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QA-NCR-0042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P52 墩柱裂缝不符合项报告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中文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质量记录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QA-INS-P52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Pier P52 检验记录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英文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检验记录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HSE-MS-P47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P47 高处作业施工方案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中文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施工方案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CON-LTR-S12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S12 车站分包商变更申请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英文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往来函件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CON-GC-13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合同通用条款（变更与工期）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中文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合同条款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PLT-LIFT-S12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S12 车站吊装方案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英文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施工方案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OM-BRG-03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BRG-03 桥梁支座检查报告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中文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养护报告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HSE-EXC-07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深基坑开挖安全要求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中文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施工方案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QA-CON-P61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P61 混凝土强度不合格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英文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质量记录</w:t>
            </w:r>
          </w:p>
        </w:tc>
      </w:tr>
      <w:tr>
        <w:trPr>
          <w:cantSplit/>
        </w:trPr>
        <w:tc>
          <w:tcPr>
            <w:tcW w:type="dxa" w:w="28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HSE-INC-P61</w:t>
            </w:r>
          </w:p>
        </w:tc>
        <w:tc>
          <w:tcPr>
            <w:tcW w:type="dxa" w:w="352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P61 事故报告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英文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事故记录</w:t>
            </w:r>
          </w:p>
        </w:tc>
      </w:tr>
    </w:tbl>
    <w:p>
      <w:pPr>
        <w:spacing w:after="40"/>
      </w:pP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资料为合成内容，覆盖质量、安全、合同、设备和养护五个领域，施工和运营两个阶段，中文 5 份、英文 5 份，共 27 个句子。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（二）预处理、清洗与去重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入库时去除空行和首尾空白；按句切分并保留位置；同一来源相同内容按哈希去重（幂等）；同一来源同一版本号不同内容拒绝入库，避免静默覆盖。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（三）知识资产规模与结构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4343"/>
        <w:gridCol w:w="4343"/>
      </w:tblGrid>
      <w:tr>
        <w:trPr>
          <w:cantSplit/>
          <w:tblHeader w:val="true"/>
        </w:trPr>
        <w:tc>
          <w:tcPr>
            <w:tcW w:type="dxa" w:w="28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5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数量</w:t>
            </w:r>
          </w:p>
        </w:tc>
      </w:tr>
      <w:tr>
        <w:trPr>
          <w:cantSplit/>
        </w:trPr>
        <w:tc>
          <w:tcPr>
            <w:tcW w:type="dxa" w:w="28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实体类型</w:t>
            </w:r>
          </w:p>
        </w:tc>
        <w:tc>
          <w:tcPr>
            <w:tcW w:type="dxa" w:w="5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10（资产、病害、危险源、措施、作业、文件、标准、合同条款、参与方、事件）</w:t>
            </w:r>
          </w:p>
        </w:tc>
      </w:tr>
      <w:tr>
        <w:trPr>
          <w:cantSplit/>
        </w:trPr>
        <w:tc>
          <w:tcPr>
            <w:tcW w:type="dxa" w:w="28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关系类型</w:t>
            </w:r>
          </w:p>
        </w:tc>
        <w:tc>
          <w:tcPr>
            <w:tcW w:type="dxa" w:w="5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9（存在病害、暴露于、处置措施、记录于、涉及、依据、提出方、作业对象、批准方）</w:t>
            </w:r>
          </w:p>
        </w:tc>
      </w:tr>
      <w:tr>
        <w:trPr>
          <w:cantSplit/>
        </w:trPr>
        <w:tc>
          <w:tcPr>
            <w:tcW w:type="dxa" w:w="28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规范概念 / 中英文别名</w:t>
            </w:r>
          </w:p>
        </w:tc>
        <w:tc>
          <w:tcPr>
            <w:tcW w:type="dxa" w:w="5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35 / 131</w:t>
            </w:r>
          </w:p>
        </w:tc>
      </w:tr>
      <w:tr>
        <w:trPr>
          <w:cantSplit/>
        </w:trPr>
        <w:tc>
          <w:tcPr>
            <w:tcW w:type="dxa" w:w="28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演示语料生成的实体</w:t>
            </w:r>
          </w:p>
        </w:tc>
        <w:tc>
          <w:tcPr>
            <w:tcW w:type="dxa" w:w="5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45（资产 6、作业 6、病害 5、文件 3、措施 9、标准 4、参与方 3、危险源 4、事件 3、条款 2）</w:t>
            </w:r>
          </w:p>
        </w:tc>
      </w:tr>
      <w:tr>
        <w:trPr>
          <w:cantSplit/>
        </w:trPr>
        <w:tc>
          <w:tcPr>
            <w:tcW w:type="dxa" w:w="28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跨语言对齐实体</w:t>
            </w:r>
          </w:p>
        </w:tc>
        <w:tc>
          <w:tcPr>
            <w:tcW w:type="dxa" w:w="5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11</w:t>
            </w:r>
          </w:p>
        </w:tc>
      </w:tr>
      <w:tr>
        <w:trPr>
          <w:cantSplit/>
        </w:trPr>
        <w:tc>
          <w:tcPr>
            <w:tcW w:type="dxa" w:w="28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已确认关系</w:t>
            </w:r>
          </w:p>
        </w:tc>
        <w:tc>
          <w:tcPr>
            <w:tcW w:type="dxa" w:w="5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48（处置措施 9、依据 8、作业对象 8、暴露于 7、存在病害 6、记录于 4、提出方 3、批准方 2、涉及 1）</w:t>
            </w:r>
          </w:p>
        </w:tc>
      </w:tr>
      <w:tr>
        <w:trPr>
          <w:cantSplit/>
        </w:trPr>
        <w:tc>
          <w:tcPr>
            <w:tcW w:type="dxa" w:w="28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出处完整性</w:t>
            </w:r>
          </w:p>
        </w:tc>
        <w:tc>
          <w:tcPr>
            <w:tcW w:type="dxa" w:w="57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</w:tbl>
    <w:p>
      <w:pPr>
        <w:spacing w:after="40"/>
      </w:pP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2730227"/>
            <wp:docPr id="2" name="Picture 2" descr="图 2 知识图谱与实体详情：P52 的中英文别名、关系与原文出处" title="图 2 知识图谱与实体详情：P52 的中英文别名、关系与原文出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grap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730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图 2 知识图谱与实体详情：P52 的中英文别名、关系与原文出处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（四）格式与存储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知识资产存储在关系型数据库中（参考实现为 SQLite，可替换为 PostgreSQL）：来源、版本（含全文与 SHA-256）、句子、实体、提及（字符位置）、关系（引文、位置、置信度、抽取方法、状态、复核人）、主张核验记录和发布清单。图谱可导出为 JSON-LD 与 N-Triples，本体可通过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GET /ontology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 获取。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五、功能描述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（一）知识采集抽取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粘贴文本或上传文件后，系统返回本次识别的实体、关系、引文和状态。重复入库同一内容直接返回，标注“内容未变”。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（二）知识加工构建与图谱浏览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图谱按实体类型着色，虚线表示待复核关系；点击实体查看中英文别名、是否已跨语言对齐、来源资料和每条关系的原文出处，可只看一跳邻域。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（三）知识质量审核管理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复核队列列出低置信度关系及其引文，由具名人员确认或驳回；发布页面实时显示四个闸门的状态。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2457450"/>
            <wp:docPr id="3" name="Picture 3" descr="图 3 复核队列与发布闸门：复核未清空时发布被阻断" title="图 3 复核队列与发布闸门：复核未清空时发布被阻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le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45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图 3 复核队列与发布闸门：复核未清空时发布被阻断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（四）知识检索查询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检索结果显示查询中识别出的实体、命中句子、来源版本、内容哈希和字符位置，并标出因实体链接而命中的结果。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2457450"/>
            <wp:docPr id="4" name="Picture 4" descr="图 4 英文问题命中中文不符合项报告" title="图 4 英文问题命中中文不符合项报告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45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图 4 英文问题命中中文不符合项报告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（五）主张核验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输入一条工程主张，返回判定、起决定作用的句子、覆盖度、实体重合度，以及“义务相反”“数值不同”等冲突标记。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2457450"/>
            <wp:docPr id="5" name="Picture 5" descr="图 5 英文主张“P52 无需整改”被中文原文判定为相互矛盾" title="图 5 英文主张“P52 无需整改”被中文原文判定为相互矛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lai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45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rFonts w:ascii="Times New Roman" w:hAnsi="Times New Roman" w:hint="eastAsia" w:eastAsia="仿宋" w:cs="Times New Roman"/>
          <w:b w:val="0"/>
          <w:color w:val="000000"/>
          <w:sz w:val="24"/>
        </w:rPr>
        <w:t>图 5 英文主张“P52 无需整改”被中文原文判定为相互矛盾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（六）面向大模型与智能体的调用服务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智能体可通过 MCP 调用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search_knowledge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verify_claim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get_entity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graph_neighbors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、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list_releases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。典型用法：智能体起草处置建议前先调用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verify_claim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 核对关键说法，只引用判定为“有依据”的句子作为证据；判定为“相互矛盾”时向人提示冲突来源。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六、创新性阐述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（一）知识资产质量指标（实测）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评测命令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python evals/run_eval.py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，标注集版本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infragraph-gold-2026.10.17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：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895"/>
        <w:gridCol w:w="2895"/>
        <w:gridCol w:w="2895"/>
      </w:tblGrid>
      <w:tr>
        <w:trPr>
          <w:cantSplit/>
          <w:tblHeader w:val="true"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结果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门禁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关系精确率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1.00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关系召回率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0.96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关系 F1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0.98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≥ 0.85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跨语言实体对齐率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检索 Recall@3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≥ 90%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检索 MRR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0.94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≥ 0.80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主张核验准确率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≥ 90%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主张依据正确率（起决定作用的来源正确）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≥ 90%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版本接替正确率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出处完整性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4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发布治理（复核未清空即阻断）</w:t>
            </w:r>
          </w:p>
        </w:tc>
        <w:tc>
          <w:tcPr>
            <w:tcW w:type="dxa" w:w="149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通过</w:t>
            </w:r>
          </w:p>
        </w:tc>
        <w:tc>
          <w:tcPr>
            <w:tcW w:type="dxa" w:w="22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通过</w:t>
            </w:r>
          </w:p>
        </w:tc>
      </w:tr>
    </w:tbl>
    <w:p>
      <w:pPr>
        <w:spacing w:after="40"/>
      </w:pP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未召回的 2 条关系都需要跨句理解（如“强度不足”与下一句“钻芯取样”之间的处置关系），当前抽取限于句内，属于明确的改进方向。标注集由开发团队设计，只证明在该集合上的可复现性；真实落地需要更大规模、由第三方标注的盲测集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（二）在智能体决策中的应用效果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在主张核验中，系统对英文主张“P52 pier crack requires no corrective action and can be closed immediately”找到中文原文“裂缝须采用环氧注浆修补”，判定为相互矛盾；对“工期延长须在 7 天内通知”找到“28 天内通知”，判定为相互矛盾；对知识库中不存在的“TUN-01 隧道风机月度维护”判定为证据不足。这正是智能体在起草对外答复前最需要的“说法核对”能力。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（三）与传统人工知识整理对比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2895"/>
        <w:gridCol w:w="2895"/>
        <w:gridCol w:w="2895"/>
      </w:tblGrid>
      <w:tr>
        <w:trPr>
          <w:cantSplit/>
          <w:tblHeader w:val="true"/>
        </w:trPr>
        <w:tc>
          <w:tcPr>
            <w:tcW w:type="dxa" w:w="1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人工整理 / 普通知识库</w:t>
            </w:r>
          </w:p>
        </w:tc>
        <w:tc>
          <w:tcPr>
            <w:tcW w:type="dxa" w:w="47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InfraGraph AI</w:t>
            </w:r>
          </w:p>
        </w:tc>
      </w:tr>
      <w:tr>
        <w:trPr>
          <w:cantSplit/>
        </w:trPr>
        <w:tc>
          <w:tcPr>
            <w:tcW w:type="dxa" w:w="1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结构化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文件级归档或人工摘录</w:t>
            </w:r>
          </w:p>
        </w:tc>
        <w:tc>
          <w:tcPr>
            <w:tcW w:type="dxa" w:w="47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自动生成实体与关系，句子级出处</w:t>
            </w:r>
          </w:p>
        </w:tc>
      </w:tr>
      <w:tr>
        <w:trPr>
          <w:cantSplit/>
        </w:trPr>
        <w:tc>
          <w:tcPr>
            <w:tcW w:type="dxa" w:w="1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跨语言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中英文各自检索</w:t>
            </w:r>
          </w:p>
        </w:tc>
        <w:tc>
          <w:tcPr>
            <w:tcW w:type="dxa" w:w="47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实体层对齐，中文问题命中英文资料</w:t>
            </w:r>
          </w:p>
        </w:tc>
      </w:tr>
      <w:tr>
        <w:trPr>
          <w:cantSplit/>
        </w:trPr>
        <w:tc>
          <w:tcPr>
            <w:tcW w:type="dxa" w:w="1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准确性控制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依赖整理人</w:t>
            </w:r>
          </w:p>
        </w:tc>
        <w:tc>
          <w:tcPr>
            <w:tcW w:type="dxa" w:w="47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本体约束、低置信度复核、发布闸门</w:t>
            </w:r>
          </w:p>
        </w:tc>
      </w:tr>
      <w:tr>
        <w:trPr>
          <w:cantSplit/>
        </w:trPr>
        <w:tc>
          <w:tcPr>
            <w:tcW w:type="dxa" w:w="1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版本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覆盖或并存</w:t>
            </w:r>
          </w:p>
        </w:tc>
        <w:tc>
          <w:tcPr>
            <w:tcW w:type="dxa" w:w="47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接替、保留历史、发布差异</w:t>
            </w:r>
          </w:p>
        </w:tc>
      </w:tr>
      <w:tr>
        <w:trPr>
          <w:cantSplit/>
        </w:trPr>
        <w:tc>
          <w:tcPr>
            <w:tcW w:type="dxa" w:w="1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说法核验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关键词命中即认为有依据</w:t>
            </w:r>
          </w:p>
        </w:tc>
        <w:tc>
          <w:tcPr>
            <w:tcW w:type="dxa" w:w="47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区分有依据、相互矛盾、证据不足</w:t>
            </w:r>
          </w:p>
        </w:tc>
      </w:tr>
      <w:tr>
        <w:trPr>
          <w:cantSplit/>
        </w:trPr>
        <w:tc>
          <w:tcPr>
            <w:tcW w:type="dxa" w:w="1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复用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复制粘贴</w:t>
            </w:r>
          </w:p>
        </w:tc>
        <w:tc>
          <w:tcPr>
            <w:tcW w:type="dxa" w:w="47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API 与 MCP 调用，JSON-LD / N-Triples 导出</w:t>
            </w:r>
          </w:p>
        </w:tc>
      </w:tr>
    </w:tbl>
    <w:p>
      <w:pPr>
        <w:spacing w:after="40"/>
      </w:pP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上述为流程与能力对比，效率提升需在真实资料上以人工整理耗时为基线测量。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（四）创新点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句子级可审计知识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：每条关系都能回到原文字符位置，并在发布时逐字校验。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跨语言实体对齐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：面向海外交通项目的中英文混写资料，在实体层打通，而不是依赖翻译。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主张核验而非问答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：判断一条工程说法与原文是否一致、是否冲突，包括义务极性和数值冲突，并要求依据与主张点名的对象一致。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知识发布治理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：复核、出处、本体三道闸门与哈希快照，使知识资产像代码一样可发布、可比较、可追溯。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黑体" w:cs="Times New Roman"/>
          <w:b/>
          <w:color w:val="000000"/>
          <w:sz w:val="28"/>
        </w:rPr>
        <w:t>大模型受约束增强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：模型只能补充可逐字验证的实体和符合本体的关系。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七、可扩展性分析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（一）迭代更新机制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资料更新通过版本接替进入图谱；每次发布生成清单哈希与差异，变化一目了然；被替代的知识保留可查，便于追溯历史决策依据。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（二）新增业务领域与知识类型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本体、双语词表和编号规则是配置化的。扩展到隧道（衬砌、渗漏水、超前地质预报）、港口（码头结构、系泊设施）、公路（路面病害、边坡）时，增加相应实体类型、别名和关系约束即可；新的资料格式在接入层增加解析器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（三）跨场景复用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同一知识服务可同时支撑：现场智能体的处置依据检索、合同智能体的条款核对、养护管理的病害统计、管理层的构件风险画像。参考实现以 SQLite 和内存检索运行，生产可替换为 PostgreSQL、向量库与图数据库，API 和 MCP 契约不变。</w:t>
      </w:r>
    </w:p>
    <w:p>
      <w:pPr>
        <w:keepNext/>
        <w:widowControl/>
        <w:spacing w:before="200" w:after="80" w:line="52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0"/>
        </w:rPr>
        <w:t>（四）共建共享与对外服务路径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由企业知识管理部门维护本体和词表，各项目贡献资料，通过复核与发布机制共建。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发布版本以清单哈希对外提供，供行业大模型训练、评测和智能体调用使用。</w:t>
      </w:r>
    </w:p>
    <w:p>
      <w:pPr>
        <w:spacing w:line="500" w:lineRule="exact" w:after="40"/>
        <w:ind w:left="835" w:hanging="403"/>
        <w:jc w:val="both"/>
      </w:pPr>
      <w:r>
        <w:rPr>
          <w:rFonts w:ascii="Times New Roman" w:hAnsi="Times New Roman" w:hint="eastAsia" w:eastAsia="仿宋" w:cs="Times New Roman"/>
          <w:b/>
          <w:color w:val="000000"/>
          <w:sz w:val="28"/>
        </w:rPr>
        <w:t xml:space="preserve">• </w:t>
      </w:r>
      <w:r>
        <w:rPr>
          <w:rFonts w:ascii="Times New Roman" w:hAnsi="Times New Roman" w:hint="eastAsia" w:eastAsia="仿宋" w:cs="Times New Roman"/>
          <w:b w:val="0"/>
          <w:color w:val="000000"/>
          <w:sz w:val="28"/>
        </w:rPr>
        <w:t>逐步接入 OCR 与图纸语义解析，覆盖扫描件和图纸中的知识。</w:t>
      </w: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附录 A 评审要点证据映射</w:t>
      </w:r>
    </w:p>
    <w:tbl>
      <w:tblPr>
        <w:tblW w:type="pct" w:w="5000"/>
        <w:jc w:val="center"/>
        <w:tblLayout w:type="fixed"/>
        <w:tblLook w:firstColumn="1" w:firstRow="1" w:lastColumn="0" w:lastRow="0" w:noHBand="0" w:noVBand="1" w:val="04A0"/>
      </w:tblPr>
      <w:tblGrid>
        <w:gridCol w:w="4343"/>
        <w:gridCol w:w="4343"/>
      </w:tblGrid>
      <w:tr>
        <w:trPr>
          <w:cantSplit/>
          <w:tblHeader w:val="true"/>
        </w:trPr>
        <w:tc>
          <w:tcPr>
            <w:tcW w:type="dxa" w:w="257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评审要点</w:t>
            </w:r>
          </w:p>
        </w:tc>
        <w:tc>
          <w:tcPr>
            <w:tcW w:type="dxa" w:w="6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17365D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黑体" w:cs="Times New Roman"/>
                <w:b/>
                <w:color w:val="FFFFFF"/>
                <w:sz w:val="21"/>
              </w:rPr>
              <w:t>本作品证据</w:t>
            </w:r>
          </w:p>
        </w:tc>
      </w:tr>
      <w:tr>
        <w:trPr>
          <w:cantSplit/>
        </w:trPr>
        <w:tc>
          <w:tcPr>
            <w:tcW w:type="dxa" w:w="257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行业痛点解决能力</w:t>
            </w:r>
          </w:p>
        </w:tc>
        <w:tc>
          <w:tcPr>
            <w:tcW w:type="dxa" w:w="6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第一章痛点矩阵；跨语言、出处、版本、说法核验</w:t>
            </w:r>
          </w:p>
        </w:tc>
      </w:tr>
      <w:tr>
        <w:trPr>
          <w:cantSplit/>
        </w:trPr>
        <w:tc>
          <w:tcPr>
            <w:tcW w:type="dxa" w:w="257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技术融合创新性</w:t>
            </w:r>
          </w:p>
        </w:tc>
        <w:tc>
          <w:tcPr>
            <w:tcW w:type="dxa" w:w="6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本体约束抽取、跨语言对齐、混合检索、主张核验、MCP、受约束大模型</w:t>
            </w:r>
          </w:p>
        </w:tc>
      </w:tr>
      <w:tr>
        <w:trPr>
          <w:cantSplit/>
        </w:trPr>
        <w:tc>
          <w:tcPr>
            <w:tcW w:type="dxa" w:w="257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业务模式突破性</w:t>
            </w:r>
          </w:p>
        </w:tc>
        <w:tc>
          <w:tcPr>
            <w:tcW w:type="dxa" w:w="6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知识资产像代码一样复核、发布、比较和调用</w:t>
            </w:r>
          </w:p>
        </w:tc>
      </w:tr>
      <w:tr>
        <w:trPr>
          <w:cantSplit/>
        </w:trPr>
        <w:tc>
          <w:tcPr>
            <w:tcW w:type="dxa" w:w="257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技术路线合理性</w:t>
            </w:r>
          </w:p>
        </w:tc>
        <w:tc>
          <w:tcPr>
            <w:tcW w:type="dxa" w:w="6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第二、三章分层架构与确定性实现</w:t>
            </w:r>
          </w:p>
        </w:tc>
      </w:tr>
      <w:tr>
        <w:trPr>
          <w:cantSplit/>
        </w:trPr>
        <w:tc>
          <w:tcPr>
            <w:tcW w:type="dxa" w:w="257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数据支撑有效性</w:t>
            </w:r>
          </w:p>
        </w:tc>
        <w:tc>
          <w:tcPr>
            <w:tcW w:type="dxa" w:w="6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第四章知识资产规模、结构与出处完整性</w:t>
            </w:r>
          </w:p>
        </w:tc>
      </w:tr>
      <w:tr>
        <w:trPr>
          <w:cantSplit/>
        </w:trPr>
        <w:tc>
          <w:tcPr>
            <w:tcW w:type="dxa" w:w="257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模型/算法性能</w:t>
            </w:r>
          </w:p>
        </w:tc>
        <w:tc>
          <w:tcPr>
            <w:tcW w:type="dxa" w:w="6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第六章 11 项指标与门禁</w:t>
            </w:r>
          </w:p>
        </w:tc>
      </w:tr>
      <w:tr>
        <w:trPr>
          <w:cantSplit/>
        </w:trPr>
        <w:tc>
          <w:tcPr>
            <w:tcW w:type="dxa" w:w="257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场景适配性</w:t>
            </w:r>
          </w:p>
        </w:tc>
        <w:tc>
          <w:tcPr>
            <w:tcW w:type="dxa" w:w="6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FFFFFF"/>
          </w:tcPr>
          <w:p>
            <w:pPr>
              <w:spacing w:line="340" w:lineRule="exact" w:before="20" w:after="20"/>
              <w:jc w:val="left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质量、安全、合同、设备、养护五个领域</w:t>
            </w:r>
          </w:p>
        </w:tc>
      </w:tr>
      <w:tr>
        <w:trPr>
          <w:cantSplit/>
        </w:trPr>
        <w:tc>
          <w:tcPr>
            <w:tcW w:type="dxa" w:w="257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可扩展性</w:t>
            </w:r>
          </w:p>
        </w:tc>
        <w:tc>
          <w:tcPr>
            <w:tcW w:type="dxa" w:w="606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E1F2"/>
              <w:left w:val="single" w:sz="6" w:color="D9E1F2"/>
              <w:bottom w:val="single" w:sz="6" w:color="D9E1F2"/>
              <w:right w:val="single" w:sz="6" w:color="D9E1F2"/>
              <w:insideH w:val="single" w:sz="6" w:color="D9E1F2"/>
              <w:insideV w:val="single" w:sz="6" w:color="D9E1F2"/>
            </w:tcBorders>
            <w:shd w:fill="EAF2F8"/>
          </w:tcPr>
          <w:p>
            <w:pPr>
              <w:spacing w:line="340" w:lineRule="exact" w:before="20" w:after="20"/>
              <w:jc w:val="center"/>
            </w:pPr>
            <w:r>
              <w:rPr>
                <w:rFonts w:ascii="Times New Roman" w:hAnsi="Times New Roman" w:hint="eastAsia" w:eastAsia="仿宋" w:cs="Times New Roman"/>
                <w:b w:val="0"/>
                <w:color w:val="000000"/>
                <w:sz w:val="21"/>
              </w:rPr>
              <w:t>第七章更新机制与扩展路径</w:t>
            </w:r>
          </w:p>
        </w:tc>
      </w:tr>
    </w:tbl>
    <w:p>
      <w:pPr>
        <w:spacing w:after="40"/>
      </w:pPr>
    </w:p>
    <w:p>
      <w:pPr>
        <w:keepNext/>
        <w:pageBreakBefore/>
        <w:widowControl/>
        <w:spacing w:before="0" w:after="160" w:line="600" w:lineRule="exact"/>
        <w:ind w:firstLine="642"/>
        <w:jc w:val="both"/>
      </w:pPr>
      <w:r>
        <w:rPr>
          <w:rFonts w:ascii="Times New Roman" w:hAnsi="Times New Roman" w:hint="eastAsia" w:eastAsia="黑体" w:cs="Times New Roman"/>
          <w:b/>
          <w:color w:val="000000"/>
          <w:sz w:val="32"/>
        </w:rPr>
        <w:t>附录 B 可复现说明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运行环境：Python 3.11 及以上。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安装与启动：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pip install -r requirements.txt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，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./run.sh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，浏览器打开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http://127.0.0.1:8102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，在“知识生产”中载入演示语料。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评测：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python evals/run_eval.py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；自动化测试：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pytest -q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（23 项）。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MCP 服务：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python -m app.mcp_server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（stdio）或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python -m app.mcp_server --transport streamable-http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。</w:t>
      </w:r>
    </w:p>
    <w:p>
      <w:pPr>
        <w:widowControl/>
        <w:spacing w:line="540" w:lineRule="exact" w:after="0"/>
        <w:ind w:firstLine="639"/>
        <w:jc w:val="both"/>
      </w:pP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 xml:space="preserve">第三方依赖与许可证见 </w:t>
      </w:r>
      <w:r>
        <w:rPr>
          <w:rFonts w:ascii="Consolas" w:hAnsi="Consolas" w:hint="default" w:eastAsia="仿宋" w:cs="Consolas"/>
          <w:b w:val="0"/>
          <w:color w:val="000000"/>
          <w:sz w:val="21"/>
        </w:rPr>
        <w:t>THIRD_PARTY.md</w:t>
      </w:r>
      <w:r>
        <w:rPr>
          <w:rFonts w:ascii="Times New Roman" w:hAnsi="Times New Roman" w:hint="eastAsia" w:eastAsia="仿宋" w:cs="Times New Roman"/>
          <w:b w:val="0"/>
          <w:color w:val="000000"/>
          <w:sz w:val="30"/>
        </w:rPr>
        <w:t>；作品采用 Apache-2.0 许可证。</w:t>
      </w:r>
    </w:p>
    <w:sectPr>
      <w:footerReference r:id="rId5" w:type="default"/>
      <w:pgSz w:w="11906" w:h="16838"/>
      <w:pgMar w:top="1440" w:right="1633" w:bottom="1440" w:left="1587" w:header="851" w:footer="992" w:gutter="0"/>
      <w:pgNumType w:fmt="decimal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40"/>
      </w:pPr>
      <w:r>
        <w:separator/>
      </w:r>
    </w:p>
  </w:endnote>
  <w:endnote w:type="continuationSeparator" w:id="1">
    <w:p>
      <w:pPr>
        <w:spacing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1DF600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 descr="Page number text box" title="Page 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9DE1FC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9DE1FC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640"/>
      </w:pPr>
      <w:r>
        <w:separator/>
      </w:r>
    </w:p>
  </w:footnote>
  <w:footnote w:type="continuationSeparator" w:id="1">
    <w:p>
      <w:pPr>
        <w:spacing w:line="360" w:lineRule="auto"/>
        <w:ind w:firstLine="64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4F2FC9"/>
    <w:multiLevelType w:val="singleLevel"/>
    <w:tmpl w:val="BB4F2FC9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6D6741"/>
    <w:rsid w:val="036208AE"/>
    <w:rsid w:val="09106532"/>
    <w:rsid w:val="0CF956B3"/>
    <w:rsid w:val="0D6B035F"/>
    <w:rsid w:val="122E0674"/>
    <w:rsid w:val="1A753EF5"/>
    <w:rsid w:val="1B742AD4"/>
    <w:rsid w:val="1EDA5344"/>
    <w:rsid w:val="2920604A"/>
    <w:rsid w:val="3CB94393"/>
    <w:rsid w:val="42206C63"/>
    <w:rsid w:val="4C6D6741"/>
    <w:rsid w:val="50D47596"/>
    <w:rsid w:val="515E0E0C"/>
    <w:rsid w:val="58845D45"/>
    <w:rsid w:val="5B046CCA"/>
    <w:rsid w:val="5D7563D3"/>
    <w:rsid w:val="5DD5494D"/>
    <w:rsid w:val="61F97D12"/>
    <w:rsid w:val="745B7503"/>
    <w:rsid w:val="74C330C5"/>
    <w:rsid w:val="76120095"/>
    <w:rsid w:val="78C10178"/>
    <w:rsid w:val="7F5E5F95"/>
    <w:rsid w:val="7FF62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723" w:firstLineChars="200"/>
      <w:jc w:val="both"/>
    </w:pPr>
    <w:rPr>
      <w:rFonts w:eastAsia="仿宋_GB2312" w:asciiTheme="minorAscii" w:hAnsiTheme="minorAscii" w:cstheme="minorBidi"/>
      <w:kern w:val="2"/>
      <w:sz w:val="32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-15" w:afterAutospacing="1"/>
      <w:ind w:firstLine="0" w:firstLineChars="0"/>
      <w:jc w:val="left"/>
      <w:outlineLvl w:val="1"/>
    </w:pPr>
    <w:rPr>
      <w:rFonts w:hint="eastAsia" w:ascii="宋体" w:hAnsi="宋体" w:eastAsia="黑体" w:cs="宋体"/>
      <w:bCs/>
      <w:kern w:val="0"/>
      <w:sz w:val="32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-13708400" w:afterAutospacing="1"/>
      <w:ind w:firstLine="0" w:firstLineChars="0"/>
      <w:jc w:val="left"/>
      <w:outlineLvl w:val="2"/>
    </w:pPr>
    <w:rPr>
      <w:rFonts w:hint="eastAsia" w:ascii="宋体" w:hAnsi="宋体" w:eastAsia="楷体" w:cs="宋体"/>
      <w:b/>
      <w:bCs/>
      <w:kern w:val="0"/>
      <w:sz w:val="32"/>
      <w:szCs w:val="27"/>
      <w:lang w:bidi="ar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qFormat/>
    <w:uiPriority w:val="0"/>
    <w:pPr>
      <w:ind w:left="640" w:leftChars="200" w:firstLine="0" w:firstLineChars="0"/>
    </w:pPr>
    <w:rPr>
      <w:sz w:val="2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仿宋_GB2312" w:hAnsi="仿宋_GB2312"/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0" w:leftChars="0" w:firstLine="0" w:firstLineChars="0"/>
    </w:pPr>
    <w:rPr>
      <w:sz w:val="28"/>
    </w:rPr>
  </w:style>
  <w:style w:type="paragraph" w:styleId="10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Title">
    <w:name w:val="Title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868</Words>
  <Characters>868</Characters>
  <Lines>0</Lines>
  <Paragraphs>0</Paragraphs>
  <TotalTime>1</TotalTime>
  <ScaleCrop>false</ScaleCrop>
  <LinksUpToDate>false</LinksUpToDate>
  <CharactersWithSpaces>869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2026-09-15T02:09:00Z</dcterms:created>
  <dc:creator>InfraGraph AI 参赛团队</dc:creator>
  <cp:lastModifiedBy>燕</cp:lastModifiedBy>
  <dcterms:modified xsi:type="dcterms:W3CDTF">2026-09-15T06:25:59Z</dcterms:modified>
  <cp:revision>1</cp:revision>
  <dc:title>InfraGraph AI 交通知识资产构建与应用设计报告</dc:title>
  <dc:subject>第二届交融杯人工智能场景创新应用大赛 交通知识资产构建与应用赛道</dc:subject>
  <cp:keywords>知识图谱,知识资产,跨语言,主张核验,MCP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ICV">
    <vt:lpwstr>97D3F05ED60F465C9935F3686AD322F1_13</vt:lpwstr>
  </property>
  <property fmtid="{D5CDD505-2E9C-101B-9397-08002B2CF9AE}" pid="4" name="KSOTemplateDocerSaveRecord">
    <vt:lpwstr>eyJoZGlkIjoiYTY4ODg1MDA2MjIzZDQwMDFjMTQwOWNlOGRjZmM5YjgiLCJ1c2VySWQiOiIxMjQ5MTU0NjU4In0=</vt:lpwstr>
  </property>
</Properties>
</file>