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  <w:spacing w:before="2160" w:after="720" w:line="720" w:lineRule="exact"/>
        <w:jc w:val="center"/>
      </w:pPr>
      <w:r>
        <w:rPr>
          <w:rFonts w:ascii="Times New Roman" w:hAnsi="Times New Roman" w:hint="eastAsia" w:eastAsia="黑体" w:cs="Times New Roman"/>
          <w:b/>
          <w:color w:val="000000"/>
          <w:sz w:val="44"/>
        </w:rPr>
        <w:t>InfraPilot AI 交通全场景智能应用设计报告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第二届交融杯人工智能场景创新应用大赛 交通全场景智能应用赛道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作品名称：InfraPilot AI——交通基础设施现场感知与闭环整改智能体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作品版本：V2.0 参赛提交版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参赛单位：中国港湾工程有限责任公司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团队负责人：马青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报告日期：2026年10月</w:t>
      </w:r>
    </w:p>
    <w:p>
      <w:pPr>
        <w:spacing w:line="440" w:lineRule="exact" w:after="0" w:before="720"/>
        <w:ind w:firstLine="634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数据边界：报告中的项目、构件坐标、现场事件、知识来源和照片均为合成演示数据，照片由程序生成，不含业主、合作方、项目敏感信息或个人数据。规程内容仅为演示用的合成条文，不构成安全或技术意见。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报告摘要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核心要点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定位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：面向公路、铁路、桥梁、隧道、港口和机场施工与运维现场的安全监测与质量管控，属交通全场景智能应用赛道“施工建造、运维养护、安全监测”环节。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闭环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：感知（文字、照片、定位、扫码）→ 定位到构件 → 风险融合（只升不降）→ 时限与停工 → 有依据的专家研判 → 具名人员审批 → 派发整改 → 独立复检核验 → 关闭 → 沉淀先例。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关键创新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：用“新照片、在现场、在派发之后、由他人复检”四个可计算条件证明问题真的被整改，而不是一句“已整改”。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智能体与工具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：四个证据路由的专业智能体（HSE、质量、设备吊装、施工）；REST API 与 MCP 服务可供巡检机器人、无人机和其他智能体调用；可选接入通义千问 VL 等 OpenAI 兼容视觉模型。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>• 验证：34 项基准测试与 39 项自动化测试全部通过，覆盖 18 条中英文事件、10 个整改前后复检场景和 6 项治理检查；均为合成数据环境下的工程验证。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InfraPilot AI 解决的是施工现场最常见、也最难管住的一类问题：隐患被发现以后，能不能被准确定位、及时处置、真正整改，并且有证据证明整改到位。一线人员只需用一句话加一张照片上报，系统自动定位到具体构件，判断风险等级并设定响应与关闭时限；专业智能体依据受控规程给出处置建议；经具名人员批准后派发给责任角色；整改完成后，必须由未参与整改的人提交在现场、在派发之后拍摄的新照片，独立复检七项核验全部通过才能关闭。关闭的事件自动成为同一构件、同类隐患的先例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本作品是 GlobalInfra AI 平台的现场感知层，可独立部署运行，也可通过 MCP 把事件、证据和复检回执提供给上层智能体组织。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一、应用场景介绍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（一）行业背景与业务现状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交通基础设施工程体量大、作业面分散、交叉作业多，高处作业、临边、吊装、深基坑、临时用电等高风险作业贯穿施工全过程；进入运营期后，桥梁支座、伸缩缝、隧道衬砌等构件的病害需要持续巡检和闭环处置。现场问题的发现和处置目前主要依靠巡查人员拍照、即时消息转述、纸质或表格台账登记，再由管理人员人工分派和跟踪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（二）核心痛点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现状表现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业务后果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定位不清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消息里只写“桥上”“那边”，照片看不出是哪个墩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派错人、找不到现场，重复上报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风险低报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上报人按经验填写“一般”，高风险隐患被延后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本应立即停工的作业继续进行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处置无据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处置要求凭经验口头下达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措施不到位，同类问题反复出现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整改不实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“已整改”只是一句回复，复查照片可能是旧照片或别处照片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隐患未消除即被关闭，事故风险累积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时限失控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没有按风险设定的时限，超期无人提醒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高风险问题拖延数日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经验流失</w:t>
            </w:r>
          </w:p>
        </w:tc>
        <w:tc>
          <w:tcPr>
            <w:tcW w:type="dxa" w:w="4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处置记录散落在聊天记录中</w:t>
            </w:r>
          </w:p>
        </w:tc>
        <w:tc>
          <w:tcPr>
            <w:tcW w:type="dxa" w:w="31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同一构件、同类隐患无法借鉴</w:t>
            </w:r>
          </w:p>
        </w:tc>
      </w:tr>
    </w:tbl>
    <w:p>
      <w:pPr>
        <w:spacing w:after="40"/>
      </w:pP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（三）业务需求与落地价值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本应用面向施工建造期的安全监测与质量管控，以及运维养护期的构件病害处置，满足以下需求：一次上报即定位到登记构件；风险由系统按信号判定且只升不降；高风险自动提示停工；处置建议引用受控规程；审批、派发、整改、复检、关闭各有其人、各留其证；复检用可计算的照片证据证明整改。落地价值在于把“发现—处置—证明关闭”从人工转述变成可追踪、可核验、可统计的闭环，为项目安全质量管理提供可信数据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二、总体方案与架构设计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（一）系统架构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9240" cy="3477006"/>
            <wp:docPr id="1" name="Picture 1" descr="图 1 InfraPilot AI 总体架构" title="图 1 InfraPilot AI 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infrapi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47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1 InfraPilot AI 总体架构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系统分为五层。接入层提供面向手机的现场端、REST API 和 MCP 服务；感知层对照片做文件签名校验、SHA-256 去重、感知哈希计算和 EXIF 时间与定位提取，可选调用视觉模型；决策层完成构件定位、风险融合、证据路由的专家研判和时限设定；执行层由具名人员审批、派发任务、登记整改并独立复检；沉淀层保存回执和审计轨迹，形成先例与看板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（二）多智能体协同方案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系统内置四个专业智能体：HSE 智能体、质量智能体、设备吊装智能体和施工智能体。它们不是固定参与，而是按事件检索到的受控依据所属领域动态组队：某一领域的最佳依据得分达到首要领域的 60% 才加入；风险为高或紧急时 HSE 智能体必定加入。每个智能体只能引用本次检索到的本领域依据形成结论，没有依据时如实报告“证据缺口”并向人提出补充问题，不会编造措施。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（三）工具组件与 MCP 服务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功能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调用方</w:t>
            </w:r>
          </w:p>
        </w:tc>
      </w:tr>
      <w:tr>
        <w:trPr>
          <w:cantSplit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照片接入组件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签名校验、去重、感知哈希、EXIF 提取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现场端、API</w:t>
            </w:r>
          </w:p>
        </w:tc>
      </w:tr>
      <w:tr>
        <w:trPr>
          <w:cantSplit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构件定位组件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编号、扫码载荷 `asset:P47`、GPS、照片定位匹配构件与电子围栏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上报流程</w:t>
            </w:r>
          </w:p>
        </w:tc>
      </w:tr>
      <w:tr>
        <w:trPr>
          <w:cantSplit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风险与时限组件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中英文词边界规则、三方风险融合、停工判断、响应与关闭时限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上报流程</w:t>
            </w:r>
          </w:p>
        </w:tc>
      </w:tr>
      <w:tr>
        <w:trPr>
          <w:cantSplit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知识检索组件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受控规程包的 BM25 检索（英文分词、中文双字切分）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专业智能体</w:t>
            </w:r>
          </w:p>
        </w:tc>
      </w:tr>
      <w:tr>
        <w:trPr>
          <w:cantSplit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复检核验组件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七项可计算核验，生成核验回执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复检流程</w:t>
            </w:r>
          </w:p>
        </w:tc>
      </w:tr>
      <w:tr>
        <w:trPr>
          <w:cantSplit/>
        </w:trPr>
        <w:tc>
          <w:tcPr>
            <w:tcW w:type="dxa" w:w="14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MCP 服务</w:t>
            </w:r>
          </w:p>
        </w:tc>
        <w:tc>
          <w:tcPr>
            <w:tcW w:type="dxa" w:w="472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`report_observation`、`get_event`、`list_events`、`field_dashboard`、`list_assets`</w:t>
            </w:r>
          </w:p>
        </w:tc>
        <w:tc>
          <w:tcPr>
            <w:tcW w:type="dxa" w:w="248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巡检机器人、无人机、上层智能体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MCP 服务基于官方 MCP Python SDK v2，只开放上报与查询；审批、派发、整改完成、复检和关闭不通过 MCP 暴露，必须由具名人员在现场端完成。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（四）外部数据与业务系统对接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构件登记表（编号、名称、类型、坐标、电子围栏半径、区段）以文件形式配置，可由 BIM 构件清单或资产台账导出；规程知识以版本化的知识包加载，可替换为企业受控规程库；REST API 可与项目 HSE、质量（NCR）系统和移动审批对接。参考实现不向任何外部系统发送指令或消息，派发只生成内部任务与回执。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（五）感知—决策—执行闭环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环节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系统动作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感知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接收文字、照片、定位、扫码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事件、证据照片、感知哈希、拍摄时间与定位</w:t>
            </w:r>
          </w:p>
        </w:tc>
      </w:tr>
      <w:tr>
        <w:trPr>
          <w:cantSplit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决策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定位构件、风险融合、证据路由研判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风险等级、停工提示、时限、带引用的结论和任务</w:t>
            </w:r>
          </w:p>
        </w:tc>
      </w:tr>
      <w:tr>
        <w:trPr>
          <w:cantSplit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授权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具名人员批准处置计划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审批回执</w:t>
            </w:r>
          </w:p>
        </w:tc>
      </w:tr>
      <w:tr>
        <w:trPr>
          <w:cantSplit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执行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派发任务给责任角色，责任人登记完成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派发回执、任务完成记录</w:t>
            </w:r>
          </w:p>
        </w:tc>
      </w:tr>
      <w:tr>
        <w:trPr>
          <w:cantSplit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核验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独立复检提交整改后照片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七项核验回执</w:t>
            </w:r>
          </w:p>
        </w:tc>
      </w:tr>
      <w:tr>
        <w:trPr>
          <w:cantSplit/>
        </w:trPr>
        <w:tc>
          <w:tcPr>
            <w:tcW w:type="dxa" w:w="12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关闭与沉淀</w:t>
            </w:r>
          </w:p>
        </w:tc>
        <w:tc>
          <w:tcPr>
            <w:tcW w:type="dxa" w:w="33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具名人员关闭，事件进入先例库</w:t>
            </w:r>
          </w:p>
        </w:tc>
        <w:tc>
          <w:tcPr>
            <w:tcW w:type="dxa" w:w="402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关闭记录、先例、看板指标</w:t>
            </w:r>
          </w:p>
        </w:tc>
      </w:tr>
    </w:tbl>
    <w:p>
      <w:pPr>
        <w:spacing w:after="40"/>
      </w:pP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三、关键技术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（一）照片证据感知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文件签名校验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：按文件头识别 JPEG、PNG、WebP、WAV、MP4，不信任文件扩展名和声明类型，伪装成图片的脚本会被拒绝。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内容寻址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：每份媒体按 SHA-256 存储，重复上传只保留一份，任何引用都能定位到确定的原件。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行列差分感知哈希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：把照片缩放为 16×17 和 17×16 两幅灰度图，分别比较相邻像素得到 512 位哈希。重新压缩或缩小后的同一张照片距离不超过 5 位，而加装了水平防护栏杆的整改后照片距离达到 20 位以上。仅用行方向差分时，水平栏杆几乎不改变哈希（实测距离仅 5 位），因此本作品同时使用行、列两个方向。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EXIF 时间与定位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：读取拍摄时间（含时区偏移）和 GPS 坐标，用于判断照片是否在派发之后、是否在构件电子围栏内拍摄。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（二）构件定位与电子围栏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定位依次采用：人工选择的构件编号、扫码载荷、文本中的构件编号、上报定位、照片 EXIF 定位。坐标定位时取最近的登记构件，并要求距离在该构件的电子围栏半径以内（墩柱 120 米、车站 250 米、支座 80 米），超出则标记为“未定位”而不是猜测。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（三）风险融合与时限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风险规则按中英文分别处理：英文按词边界匹配，避免 “knowledge” 中的 “edge”、“ledge”、“edgeless” 误触发高处作业规则；中文按词组匹配。最终风险取上报人、文字信号和视觉模型三者中的最高值，只升不降。风险决定时限：紧急 1 小时响应、24 小时关闭；高 4 小时、72 小时；中 24 小时、7 天；低 72 小时、14 天。紧急风险或带明确信号的高风险自动提示停工。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（四）大模型集成方案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视觉模型为可选能力，通过 OpenAI 兼容接口接入，兼容通义千问 VL、本地多模态模型等。模型输出受 JSON Schema 约束，只能从 10 类隐患（无防护临边、无坠落防护、吊物、敞开基坑、带电裸露、坍塌、结构裂缝、通道堵塞、文明施工、个人防护缺失）中选择，置信度不低于 0.5 且必须说明可见依据，否则丢弃。模型结果只能提高风险；复检时若模型仍识别出隐患，复检不通过。上报人的描述作为不可信数据包裹后传给模型，其中的指令不会被执行。未配置模型时系统使用确定性规则，界面明确显示“未配置视觉模型”，不宣称具备图像识别能力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（五）证据驱动的专家研判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知识包中的每条规程带编号、版本、领域和内容摘要（SHA-256）。检索采用 BM25：英文按词并去停用词，中文按双字切分；一条依据至少要命中两个有效词并超过分数阈值才算证据，单个通用词不算。专家智能体按领域筛选依据，置信度由依据得分计算，而不是固定数值。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（六）独立复检核验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343"/>
        <w:gridCol w:w="4343"/>
      </w:tblGrid>
      <w:tr>
        <w:trPr>
          <w:cantSplit/>
          <w:tblHeader w:val="true"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核验项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判定方法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全部整改任务已完成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所有任务状态为已完成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有整改后照片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复检提交了图像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不是复用或翻拍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SHA-256 不同，且与每张整改前照片的感知哈希距离大于 10 位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拍摄在派发之后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EXIF 拍摄时间（无则用接收时间）不早于派发回执时间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拍摄在构件现场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EXIF 定位在构件电子围栏内；无定位时须复检人到场确认，回执注明依据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复检人独立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复检人不是整改人，也不是上报人</w:t>
            </w:r>
          </w:p>
        </w:tc>
      </w:tr>
      <w:tr>
        <w:trPr>
          <w:cantSplit/>
        </w:trPr>
        <w:tc>
          <w:tcPr>
            <w:tcW w:type="dxa" w:w="265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隐患已消除</w:t>
            </w:r>
          </w:p>
        </w:tc>
        <w:tc>
          <w:tcPr>
            <w:tcW w:type="dxa" w:w="59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复检人确认；配置视觉模型时由模型复核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任一项不通过，事件进入“复检未通过”，可重新整改并再次复检；只有全部通过，事件才能被具名人员关闭。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四、功能模块设计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（一）现场上报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343"/>
        <w:gridCol w:w="4343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66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业务目标</w:t>
            </w:r>
          </w:p>
        </w:tc>
        <w:tc>
          <w:tcPr>
            <w:tcW w:type="dxa" w:w="66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一句话加一张照片完成上报，不要求填表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输入</w:t>
            </w:r>
          </w:p>
        </w:tc>
        <w:tc>
          <w:tcPr>
            <w:tcW w:type="dxa" w:w="66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描述、照片（手机可直接拍照）、可选构件、可选严重程度（默认交给 AI 判断）、上报人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输出</w:t>
            </w:r>
          </w:p>
        </w:tc>
        <w:tc>
          <w:tcPr>
            <w:tcW w:type="dxa" w:w="66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事件编号、构件与定位方式、风险融合结果、停工提示、响应与关闭时限、专家研判和建议任务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流程</w:t>
            </w:r>
          </w:p>
        </w:tc>
        <w:tc>
          <w:tcPr>
            <w:tcW w:type="dxa" w:w="66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上报 → 自动定位 → 风险融合 → 专家研判 → 待审批</w:t>
            </w:r>
          </w:p>
        </w:tc>
      </w:tr>
    </w:tbl>
    <w:p>
      <w:pPr>
        <w:spacing w:after="40"/>
      </w:pP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8524488"/>
            <wp:docPr id="2" name="Picture 2" descr="图 2 现场端移动界面" title="图 2 现场端移动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8524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2 现场端移动界面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（二）研判与审批派发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专家结论逐条显示依据编号和置信度；没有依据的智能体显示缺口与问题。具名人员批准后，系统按风险时限给每项任务设定截止时间并派发给责任角色；未经批准无法派发，批准人不能是智能体、模型或自动化账号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（三）整改与独立复检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责任人登记完成整改；复检人上传整改后照片并提交复检。下图中，复检人试图用整改前照片冒充整改后照片，系统判定“不是复用或翻拍”和“拍摄在派发之后”两项不通过。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3548558"/>
            <wp:docPr id="3" name="Picture 3" descr="图 3 复用整改前照片被拦截" title="图 3 复用整改前照片被拦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fai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54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3 复用整改前照片被拦截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更换为在现场新拍的整改后照片后，七项核验全部通过，事件可以关闭；整改前后照片并排保存，审计轨迹记录每一步的人员和时间。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3548558"/>
            <wp:docPr id="4" name="Picture 4" descr="图 4 新照片复检通过，整改前后对比与审计轨迹" title="图 4 新照片复检通过，整改前后对比与审计轨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verifi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54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4 新照片复检通过，整改前后对比与审计轨迹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（四）先例与看板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已关闭事件按同一构件或共同隐患信号成为新事件的先例，显示当时的措施和关闭用时；看板统计事件数、停工中、超期、时限内关闭率、复检一次通过率、平均关闭时长和隐患热点构件。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（五）面向典型场景的功能实现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343"/>
        <w:gridCol w:w="4343"/>
      </w:tblGrid>
      <w:tr>
        <w:trPr>
          <w:cantSplit/>
          <w:tblHeader w:val="true"/>
        </w:trPr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56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实现方式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施工安全监测</w:t>
            </w:r>
          </w:p>
        </w:tc>
        <w:tc>
          <w:tcPr>
            <w:tcW w:type="dxa" w:w="56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临边、高处、吊装、深基坑、动火、临时用电等信号触发高或紧急风险与停工提示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质量管控</w:t>
            </w:r>
          </w:p>
        </w:tc>
        <w:tc>
          <w:tcPr>
            <w:tcW w:type="dxa" w:w="56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裂缝、蜂窝、强度不足等触发质量智能体，按不符合项流程处置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桥隧检测养护</w:t>
            </w:r>
          </w:p>
        </w:tc>
        <w:tc>
          <w:tcPr>
            <w:tcW w:type="dxa" w:w="56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支座位移与锈蚀等运维病害由质量智能体依据支座检查规程处置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智能建造机器人与无人机巡检</w:t>
            </w:r>
          </w:p>
        </w:tc>
        <w:tc>
          <w:tcPr>
            <w:tcW w:type="dxa" w:w="56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通过 MCP 的 `report_observation` 上报观察，进入同一闭环，审批与复检仍由人完成</w:t>
            </w:r>
          </w:p>
        </w:tc>
      </w:tr>
    </w:tbl>
    <w:p>
      <w:pPr>
        <w:spacing w:after="40"/>
      </w:pP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五、实际应用效果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（一）测试方法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基准测试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evals/run_eval.py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 在合成数据上确定性运行，照片由程序生成（整改前为无防护临边，整改后加装黄色防护栏杆），带可控的拍摄时间和 GPS。测试时间用可控时钟，保证时限计算可复现。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（二）测试结果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171"/>
        <w:gridCol w:w="2171"/>
        <w:gridCol w:w="2171"/>
        <w:gridCol w:w="2171"/>
      </w:tblGrid>
      <w:tr>
        <w:trPr>
          <w:cantSplit/>
          <w:tblHeader w:val="true"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套件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用例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事件研判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18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风险等级准确率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事件研判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18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专家路由准确率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事件研判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18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构件定位准确率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事件研判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18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停工判断准确率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复检核验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通过与拦截判断准确率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治理检查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通过率</w:t>
            </w:r>
          </w:p>
        </w:tc>
        <w:tc>
          <w:tcPr>
            <w:tcW w:type="dxa" w:w="157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事件集包含中英文上报和三条对抗性文本（“knowledge/ledge/edgeless”、与施工无关的会议通知），均未被误判为高风险。复检的 10 个场景为：正常复检、原照片复用、整改前照片翻拍、派发前拍摄、围栏外拍摄、无定位未确认、无定位已确认、整改人自检、任务未完成、隐患未消除，系统对每个场景的判定均符合预期，并在回执中指出不通过的具体核验项。治理检查包括未批准派发、非人员审批、未复检关闭、批准后改分析、时限超期识别和先例沉淀。39 项自动化测试覆盖感知、生命周期、模型与视觉路径的受控降级、API 和 MCP。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（三）与传统方式对比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传统方式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InfraPilot AI</w:t>
            </w:r>
          </w:p>
        </w:tc>
      </w:tr>
      <w:tr>
        <w:trPr>
          <w:cantSplit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上报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拍照后在群里描述，再人工登记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一句话加照片，自动定位构件</w:t>
            </w:r>
          </w:p>
        </w:tc>
      </w:tr>
      <w:tr>
        <w:trPr>
          <w:cantSplit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风险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上报人主观判断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三方融合只升不降，自动停工提示</w:t>
            </w:r>
          </w:p>
        </w:tc>
      </w:tr>
      <w:tr>
        <w:trPr>
          <w:cantSplit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时限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无统一时限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按风险自动设定，超期标记</w:t>
            </w:r>
          </w:p>
        </w:tc>
      </w:tr>
      <w:tr>
        <w:trPr>
          <w:cantSplit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处置依据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经验口头下达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引用受控规程编号，无依据时提问</w:t>
            </w:r>
          </w:p>
        </w:tc>
      </w:tr>
      <w:tr>
        <w:trPr>
          <w:cantSplit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整改证明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回复“已整改”或一张无法验证的照片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七项可计算核验，复用或异地照片被拦截</w:t>
            </w:r>
          </w:p>
        </w:tc>
      </w:tr>
      <w:tr>
        <w:trPr>
          <w:cantSplit/>
        </w:trPr>
        <w:tc>
          <w:tcPr>
            <w:tcW w:type="dxa" w:w="11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追溯</w:t>
            </w:r>
          </w:p>
        </w:tc>
        <w:tc>
          <w:tcPr>
            <w:tcW w:type="dxa" w:w="363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聊天记录</w:t>
            </w:r>
          </w:p>
        </w:tc>
        <w:tc>
          <w:tcPr>
            <w:tcW w:type="dxa" w:w="383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回执、审计轨迹、先例和看板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以上为流程能力对比，不宣称已取得真实项目的工时或事故率改善。真实效果需要在试点项目中设置基线后测量，例如平均关闭时长、时限内关闭率、复检一次通过率和同类隐患复发率。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六、创新性阐述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（一）用可计算证据证明“整改到位”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现有现场管理工具大多停留在“上报—派单”，整改是否到位仍靠一句回复。本作品把整改证明拆成可计算的条件：照片是否是新的（内容哈希和感知哈希）、是否在派发之后（EXIF 时间）、是否在现场（GPS 与电子围栏）、是否由他人复检（人员独立性）、任务是否完成。这使“关闭”成为一个可审计的结论，而不是一个状态按钮。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（二）风险只升不降与时限驱动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系统不允许 AI 或上报人降低风险，只能升高；风险直接决定停工提示和响应、关闭时限，把“发现得早”转化为“处置得快”。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（三）证据路由的多智能体协同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专业智能体按检索到的受控依据动态组队，结论必须引用依据编号，没有依据时明确提出问题。这避免了“所有智能体都发言、都给建议”的噪声，也避免了编造的处置要求。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（四）面向机器人与智能体的 MCP 接入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巡检机器人、无人机或其他智能体可以通过 MCP 上报观察并读取事件，但审批、派发、复检和关闭只能由具名人员完成。自动化提高了发现效率，责任仍然由人承担。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（五）大模型能力的受约束融合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视觉模型只能在固定隐患分类中给出带可见依据的结果，只能提高风险，并在复检时作为“隐患仍在”的否决条件，既用上了大模型的感知能力，又防止模型幻觉直接影响关闭决定。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七、可扩展性分析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（一）跨场景扩展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构件登记表、规程知识包和隐患分类都是配置数据。扩展到公路（路面、边坡、护栏）、隧道（衬砌、渗漏水、通风）、港口（码头面、系船柱、起重设备）或机场（道面、助航灯光）时，只需导入对应的构件清单与电子围栏、加载领域规程包、补充风险信号词表，闭环逻辑与核验规则不变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（二）不同规模的适配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单个项目可用 SQLite 单机部署；集团多项目可替换为 PostgreSQL 和对象存储，按项目隔离数据；现场端可封装为带离线队列的移动应用，在无网络时暂存上报和照片，联网后同步。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（三）能力升级路径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接入经过盲测的视觉模型，并用真实脱敏的整改前后照片建立评测集。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引入可信拍摄（设备认证、水印）以防止 EXIF 篡改。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与项目 NCR、HSE、移动审批系统对接，并把复检回执推送到业主或监理平台。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与 GlobalInfra AI 的智能体组织联动：事件进入案例分析，复检回执作为关闭证据。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附录 A 评审要点证据映射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343"/>
        <w:gridCol w:w="4343"/>
      </w:tblGrid>
      <w:tr>
        <w:trPr>
          <w:cantSplit/>
          <w:tblHeader w:val="true"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评审要点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本作品证据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行业痛点解决能力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第一章痛点矩阵；七项复检核验解决“整改不实”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技术融合创新性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感知哈希与 EXIF、证据路由多智能体、受约束视觉模型、MCP 服务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业务模式突破性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从“上报派单”到“可证明关闭”的闭环，时限驱动处置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技术路线合理性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第二、三章分层架构与确定性降级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数据支撑有效性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构件登记、版本化规程包、合成照片与事件集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模型/算法性能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第五章 34 项基准与 39 项测试，感知哈希距离实测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场景适配性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施工安全、质量、桥隧养护、机器人巡检四类场景</w:t>
            </w:r>
          </w:p>
        </w:tc>
      </w:tr>
      <w:tr>
        <w:trPr>
          <w:cantSplit/>
        </w:trPr>
        <w:tc>
          <w:tcPr>
            <w:tcW w:type="dxa" w:w="253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可扩展性</w:t>
            </w:r>
          </w:p>
        </w:tc>
        <w:tc>
          <w:tcPr>
            <w:tcW w:type="dxa" w:w="61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第七章跨场景与规模扩展路径</w:t>
            </w:r>
          </w:p>
        </w:tc>
      </w:tr>
    </w:tbl>
    <w:p>
      <w:pPr>
        <w:spacing w:after="40"/>
      </w:pP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附录 B 可复现说明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运行环境：Python 3.11 及以上。</w:t>
      </w:r>
    </w:p>
    <w:p>
      <w:pPr>
        <w:widowControl/>
        <w:spacing w:line="540" w:lineRule="exact" w:after="0"/>
        <w:ind w:firstLine="639"/>
        <w:jc w:val="left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安装与启动：pip install -r requirements.txt，./run.sh，本地浏览器打开 http://127.0.0.1:8101。在线演示：https://infrapilot-ai-production-cd4c.up.railway.app。Railway 生产环境使用独立的 /data 持久化卷。</w:t>
      </w:r>
      <w:r>
        <w:rPr>
          <w:rFonts w:ascii="Consolas" w:hAnsi="Consolas" w:hint="default" w:eastAsia="仿宋" w:cs="Consolas"/>
          <w:b w:val="0"/>
          <w:color w:val="000000"/>
          <w:sz w:val="21"/>
        </w:rPr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</w:r>
      <w:r>
        <w:rPr>
          <w:rFonts w:ascii="Consolas" w:hAnsi="Consolas" w:hint="default" w:eastAsia="仿宋" w:cs="Consolas"/>
          <w:b w:val="0"/>
          <w:color w:val="000000"/>
          <w:sz w:val="21"/>
        </w:rPr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</w:r>
      <w:r>
        <w:rPr>
          <w:rFonts w:ascii="Consolas" w:hAnsi="Consolas" w:hint="default" w:eastAsia="仿宋" w:cs="Consolas"/>
          <w:b w:val="0"/>
          <w:color w:val="000000"/>
          <w:sz w:val="21"/>
        </w:rPr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基准测试：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evals/run_eval.py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；自动化测试：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pytest -q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MCP 服务：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-m app.mcp_server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（stdio）或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-m app.mcp_server --transport streamable-http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第三方依赖与许可证见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THIRD_PARTY.md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；作品采用 Apache-2.0 许可证。</w:t>
      </w:r>
    </w:p>
    <w:sectPr>
      <w:footerReference r:id="rId5" w:type="default"/>
      <w:headerReference w:type="default" r:id="rId14"/>
      <w:pgSz w:w="11906" w:h="16838"/>
      <w:pgMar w:top="1440" w:right="1633" w:bottom="1440" w:left="1587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DF600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 descr="Page number text box" title="Page 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DE1FC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DE1FC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640"/>
      </w:pPr>
      <w:r>
        <w:separator/>
      </w:r>
    </w:p>
  </w:footnote>
  <w:footnote w:type="continuationSeparator" w:id="1">
    <w:p>
      <w:pPr>
        <w:spacing w:line="360" w:lineRule="auto"/>
        <w:ind w:firstLine="640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45F43"/>
    <w:multiLevelType w:val="singleLevel"/>
    <w:tmpl w:val="8A445F43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6D6741"/>
    <w:rsid w:val="036208AE"/>
    <w:rsid w:val="122E0674"/>
    <w:rsid w:val="1EDA5344"/>
    <w:rsid w:val="42206C63"/>
    <w:rsid w:val="4C6D6741"/>
    <w:rsid w:val="50D47596"/>
    <w:rsid w:val="515E0E0C"/>
    <w:rsid w:val="58845D45"/>
    <w:rsid w:val="5B046CCA"/>
    <w:rsid w:val="5D7563D3"/>
    <w:rsid w:val="5DD5494D"/>
    <w:rsid w:val="61F97D12"/>
    <w:rsid w:val="686F5868"/>
    <w:rsid w:val="74C330C5"/>
    <w:rsid w:val="7F5E5F95"/>
    <w:rsid w:val="7FF62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723" w:firstLineChars="200"/>
      <w:jc w:val="both"/>
    </w:pPr>
    <w:rPr>
      <w:rFonts w:eastAsia="仿宋_GB2312" w:asciiTheme="minorAscii" w:hAnsiTheme="minorAscii" w:cstheme="minorBidi"/>
      <w:kern w:val="2"/>
      <w:sz w:val="3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-15" w:afterAutospacing="1"/>
      <w:ind w:firstLine="0" w:firstLineChars="0"/>
      <w:jc w:val="left"/>
      <w:outlineLvl w:val="1"/>
    </w:pPr>
    <w:rPr>
      <w:rFonts w:hint="eastAsia" w:ascii="宋体" w:hAnsi="宋体" w:eastAsia="黑体" w:cs="宋体"/>
      <w:bCs/>
      <w:kern w:val="0"/>
      <w:sz w:val="32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-13708400" w:afterAutospacing="1"/>
      <w:ind w:firstLine="0" w:firstLineChars="0"/>
      <w:jc w:val="left"/>
      <w:outlineLvl w:val="2"/>
    </w:pPr>
    <w:rPr>
      <w:rFonts w:hint="eastAsia" w:ascii="宋体" w:hAnsi="宋体" w:eastAsia="楷体" w:cs="宋体"/>
      <w:b/>
      <w:bCs/>
      <w:kern w:val="0"/>
      <w:sz w:val="32"/>
      <w:szCs w:val="27"/>
      <w:lang w:bidi="ar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640" w:leftChars="200" w:firstLine="0" w:firstLineChars="0"/>
    </w:pPr>
    <w:rPr>
      <w:sz w:val="2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仿宋_GB2312" w:hAnsi="仿宋_GB2312"/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0" w:leftChars="0" w:firstLine="0" w:firstLineChars="0"/>
    </w:pPr>
    <w:rPr>
      <w:sz w:val="28"/>
    </w:rPr>
  </w:style>
  <w:style w:type="paragraph" w:styleId="1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618</Words>
  <Characters>627</Characters>
  <Lines>0</Lines>
  <Paragraphs>0</Paragraphs>
  <TotalTime>5</TotalTime>
  <ScaleCrop>false</ScaleCrop>
  <LinksUpToDate>false</LinksUpToDate>
  <CharactersWithSpaces>630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2026-09-15T02:09:00Z</dcterms:created>
  <dc:creator>InfraPilot AI 参赛团队</dc:creator>
  <cp:lastModifiedBy>燕</cp:lastModifiedBy>
  <dcterms:modified xsi:type="dcterms:W3CDTF">2026-09-15T06:25:32Z</dcterms:modified>
  <cp:revision>1</cp:revision>
  <dc:title>InfraPilot AI 交通全场景智能应用设计报告</dc:title>
  <dc:subject>第二届交融杯人工智能场景创新应用大赛 交通全场景智能应用赛道</dc:subject>
  <cp:keywords>现场感知,闭环整改,多智能体,MCP,施工安全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ICV">
    <vt:lpwstr>937E3133A69D4A16B2A869118DF7C96F_13</vt:lpwstr>
  </property>
  <property fmtid="{D5CDD505-2E9C-101B-9397-08002B2CF9AE}" pid="4" name="KSOTemplateDocerSaveRecord">
    <vt:lpwstr>eyJoZGlkIjoiYTY4ODg1MDA2MjIzZDQwMDFjMTQwOWNlOGRjZmM5YjgiLCJ1c2VySWQiOiIxMjQ5MTU0NjU4In0=</vt:lpwstr>
  </property>
</Properties>
</file>