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Title"/>
        <w:spacing w:before="1560" w:after="600"/>
        <w:jc w:val="center"/>
      </w:pPr>
      <w:r>
        <w:rPr>
          <w:rFonts w:ascii="Songti SC" w:hAnsi="Songti SC" w:eastAsia="Songti SC" w:cs="Songti SC"/>
          <w:b/>
          <w:color w:val="000000"/>
          <w:sz w:val="44"/>
        </w:rPr>
        <w:t>InfraPilot AI 交通全场景智能应用设计报告</w:t>
      </w:r>
    </w:p>
    <w:p>
      <w:pPr>
        <w:spacing w:after="680"/>
        <w:jc w:val="center"/>
      </w:pPr>
      <w:r>
        <w:rPr>
          <w:rFonts w:ascii="Songti SC" w:hAnsi="Songti SC" w:eastAsia="Songti SC" w:cs="Songti SC"/>
          <w:b/>
          <w:color w:val="000000"/>
          <w:sz w:val="28"/>
        </w:rPr>
        <w:t>第二届交融杯人工智能场景创新应用大赛</w:t>
      </w:r>
    </w:p>
    <w:p>
      <w:pPr>
        <w:spacing w:after="920"/>
        <w:jc w:val="center"/>
      </w:pPr>
      <w:r>
        <w:rPr>
          <w:rFonts w:ascii="Songti SC" w:hAnsi="Songti SC" w:eastAsia="Songti SC" w:cs="Songti SC"/>
          <w:b/>
          <w:color w:val="17365D"/>
          <w:sz w:val="28"/>
        </w:rPr>
        <w:t>交通全场景智能应用赛道</w:t>
      </w:r>
    </w:p>
    <w:p>
      <w:pPr>
        <w:spacing w:after="160"/>
        <w:jc w:val="center"/>
      </w:pPr>
      <w:r>
        <w:rPr>
          <w:rFonts w:ascii="Songti SC" w:hAnsi="Songti SC" w:eastAsia="Songti SC" w:cs="Songti SC"/>
          <w:color w:val="000000"/>
          <w:sz w:val="24"/>
        </w:rPr>
        <w:t>作品名称：InfraPilot AI——交通基础设施现场感知与闭环整改智能体</w:t>
      </w:r>
    </w:p>
    <w:p>
      <w:pPr>
        <w:spacing w:after="160"/>
        <w:jc w:val="center"/>
      </w:pPr>
      <w:r>
        <w:rPr>
          <w:rFonts w:ascii="Songti SC" w:hAnsi="Songti SC" w:eastAsia="Songti SC" w:cs="Songti SC"/>
          <w:color w:val="000000"/>
          <w:sz w:val="24"/>
        </w:rPr>
        <w:t>作品版本：V2.1.0 最终提交版</w:t>
      </w:r>
    </w:p>
    <w:p>
      <w:pPr>
        <w:spacing w:after="160"/>
        <w:jc w:val="center"/>
      </w:pPr>
      <w:r>
        <w:rPr>
          <w:rFonts w:ascii="Songti SC" w:hAnsi="Songti SC" w:eastAsia="Songti SC" w:cs="Songti SC"/>
          <w:color w:val="000000"/>
          <w:sz w:val="24"/>
        </w:rPr>
        <w:t>参赛单位：中国港湾工程有限责任公司</w:t>
      </w:r>
    </w:p>
    <w:p>
      <w:pPr>
        <w:spacing w:after="160"/>
        <w:jc w:val="center"/>
      </w:pPr>
      <w:r>
        <w:rPr>
          <w:rFonts w:ascii="Songti SC" w:hAnsi="Songti SC" w:eastAsia="Songti SC" w:cs="Songti SC"/>
          <w:color w:val="000000"/>
          <w:sz w:val="24"/>
        </w:rPr>
        <w:t>团队负责人：马青</w:t>
      </w:r>
    </w:p>
    <w:p>
      <w:pPr>
        <w:spacing w:after="160"/>
        <w:jc w:val="center"/>
      </w:pPr>
      <w:r>
        <w:rPr>
          <w:rFonts w:ascii="Songti SC" w:hAnsi="Songti SC" w:eastAsia="Songti SC" w:cs="Songti SC"/>
          <w:color w:val="000000"/>
          <w:sz w:val="24"/>
        </w:rPr>
        <w:t>报告日期：2026年10月</w:t>
      </w:r>
    </w:p>
    <w:p>
      <w:pPr>
        <w:spacing w:before="960" w:line="324" w:lineRule="auto"/>
        <w:ind w:left="648" w:right="648"/>
        <w:jc w:val="left"/>
      </w:pPr>
      <w:r>
        <w:rPr>
          <w:rFonts w:ascii="Songti SC" w:hAnsi="Songti SC" w:eastAsia="Songti SC" w:cs="Songti SC"/>
          <w:color w:val="595959"/>
          <w:sz w:val="19"/>
        </w:rPr>
        <w:t>数据边界：报告中的项目、构件坐标、现场事件、知识来源和照片均为合成演示数据，照片由程序生成，不含业主、合作方、项目敏感信息或个人数据。规程内容仅为演示用的合成条文，不构成安全或技术意见。</w:t>
      </w:r>
    </w:p>
    <w:p>
      <w:r>
        <w:br w:type="page"/>
      </w:r>
    </w:p>
    <w:p>
      <w:pPr>
        <w:pStyle w:val="2"/>
        <w:keepNext/>
      </w:pPr>
      <w:r>
        <w:rPr>
          <w:rFonts w:ascii="Songti SC" w:hAnsi="Songti SC" w:eastAsia="Songti SC" w:cs="Songti SC"/>
          <w:b/>
          <w:color w:val="000000"/>
          <w:sz w:val="32"/>
        </w:rPr>
        <w:t>参赛访问与复现信息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343"/>
        <w:gridCol w:w="4343"/>
      </w:tblGrid>
      <w:tr>
        <w:trPr>
          <w:cantSplit w:val="true"/>
          <w:tblHeader w:val="true"/>
        </w:trPr>
        <w:tc>
          <w:tcPr>
            <w:tcW w:type="dxa" w:w="9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访问项</w:t>
            </w:r>
          </w:p>
        </w:tc>
        <w:tc>
          <w:tcPr>
            <w:tcW w:type="dxa" w:w="77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地址或说明</w:t>
            </w:r>
          </w:p>
        </w:tc>
      </w:tr>
      <w:tr>
        <w:trPr>
          <w:cantSplit w:val="true"/>
        </w:trPr>
        <w:tc>
          <w:tcPr>
            <w:tcW w:type="dxa" w:w="9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公网演示</w:t>
            </w:r>
          </w:p>
        </w:tc>
        <w:tc>
          <w:tcPr>
            <w:tcW w:type="dxa" w:w="77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hyperlink r:id="rId10">
              <w:r>
                <w:rPr>
                  <w:rFonts w:ascii="Songti SC" w:hAnsi="Songti SC" w:cs="Songti SC" w:eastAsia="Songti SC"/>
                  <w:color w:val="17365D"/>
                  <w:u w:val="single"/>
                </w:rPr>
                <w:t>https://infrapilot-ai-production-cd4c.up.railway.app</w:t>
              </w:r>
            </w:hyperlink>
          </w:p>
        </w:tc>
      </w:tr>
      <w:tr>
        <w:trPr>
          <w:cantSplit w:val="true"/>
        </w:trPr>
        <w:tc>
          <w:tcPr>
            <w:tcW w:type="dxa" w:w="9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健康检查</w:t>
            </w:r>
          </w:p>
        </w:tc>
        <w:tc>
          <w:tcPr>
            <w:tcW w:type="dxa" w:w="77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hyperlink r:id="rId11">
              <w:r>
                <w:rPr>
                  <w:rFonts w:ascii="Songti SC" w:hAnsi="Songti SC" w:cs="Songti SC" w:eastAsia="Songti SC"/>
                  <w:color w:val="17365D"/>
                  <w:u w:val="single"/>
                </w:rPr>
                <w:t>https://infrapilot-ai-production-cd4c.up.railway.app/health</w:t>
              </w:r>
            </w:hyperlink>
          </w:p>
        </w:tc>
      </w:tr>
      <w:tr>
        <w:trPr>
          <w:cantSplit w:val="true"/>
        </w:trPr>
        <w:tc>
          <w:tcPr>
            <w:tcW w:type="dxa" w:w="9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代码仓库</w:t>
            </w:r>
          </w:p>
        </w:tc>
        <w:tc>
          <w:tcPr>
            <w:tcW w:type="dxa" w:w="77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hyperlink r:id="rId12">
              <w:r>
                <w:rPr>
                  <w:rFonts w:ascii="Songti SC" w:hAnsi="Songti SC" w:cs="Songti SC" w:eastAsia="Songti SC"/>
                  <w:color w:val="17365D"/>
                  <w:u w:val="single"/>
                </w:rPr>
                <w:t>https://github.com/weareoneconnection/InfraPilot-AI</w:t>
              </w:r>
            </w:hyperlink>
          </w:p>
        </w:tc>
      </w:tr>
      <w:tr>
        <w:trPr>
          <w:cantSplit w:val="true"/>
        </w:trPr>
        <w:tc>
          <w:tcPr>
            <w:tcW w:type="dxa" w:w="9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源码交付</w:t>
            </w:r>
          </w:p>
        </w:tc>
        <w:tc>
          <w:tcPr>
            <w:tcW w:type="dxa" w:w="77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随最终提交包提供 V2.1.0 源码快照，精确基线见包内 SOURCE_COMMIT.txt</w:t>
            </w:r>
          </w:p>
        </w:tc>
      </w:tr>
      <w:tr>
        <w:trPr>
          <w:cantSplit w:val="true"/>
        </w:trPr>
        <w:tc>
          <w:tcPr>
            <w:tcW w:type="dxa" w:w="9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软件许可</w:t>
            </w:r>
          </w:p>
        </w:tc>
        <w:tc>
          <w:tcPr>
            <w:tcW w:type="dxa" w:w="77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Apache-2.0</w:t>
            </w:r>
          </w:p>
        </w:tc>
      </w:tr>
      <w:tr>
        <w:trPr>
          <w:cantSplit w:val="true"/>
        </w:trPr>
        <w:tc>
          <w:tcPr>
            <w:tcW w:type="dxa" w:w="9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生产验证</w:t>
            </w:r>
          </w:p>
        </w:tc>
        <w:tc>
          <w:tcPr>
            <w:tcW w:type="dxa" w:w="77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2026年10月19日，Railway production 在线、无告警、无待处理部署；部署来源为公开仓库 main 分支</w:t>
            </w:r>
          </w:p>
        </w:tc>
      </w:tr>
      <w:tr>
        <w:trPr>
          <w:cantSplit w:val="true"/>
        </w:trPr>
        <w:tc>
          <w:tcPr>
            <w:tcW w:type="dxa" w:w="9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源码基线</w:t>
            </w:r>
          </w:p>
        </w:tc>
        <w:tc>
          <w:tcPr>
            <w:tcW w:type="dxa" w:w="77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最终源码包内 SOURCE_COMMIT.txt，并可与公开仓库 main 分支交叉核验</w:t>
            </w:r>
            <w:r>
              <w:rPr>
                <w:rFonts w:ascii="Menlo" w:hAnsi="Menlo" w:eastAsia="Songti SC" w:cs="Menlo"/>
                <w:color w:val="1F4E79"/>
                <w:sz w:val="17"/>
              </w:rPr>
            </w:r>
          </w:p>
        </w:tc>
      </w:tr>
    </w:tbl>
    <w:p>
      <w:pPr>
        <w:spacing w:after="40"/>
      </w:pPr>
    </w:p>
    <w:p>
      <w:pPr>
        <w:pStyle w:val="2"/>
        <w:keepNext/>
      </w:pPr>
      <w:r>
        <w:rPr>
          <w:rFonts w:ascii="Songti SC" w:hAnsi="Songti SC" w:eastAsia="Songti SC" w:cs="Songti SC"/>
          <w:b/>
          <w:color w:val="000000"/>
          <w:sz w:val="32"/>
        </w:rPr>
        <w:t>报告摘要</w:t>
      </w:r>
    </w:p>
    <w:p>
      <w:pPr>
        <w:pStyle w:val="4"/>
        <w:keepNext/>
      </w:pPr>
      <w:r>
        <w:rPr>
          <w:rFonts w:ascii="Songti SC" w:hAnsi="Songti SC" w:eastAsia="Songti SC" w:cs="Songti SC"/>
          <w:b/>
          <w:color w:val="000000"/>
          <w:sz w:val="23"/>
        </w:rPr>
        <w:t>核心要点</w:t>
      </w:r>
    </w:p>
    <w:p>
      <w:pPr>
        <w:widowControl/>
        <w:spacing w:line="324" w:lineRule="auto" w:after="60"/>
        <w:ind w:left="400" w:hanging="200"/>
        <w:jc w:val="left"/>
      </w:pPr>
      <w:r>
        <w:rPr>
          <w:rFonts w:ascii="Songti SC" w:hAnsi="Songti SC" w:eastAsia="Songti SC" w:cs="Songti SC"/>
          <w:b/>
          <w:color w:val="17365D"/>
          <w:sz w:val="23"/>
        </w:rPr>
        <w:t xml:space="preserve">• </w:t>
      </w:r>
      <w:r>
        <w:rPr>
          <w:rFonts w:ascii="Songti SC" w:hAnsi="Songti SC" w:eastAsia="Songti SC" w:cs="Songti SC"/>
          <w:b/>
          <w:color w:val="000000"/>
          <w:sz w:val="23"/>
        </w:rPr>
        <w:t>定位</w:t>
      </w:r>
      <w:r>
        <w:rPr>
          <w:rFonts w:ascii="Songti SC" w:hAnsi="Songti SC" w:eastAsia="Songti SC" w:cs="Songti SC"/>
          <w:color w:val="000000"/>
          <w:sz w:val="23"/>
        </w:rPr>
        <w:t>：面向公路、铁路、桥梁、隧道、港口和机场施工与运维现场的安全监测与质量管控，属交通全场景智能应用赛道“施工建造、运维养护、安全监测”环节。</w:t>
      </w:r>
    </w:p>
    <w:p>
      <w:pPr>
        <w:widowControl/>
        <w:spacing w:line="324" w:lineRule="auto" w:after="60"/>
        <w:ind w:left="400" w:hanging="200"/>
        <w:jc w:val="left"/>
      </w:pPr>
      <w:r>
        <w:rPr>
          <w:rFonts w:ascii="Songti SC" w:hAnsi="Songti SC" w:eastAsia="Songti SC" w:cs="Songti SC"/>
          <w:b/>
          <w:color w:val="17365D"/>
          <w:sz w:val="23"/>
        </w:rPr>
        <w:t xml:space="preserve">• </w:t>
      </w:r>
      <w:r>
        <w:rPr>
          <w:rFonts w:ascii="Songti SC" w:hAnsi="Songti SC" w:eastAsia="Songti SC" w:cs="Songti SC"/>
          <w:b/>
          <w:color w:val="000000"/>
          <w:sz w:val="23"/>
        </w:rPr>
        <w:t>闭环</w:t>
      </w:r>
      <w:r>
        <w:rPr>
          <w:rFonts w:ascii="Songti SC" w:hAnsi="Songti SC" w:eastAsia="Songti SC" w:cs="Songti SC"/>
          <w:color w:val="000000"/>
          <w:sz w:val="23"/>
        </w:rPr>
        <w:t>：感知（文字、照片、定位、扫码）→ 定位到构件 → 风险融合（只升不降）→ 时限与停工 → 有依据的专家研判 → 具名人员审批 → 派发整改 → 独立复检核验 → 关闭 → 沉淀先例。</w:t>
      </w:r>
    </w:p>
    <w:p>
      <w:pPr>
        <w:widowControl/>
        <w:spacing w:line="324" w:lineRule="auto" w:after="60"/>
        <w:ind w:left="400" w:hanging="200"/>
        <w:jc w:val="left"/>
      </w:pPr>
      <w:r>
        <w:rPr>
          <w:rFonts w:ascii="Songti SC" w:hAnsi="Songti SC" w:eastAsia="Songti SC" w:cs="Songti SC"/>
          <w:b/>
          <w:color w:val="17365D"/>
          <w:sz w:val="23"/>
        </w:rPr>
        <w:t xml:space="preserve">• </w:t>
      </w:r>
      <w:r>
        <w:rPr>
          <w:rFonts w:ascii="Songti SC" w:hAnsi="Songti SC" w:eastAsia="Songti SC" w:cs="Songti SC"/>
          <w:b/>
          <w:color w:val="000000"/>
          <w:sz w:val="23"/>
        </w:rPr>
        <w:t>关键创新</w:t>
      </w:r>
      <w:r>
        <w:rPr>
          <w:rFonts w:ascii="Songti SC" w:hAnsi="Songti SC" w:eastAsia="Songti SC" w:cs="Songti SC"/>
          <w:color w:val="000000"/>
          <w:sz w:val="23"/>
        </w:rPr>
        <w:t>：用“新照片、在现场、在派发之后、由他人复检”四个可计算条件证明问题真的被整改，而不是一句“已整改”。</w:t>
      </w:r>
    </w:p>
    <w:p>
      <w:pPr>
        <w:widowControl/>
        <w:spacing w:line="324" w:lineRule="auto" w:after="60"/>
        <w:ind w:left="400" w:hanging="200"/>
        <w:jc w:val="left"/>
      </w:pPr>
      <w:r>
        <w:rPr>
          <w:rFonts w:ascii="Songti SC" w:hAnsi="Songti SC" w:eastAsia="Songti SC" w:cs="Songti SC"/>
          <w:b/>
          <w:color w:val="17365D"/>
          <w:sz w:val="23"/>
        </w:rPr>
        <w:t xml:space="preserve">• </w:t>
      </w:r>
      <w:r>
        <w:rPr>
          <w:rFonts w:ascii="Songti SC" w:hAnsi="Songti SC" w:eastAsia="Songti SC" w:cs="Songti SC"/>
          <w:b/>
          <w:color w:val="000000"/>
          <w:sz w:val="23"/>
        </w:rPr>
        <w:t>智能体与工具</w:t>
      </w:r>
      <w:r>
        <w:rPr>
          <w:rFonts w:ascii="Songti SC" w:hAnsi="Songti SC" w:eastAsia="Songti SC" w:cs="Songti SC"/>
          <w:color w:val="000000"/>
          <w:sz w:val="23"/>
        </w:rPr>
        <w:t>：现场感知、项目调度和独立核验 3 个控制智能体，叠加 HSE、质量、设备吊装、施工 4 个专业智能体；REST API 与 MCP 服务可供巡检机器人、无人机和其他智能体调用；可选接入通义千问 VL 等 OpenAI 兼容视觉模型。</w:t>
      </w:r>
    </w:p>
    <w:p>
      <w:pPr>
        <w:widowControl/>
        <w:spacing w:line="324" w:lineRule="auto" w:after="60"/>
        <w:ind w:left="400" w:hanging="200"/>
        <w:jc w:val="left"/>
      </w:pPr>
      <w:r>
        <w:rPr>
          <w:rFonts w:ascii="Songti SC" w:hAnsi="Songti SC" w:eastAsia="Songti SC" w:cs="Songti SC"/>
          <w:b/>
          <w:color w:val="17365D"/>
          <w:sz w:val="23"/>
        </w:rPr>
        <w:t xml:space="preserve">• </w:t>
      </w:r>
      <w:r>
        <w:rPr>
          <w:rFonts w:ascii="Songti SC" w:hAnsi="Songti SC" w:eastAsia="Songti SC" w:cs="Songti SC"/>
          <w:b/>
          <w:color w:val="000000"/>
          <w:sz w:val="23"/>
        </w:rPr>
        <w:t>验证</w:t>
      </w:r>
      <w:r>
        <w:rPr>
          <w:rFonts w:ascii="Songti SC" w:hAnsi="Songti SC" w:eastAsia="Songti SC" w:cs="Songti SC"/>
          <w:color w:val="000000"/>
          <w:sz w:val="23"/>
        </w:rPr>
        <w:t>：34 项基准测试与 41 项自动化测试全部通过，覆盖 18 条中英文事件、10 个整改前后复检场景、6 项治理检查、整改照片上传、复检失败门禁以及模型和视觉路径的受控降级；均为合成数据环境下的工程验证。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InfraPilot AI 解决的是施工现场最常见、也最难管住的一类问题：隐患被发现以后，能不能被准确定位、及时处置、真正整改，并且有证据证明整改到位。一线人员只需用一句话加一张照片上报，系统自动定位到具体构件，判断风险等级并设定响应与关闭时限；专业智能体依据受控规程给出处置建议；经具名人员批准后派发给责任角色；整改完成后，必须由未参与整改的人提交在现场、在派发之后拍摄的新照片，独立复检七项核验全部通过才能关闭。关闭的事件自动成为同一构件、同类隐患的先例。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本作品以独立应用形式提交和部署。事件、资产、证据包和项目指标可通过 REST API 输出；MCP 只开放上报和查询，不开放审批、派发、复检和关闭。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参赛证据总览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895"/>
        <w:gridCol w:w="2895"/>
        <w:gridCol w:w="2895"/>
      </w:tblGrid>
      <w:tr>
        <w:trPr>
          <w:cantSplit w:val="true"/>
          <w:tblHeader w:val="true"/>
        </w:trPr>
        <w:tc>
          <w:tcPr>
            <w:tcW w:type="dxa" w:w="80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证据类别</w:t>
            </w:r>
          </w:p>
        </w:tc>
        <w:tc>
          <w:tcPr>
            <w:tcW w:type="dxa" w:w="47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当前可复核证据</w:t>
            </w:r>
          </w:p>
        </w:tc>
        <w:tc>
          <w:tcPr>
            <w:tcW w:type="dxa" w:w="31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适用边界</w:t>
            </w:r>
          </w:p>
        </w:tc>
      </w:tr>
      <w:tr>
        <w:trPr>
          <w:cantSplit w:val="true"/>
        </w:trPr>
        <w:tc>
          <w:tcPr>
            <w:tcW w:type="dxa" w:w="80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在线系统</w:t>
            </w:r>
          </w:p>
        </w:tc>
        <w:tc>
          <w:tcPr>
            <w:tcW w:type="dxa" w:w="47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Railway production 公网服务、健康检查、项目指挥中心和移动端页面</w:t>
            </w:r>
          </w:p>
        </w:tc>
        <w:tc>
          <w:tcPr>
            <w:tcW w:type="dxa" w:w="31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公开环境使用合成项目、构件、事件和照片</w:t>
            </w:r>
          </w:p>
        </w:tc>
      </w:tr>
      <w:tr>
        <w:trPr>
          <w:cantSplit w:val="true"/>
        </w:trPr>
        <w:tc>
          <w:tcPr>
            <w:tcW w:type="dxa" w:w="80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闭环证据</w:t>
            </w:r>
          </w:p>
        </w:tc>
        <w:tc>
          <w:tcPr>
            <w:tcW w:type="dxa" w:w="47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上报、研判、具名审批、派发、整改、七项复检、关闭和先例沉淀</w:t>
            </w:r>
          </w:p>
        </w:tc>
        <w:tc>
          <w:tcPr>
            <w:tcW w:type="dxa" w:w="31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参考实现只生成内部任务与回执，不向外部系统直接发送指令</w:t>
            </w:r>
          </w:p>
        </w:tc>
      </w:tr>
      <w:tr>
        <w:trPr>
          <w:cantSplit w:val="true"/>
        </w:trPr>
        <w:tc>
          <w:tcPr>
            <w:tcW w:type="dxa" w:w="80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评测证据</w:t>
            </w:r>
          </w:p>
        </w:tc>
        <w:tc>
          <w:tcPr>
            <w:tcW w:type="dxa" w:w="47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34 项基准和 41 项自动化测试全部通过</w:t>
            </w:r>
          </w:p>
        </w:tc>
        <w:tc>
          <w:tcPr>
            <w:tcW w:type="dxa" w:w="31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只证明固定合成测试集上的可复现性</w:t>
            </w:r>
          </w:p>
        </w:tc>
      </w:tr>
      <w:tr>
        <w:trPr>
          <w:cantSplit w:val="true"/>
        </w:trPr>
        <w:tc>
          <w:tcPr>
            <w:tcW w:type="dxa" w:w="80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空间证据</w:t>
            </w:r>
          </w:p>
        </w:tc>
        <w:tc>
          <w:tcPr>
            <w:tcW w:type="dxa" w:w="47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构件登记、二维码、GPS、EXIF 与电子围栏</w:t>
            </w:r>
          </w:p>
        </w:tc>
        <w:tc>
          <w:tcPr>
            <w:tcW w:type="dxa" w:w="31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缺少定位时必须由独立复检人现场确认并留痕</w:t>
            </w:r>
          </w:p>
        </w:tc>
      </w:tr>
      <w:tr>
        <w:trPr>
          <w:cantSplit w:val="true"/>
        </w:trPr>
        <w:tc>
          <w:tcPr>
            <w:tcW w:type="dxa" w:w="80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模型证据</w:t>
            </w:r>
          </w:p>
        </w:tc>
        <w:tc>
          <w:tcPr>
            <w:tcW w:type="dxa" w:w="47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OpenAI 兼容视觉模型接口、受控分类与确定性降级</w:t>
            </w:r>
          </w:p>
        </w:tc>
        <w:tc>
          <w:tcPr>
            <w:tcW w:type="dxa" w:w="31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未经真实脱敏照片盲测前，不宣称现场视觉识别准确率</w:t>
            </w:r>
          </w:p>
        </w:tc>
      </w:tr>
    </w:tbl>
    <w:p>
      <w:pPr>
        <w:spacing w:after="40"/>
      </w:pP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黄金业务主线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评审演示从“P47 墩临边防护缺失，工人在高处作业未系安全带”开始。系统将文字、照片和构件号绑定到空间资产，风险融合只能提高风险，随后路由至 HSE 智能体检索受控依据并提出停工整改建议。具名人员审批后生成带责任人和时限的任务。演示先故意复用整改前照片，系统依据 SHA-256、感知哈希和拍摄时间拒绝关单；再提交派发后、位于现场、由独立人员拍摄的新照片，七项检查全部通过后关闭事件，并将其沉淀为同构件和同类隐患的先例。</w:t>
      </w:r>
    </w:p>
    <w:p>
      <w:pPr>
        <w:pStyle w:val="2"/>
        <w:keepNext/>
      </w:pPr>
      <w:r>
        <w:rPr>
          <w:rFonts w:ascii="Songti SC" w:hAnsi="Songti SC" w:eastAsia="Songti SC" w:cs="Songti SC"/>
          <w:b/>
          <w:color w:val="000000"/>
          <w:sz w:val="32"/>
        </w:rPr>
        <w:t>一、应用场景介绍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（一）行业背景与业务现状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交通基础设施工程体量大、作业面分散、交叉作业多，高处作业、临边、吊装、深基坑、临时用电等高风险作业贯穿施工全过程；进入运营期后，桥梁支座、伸缩缝、隧道衬砌等构件的病害需要持续巡检和闭环处置。现场问题的发现和处置目前主要依靠巡查人员拍照、即时消息转述、纸质或表格台账登记，再由管理人员人工分派和跟踪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（二）核心痛点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895"/>
        <w:gridCol w:w="2895"/>
        <w:gridCol w:w="2895"/>
      </w:tblGrid>
      <w:tr>
        <w:trPr>
          <w:cantSplit w:val="true"/>
          <w:tblHeader w:val="true"/>
        </w:trPr>
        <w:tc>
          <w:tcPr>
            <w:tcW w:type="dxa" w:w="12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痛点</w:t>
            </w:r>
          </w:p>
        </w:tc>
        <w:tc>
          <w:tcPr>
            <w:tcW w:type="dxa" w:w="466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现状表现</w:t>
            </w:r>
          </w:p>
        </w:tc>
        <w:tc>
          <w:tcPr>
            <w:tcW w:type="dxa" w:w="276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业务后果</w:t>
            </w:r>
          </w:p>
        </w:tc>
      </w:tr>
      <w:tr>
        <w:trPr>
          <w:cantSplit w:val="true"/>
        </w:trPr>
        <w:tc>
          <w:tcPr>
            <w:tcW w:type="dxa" w:w="12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定位不清</w:t>
            </w:r>
          </w:p>
        </w:tc>
        <w:tc>
          <w:tcPr>
            <w:tcW w:type="dxa" w:w="466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消息里只写“桥上”“那边”，照片看不出是哪个墩</w:t>
            </w:r>
          </w:p>
        </w:tc>
        <w:tc>
          <w:tcPr>
            <w:tcW w:type="dxa" w:w="276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派错人、找不到现场，重复上报</w:t>
            </w:r>
          </w:p>
        </w:tc>
      </w:tr>
      <w:tr>
        <w:trPr>
          <w:cantSplit w:val="true"/>
        </w:trPr>
        <w:tc>
          <w:tcPr>
            <w:tcW w:type="dxa" w:w="12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风险低报</w:t>
            </w:r>
          </w:p>
        </w:tc>
        <w:tc>
          <w:tcPr>
            <w:tcW w:type="dxa" w:w="466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上报人按经验填写“一般”，高风险隐患被延后</w:t>
            </w:r>
          </w:p>
        </w:tc>
        <w:tc>
          <w:tcPr>
            <w:tcW w:type="dxa" w:w="276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本应立即停工的作业继续进行</w:t>
            </w:r>
          </w:p>
        </w:tc>
      </w:tr>
      <w:tr>
        <w:trPr>
          <w:cantSplit w:val="true"/>
        </w:trPr>
        <w:tc>
          <w:tcPr>
            <w:tcW w:type="dxa" w:w="12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处置无据</w:t>
            </w:r>
          </w:p>
        </w:tc>
        <w:tc>
          <w:tcPr>
            <w:tcW w:type="dxa" w:w="466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处置要求凭经验口头下达</w:t>
            </w:r>
          </w:p>
        </w:tc>
        <w:tc>
          <w:tcPr>
            <w:tcW w:type="dxa" w:w="276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措施不到位，同类问题反复出现</w:t>
            </w:r>
          </w:p>
        </w:tc>
      </w:tr>
      <w:tr>
        <w:trPr>
          <w:cantSplit w:val="true"/>
        </w:trPr>
        <w:tc>
          <w:tcPr>
            <w:tcW w:type="dxa" w:w="12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整改不实</w:t>
            </w:r>
          </w:p>
        </w:tc>
        <w:tc>
          <w:tcPr>
            <w:tcW w:type="dxa" w:w="466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“已整改”只是一句回复，复查照片可能是旧照片或别处照片</w:t>
            </w:r>
          </w:p>
        </w:tc>
        <w:tc>
          <w:tcPr>
            <w:tcW w:type="dxa" w:w="276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隐患未消除即被关闭，事故风险累积</w:t>
            </w:r>
          </w:p>
        </w:tc>
      </w:tr>
      <w:tr>
        <w:trPr>
          <w:cantSplit w:val="true"/>
        </w:trPr>
        <w:tc>
          <w:tcPr>
            <w:tcW w:type="dxa" w:w="12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时限失控</w:t>
            </w:r>
          </w:p>
        </w:tc>
        <w:tc>
          <w:tcPr>
            <w:tcW w:type="dxa" w:w="466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没有按风险设定的时限，超期无人提醒</w:t>
            </w:r>
          </w:p>
        </w:tc>
        <w:tc>
          <w:tcPr>
            <w:tcW w:type="dxa" w:w="276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高风险问题拖延数日</w:t>
            </w:r>
          </w:p>
        </w:tc>
      </w:tr>
      <w:tr>
        <w:trPr>
          <w:cantSplit w:val="true"/>
        </w:trPr>
        <w:tc>
          <w:tcPr>
            <w:tcW w:type="dxa" w:w="121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经验流失</w:t>
            </w:r>
          </w:p>
        </w:tc>
        <w:tc>
          <w:tcPr>
            <w:tcW w:type="dxa" w:w="466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处置记录散落在聊天记录中</w:t>
            </w:r>
          </w:p>
        </w:tc>
        <w:tc>
          <w:tcPr>
            <w:tcW w:type="dxa" w:w="276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同一构件、同类隐患无法借鉴</w:t>
            </w:r>
          </w:p>
        </w:tc>
      </w:tr>
    </w:tbl>
    <w:p>
      <w:pPr>
        <w:spacing w:after="40"/>
      </w:pP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（三）业务需求与落地价值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本应用面向施工建造期的安全监测与质量管控，以及运维养护期的构件病害处置，满足以下需求：一次上报即定位到登记构件；风险由系统按信号判定且只升不降；高风险自动提示停工；处置建议引用受控规程；审批、派发、整改、复检、关闭各有其人、各留其证；复检用可计算的照片证据证明整改。落地价值在于把“发现—处置—证明关闭”从人工转述变成可追踪、可核验、可统计的闭环，为项目安全质量管理提供可信数据。</w:t>
      </w:r>
    </w:p>
    <w:p>
      <w:pPr>
        <w:pStyle w:val="2"/>
        <w:keepNext/>
      </w:pPr>
      <w:r>
        <w:rPr>
          <w:rFonts w:ascii="Songti SC" w:hAnsi="Songti SC" w:eastAsia="Songti SC" w:cs="Songti SC"/>
          <w:b/>
          <w:color w:val="000000"/>
          <w:sz w:val="32"/>
        </w:rPr>
        <w:t>二、总体方案与架构设计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（一）系统架构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-infrapil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276" w:lineRule="auto" w:before="60" w:after="160"/>
        <w:jc w:val="center"/>
      </w:pPr>
      <w:r>
        <w:rPr>
          <w:rFonts w:ascii="Songti SC" w:hAnsi="Songti SC" w:eastAsia="Songti SC" w:cs="Songti SC"/>
          <w:color w:val="000000"/>
          <w:sz w:val="19"/>
        </w:rPr>
        <w:t>图 1 InfraPilot AI 总体架构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系统分为五层。接入层提供面向手机的现场端、REST API 和 MCP 服务；感知层对照片做文件签名校验、SHA-256 去重、感知哈希计算和 EXIF 时间与定位提取，可选调用视觉模型；决策层完成构件定位、风险融合、证据路由的专家研判和时限设定；执行层由具名人员审批、派发任务、登记整改并独立复检；沉淀层保存回执和审计轨迹，形成先例与看板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（二）多智能体协同方案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系统内置四个专业智能体：HSE 智能体、质量智能体、设备吊装智能体和施工智能体。它们不是固定参与，而是按事件检索到的受控依据所属领域动态组队：某一领域的最佳依据得分达到首要领域的 60% 才加入；风险为高或紧急时 HSE 智能体必定加入。每个智能体只能引用本次检索到的本领域依据形成结论，没有依据时如实报告“证据缺口”并向人提出补充问题，不会编造措施。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（三）工具组件与 MCP 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895"/>
        <w:gridCol w:w="2895"/>
        <w:gridCol w:w="2895"/>
      </w:tblGrid>
      <w:tr>
        <w:trPr>
          <w:cantSplit w:val="true"/>
          <w:tblHeader w:val="true"/>
        </w:trPr>
        <w:tc>
          <w:tcPr>
            <w:tcW w:type="dxa" w:w="7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632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15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调用方</w:t>
            </w:r>
          </w:p>
        </w:tc>
      </w:tr>
      <w:tr>
        <w:trPr>
          <w:cantSplit w:val="true"/>
        </w:trPr>
        <w:tc>
          <w:tcPr>
            <w:tcW w:type="dxa" w:w="7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照片接入组件</w:t>
            </w:r>
          </w:p>
        </w:tc>
        <w:tc>
          <w:tcPr>
            <w:tcW w:type="dxa" w:w="632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签名校验、去重、感知哈希、EXIF 提取</w:t>
            </w:r>
          </w:p>
        </w:tc>
        <w:tc>
          <w:tcPr>
            <w:tcW w:type="dxa" w:w="15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现场端、API</w:t>
            </w:r>
          </w:p>
        </w:tc>
      </w:tr>
      <w:tr>
        <w:trPr>
          <w:cantSplit w:val="true"/>
        </w:trPr>
        <w:tc>
          <w:tcPr>
            <w:tcW w:type="dxa" w:w="7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构件定位组件</w:t>
            </w:r>
          </w:p>
        </w:tc>
        <w:tc>
          <w:tcPr>
            <w:tcW w:type="dxa" w:w="632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 xml:space="preserve">编号、扫码载荷 </w:t>
            </w:r>
            <w:r>
              <w:rPr>
                <w:rFonts w:ascii="Menlo" w:hAnsi="Menlo" w:eastAsia="Songti SC" w:cs="Menlo"/>
                <w:color w:val="1F4E79"/>
                <w:sz w:val="17"/>
              </w:rPr>
              <w:t>asset:P47</w:t>
            </w:r>
            <w:r>
              <w:rPr>
                <w:rFonts w:ascii="Songti SC" w:hAnsi="Songti SC" w:eastAsia="Songti SC" w:cs="Songti SC"/>
                <w:color w:val="000000"/>
                <w:sz w:val="18"/>
              </w:rPr>
              <w:t>、GPS、照片定位匹配构件与电子围栏</w:t>
            </w:r>
          </w:p>
        </w:tc>
        <w:tc>
          <w:tcPr>
            <w:tcW w:type="dxa" w:w="15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上报流程</w:t>
            </w:r>
          </w:p>
        </w:tc>
      </w:tr>
      <w:tr>
        <w:trPr>
          <w:cantSplit w:val="true"/>
        </w:trPr>
        <w:tc>
          <w:tcPr>
            <w:tcW w:type="dxa" w:w="7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风险与时限组件</w:t>
            </w:r>
          </w:p>
        </w:tc>
        <w:tc>
          <w:tcPr>
            <w:tcW w:type="dxa" w:w="632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中英文词边界规则、三方风险融合、停工判断、响应与关闭时限</w:t>
            </w:r>
          </w:p>
        </w:tc>
        <w:tc>
          <w:tcPr>
            <w:tcW w:type="dxa" w:w="15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上报流程</w:t>
            </w:r>
          </w:p>
        </w:tc>
      </w:tr>
      <w:tr>
        <w:trPr>
          <w:cantSplit w:val="true"/>
        </w:trPr>
        <w:tc>
          <w:tcPr>
            <w:tcW w:type="dxa" w:w="7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知识检索组件</w:t>
            </w:r>
          </w:p>
        </w:tc>
        <w:tc>
          <w:tcPr>
            <w:tcW w:type="dxa" w:w="632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受控规程包的 BM25 检索（英文分词、中文双字切分）</w:t>
            </w:r>
          </w:p>
        </w:tc>
        <w:tc>
          <w:tcPr>
            <w:tcW w:type="dxa" w:w="15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专业智能体</w:t>
            </w:r>
          </w:p>
        </w:tc>
      </w:tr>
      <w:tr>
        <w:trPr>
          <w:cantSplit w:val="true"/>
        </w:trPr>
        <w:tc>
          <w:tcPr>
            <w:tcW w:type="dxa" w:w="7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复检核验组件</w:t>
            </w:r>
          </w:p>
        </w:tc>
        <w:tc>
          <w:tcPr>
            <w:tcW w:type="dxa" w:w="632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七项可计算核验，生成核验回执</w:t>
            </w:r>
          </w:p>
        </w:tc>
        <w:tc>
          <w:tcPr>
            <w:tcW w:type="dxa" w:w="15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复检流程</w:t>
            </w:r>
          </w:p>
        </w:tc>
      </w:tr>
      <w:tr>
        <w:trPr>
          <w:cantSplit w:val="true"/>
        </w:trPr>
        <w:tc>
          <w:tcPr>
            <w:tcW w:type="dxa" w:w="73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MCP 服务</w:t>
            </w:r>
          </w:p>
        </w:tc>
        <w:tc>
          <w:tcPr>
            <w:tcW w:type="dxa" w:w="632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Menlo" w:hAnsi="Menlo" w:eastAsia="Songti SC" w:cs="Menlo"/>
                <w:color w:val="1F4E79"/>
                <w:sz w:val="17"/>
              </w:rPr>
              <w:t>report_observation</w:t>
            </w:r>
            <w:r>
              <w:rPr>
                <w:rFonts w:ascii="Songti SC" w:hAnsi="Songti SC" w:eastAsia="Songti SC" w:cs="Songti SC"/>
                <w:color w:val="000000"/>
                <w:sz w:val="18"/>
              </w:rPr>
              <w:t>、</w:t>
            </w:r>
            <w:r>
              <w:rPr>
                <w:rFonts w:ascii="Menlo" w:hAnsi="Menlo" w:eastAsia="Songti SC" w:cs="Menlo"/>
                <w:color w:val="1F4E79"/>
                <w:sz w:val="17"/>
              </w:rPr>
              <w:t>get_event</w:t>
            </w:r>
            <w:r>
              <w:rPr>
                <w:rFonts w:ascii="Songti SC" w:hAnsi="Songti SC" w:eastAsia="Songti SC" w:cs="Songti SC"/>
                <w:color w:val="000000"/>
                <w:sz w:val="18"/>
              </w:rPr>
              <w:t>、</w:t>
            </w:r>
            <w:r>
              <w:rPr>
                <w:rFonts w:ascii="Menlo" w:hAnsi="Menlo" w:eastAsia="Songti SC" w:cs="Menlo"/>
                <w:color w:val="1F4E79"/>
                <w:sz w:val="17"/>
              </w:rPr>
              <w:t>list_events</w:t>
            </w:r>
            <w:r>
              <w:rPr>
                <w:rFonts w:ascii="Songti SC" w:hAnsi="Songti SC" w:eastAsia="Songti SC" w:cs="Songti SC"/>
                <w:color w:val="000000"/>
                <w:sz w:val="18"/>
              </w:rPr>
              <w:t>、</w:t>
            </w:r>
            <w:r>
              <w:rPr>
                <w:rFonts w:ascii="Menlo" w:hAnsi="Menlo" w:eastAsia="Songti SC" w:cs="Menlo"/>
                <w:color w:val="1F4E79"/>
                <w:sz w:val="17"/>
              </w:rPr>
              <w:t>field_dashboard</w:t>
            </w:r>
            <w:r>
              <w:rPr>
                <w:rFonts w:ascii="Songti SC" w:hAnsi="Songti SC" w:eastAsia="Songti SC" w:cs="Songti SC"/>
                <w:color w:val="000000"/>
                <w:sz w:val="18"/>
              </w:rPr>
              <w:t>、</w:t>
            </w:r>
            <w:r>
              <w:rPr>
                <w:rFonts w:ascii="Menlo" w:hAnsi="Menlo" w:eastAsia="Songti SC" w:cs="Menlo"/>
                <w:color w:val="1F4E79"/>
                <w:sz w:val="17"/>
              </w:rPr>
              <w:t>list_assets</w:t>
            </w:r>
          </w:p>
        </w:tc>
        <w:tc>
          <w:tcPr>
            <w:tcW w:type="dxa" w:w="15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巡检机器人、无人机、上层智能体</w:t>
            </w:r>
          </w:p>
        </w:tc>
      </w:tr>
    </w:tbl>
    <w:p>
      <w:pPr>
        <w:spacing w:after="40"/>
      </w:pP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MCP 服务基于官方 MCP Python SDK v2，只开放上报与查询；审批、派发、整改完成、复检和关闭不通过 MCP 暴露，必须由具名人员在现场端完成。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（四）外部数据与业务系统对接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构件登记表（编号、名称、类型、坐标、电子围栏半径、区段）以文件形式配置，可由 BIM 构件清单或资产台账导出；规程知识以版本化的知识包加载，可替换为企业受控规程库；REST API 可与项目 HSE、质量（NCR）系统和移动审批对接。参考实现不向任何外部系统发送指令或消息，派发只生成内部任务与回执。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（五）感知—决策—执行闭环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895"/>
        <w:gridCol w:w="2895"/>
        <w:gridCol w:w="2895"/>
      </w:tblGrid>
      <w:tr>
        <w:trPr>
          <w:cantSplit w:val="true"/>
          <w:tblHeader w:val="true"/>
        </w:trPr>
        <w:tc>
          <w:tcPr>
            <w:tcW w:type="dxa" w:w="131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319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系统动作</w:t>
            </w:r>
          </w:p>
        </w:tc>
        <w:tc>
          <w:tcPr>
            <w:tcW w:type="dxa" w:w="41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产出</w:t>
            </w:r>
          </w:p>
        </w:tc>
      </w:tr>
      <w:tr>
        <w:trPr>
          <w:cantSplit w:val="true"/>
        </w:trPr>
        <w:tc>
          <w:tcPr>
            <w:tcW w:type="dxa" w:w="131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感知</w:t>
            </w:r>
          </w:p>
        </w:tc>
        <w:tc>
          <w:tcPr>
            <w:tcW w:type="dxa" w:w="319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接收文字、照片、定位、扫码</w:t>
            </w:r>
          </w:p>
        </w:tc>
        <w:tc>
          <w:tcPr>
            <w:tcW w:type="dxa" w:w="41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事件、证据照片、感知哈希、拍摄时间与定位</w:t>
            </w:r>
          </w:p>
        </w:tc>
      </w:tr>
      <w:tr>
        <w:trPr>
          <w:cantSplit w:val="true"/>
        </w:trPr>
        <w:tc>
          <w:tcPr>
            <w:tcW w:type="dxa" w:w="131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决策</w:t>
            </w:r>
          </w:p>
        </w:tc>
        <w:tc>
          <w:tcPr>
            <w:tcW w:type="dxa" w:w="319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定位构件、风险融合、证据路由研判</w:t>
            </w:r>
          </w:p>
        </w:tc>
        <w:tc>
          <w:tcPr>
            <w:tcW w:type="dxa" w:w="41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风险等级、停工提示、时限、带引用的结论和任务</w:t>
            </w:r>
          </w:p>
        </w:tc>
      </w:tr>
      <w:tr>
        <w:trPr>
          <w:cantSplit w:val="true"/>
        </w:trPr>
        <w:tc>
          <w:tcPr>
            <w:tcW w:type="dxa" w:w="131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授权</w:t>
            </w:r>
          </w:p>
        </w:tc>
        <w:tc>
          <w:tcPr>
            <w:tcW w:type="dxa" w:w="319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具名人员批准处置计划</w:t>
            </w:r>
          </w:p>
        </w:tc>
        <w:tc>
          <w:tcPr>
            <w:tcW w:type="dxa" w:w="41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审批回执</w:t>
            </w:r>
          </w:p>
        </w:tc>
      </w:tr>
      <w:tr>
        <w:trPr>
          <w:cantSplit w:val="true"/>
        </w:trPr>
        <w:tc>
          <w:tcPr>
            <w:tcW w:type="dxa" w:w="131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执行</w:t>
            </w:r>
          </w:p>
        </w:tc>
        <w:tc>
          <w:tcPr>
            <w:tcW w:type="dxa" w:w="319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派发任务给责任角色，责任人登记完成</w:t>
            </w:r>
          </w:p>
        </w:tc>
        <w:tc>
          <w:tcPr>
            <w:tcW w:type="dxa" w:w="41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派发回执、任务完成记录</w:t>
            </w:r>
          </w:p>
        </w:tc>
      </w:tr>
      <w:tr>
        <w:trPr>
          <w:cantSplit w:val="true"/>
        </w:trPr>
        <w:tc>
          <w:tcPr>
            <w:tcW w:type="dxa" w:w="131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核验</w:t>
            </w:r>
          </w:p>
        </w:tc>
        <w:tc>
          <w:tcPr>
            <w:tcW w:type="dxa" w:w="319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独立复检提交整改后照片</w:t>
            </w:r>
          </w:p>
        </w:tc>
        <w:tc>
          <w:tcPr>
            <w:tcW w:type="dxa" w:w="41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七项核验回执</w:t>
            </w:r>
          </w:p>
        </w:tc>
      </w:tr>
      <w:tr>
        <w:trPr>
          <w:cantSplit w:val="true"/>
        </w:trPr>
        <w:tc>
          <w:tcPr>
            <w:tcW w:type="dxa" w:w="131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关闭与沉淀</w:t>
            </w:r>
          </w:p>
        </w:tc>
        <w:tc>
          <w:tcPr>
            <w:tcW w:type="dxa" w:w="319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具名人员关闭，事件进入先例库</w:t>
            </w:r>
          </w:p>
        </w:tc>
        <w:tc>
          <w:tcPr>
            <w:tcW w:type="dxa" w:w="41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关闭记录、先例、看板指标</w:t>
            </w:r>
          </w:p>
        </w:tc>
      </w:tr>
    </w:tbl>
    <w:p>
      <w:pPr>
        <w:spacing w:after="40"/>
      </w:pPr>
    </w:p>
    <w:p>
      <w:pPr>
        <w:pStyle w:val="2"/>
        <w:keepNext/>
      </w:pPr>
      <w:r>
        <w:rPr>
          <w:rFonts w:ascii="Songti SC" w:hAnsi="Songti SC" w:eastAsia="Songti SC" w:cs="Songti SC"/>
          <w:b/>
          <w:color w:val="000000"/>
          <w:sz w:val="32"/>
        </w:rPr>
        <w:t>三、关键技术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（一）照片证据感知</w:t>
      </w:r>
    </w:p>
    <w:p>
      <w:pPr>
        <w:widowControl/>
        <w:spacing w:line="324" w:lineRule="auto" w:after="60"/>
        <w:ind w:left="400" w:hanging="200"/>
        <w:jc w:val="left"/>
      </w:pPr>
      <w:r>
        <w:rPr>
          <w:rFonts w:ascii="Songti SC" w:hAnsi="Songti SC" w:eastAsia="Songti SC" w:cs="Songti SC"/>
          <w:b/>
          <w:color w:val="17365D"/>
          <w:sz w:val="23"/>
        </w:rPr>
        <w:t xml:space="preserve">• </w:t>
      </w:r>
      <w:r>
        <w:rPr>
          <w:rFonts w:ascii="Songti SC" w:hAnsi="Songti SC" w:eastAsia="Songti SC" w:cs="Songti SC"/>
          <w:b/>
          <w:color w:val="000000"/>
          <w:sz w:val="23"/>
        </w:rPr>
        <w:t>文件签名校验</w:t>
      </w:r>
      <w:r>
        <w:rPr>
          <w:rFonts w:ascii="Songti SC" w:hAnsi="Songti SC" w:eastAsia="Songti SC" w:cs="Songti SC"/>
          <w:color w:val="000000"/>
          <w:sz w:val="23"/>
        </w:rPr>
        <w:t>：按文件头识别 JPEG、PNG、WebP、WAV、MP4，不信任文件扩展名和声明类型，伪装成图片的脚本会被拒绝。</w:t>
      </w:r>
    </w:p>
    <w:p>
      <w:pPr>
        <w:widowControl/>
        <w:spacing w:line="324" w:lineRule="auto" w:after="60"/>
        <w:ind w:left="400" w:hanging="200"/>
        <w:jc w:val="left"/>
      </w:pPr>
      <w:r>
        <w:rPr>
          <w:rFonts w:ascii="Songti SC" w:hAnsi="Songti SC" w:eastAsia="Songti SC" w:cs="Songti SC"/>
          <w:b/>
          <w:color w:val="17365D"/>
          <w:sz w:val="23"/>
        </w:rPr>
        <w:t xml:space="preserve">• </w:t>
      </w:r>
      <w:r>
        <w:rPr>
          <w:rFonts w:ascii="Songti SC" w:hAnsi="Songti SC" w:eastAsia="Songti SC" w:cs="Songti SC"/>
          <w:b/>
          <w:color w:val="000000"/>
          <w:sz w:val="23"/>
        </w:rPr>
        <w:t>内容寻址</w:t>
      </w:r>
      <w:r>
        <w:rPr>
          <w:rFonts w:ascii="Songti SC" w:hAnsi="Songti SC" w:eastAsia="Songti SC" w:cs="Songti SC"/>
          <w:color w:val="000000"/>
          <w:sz w:val="23"/>
        </w:rPr>
        <w:t>：每份媒体按 SHA-256 存储，重复上传只保留一份，任何引用都能定位到确定的原件。</w:t>
      </w:r>
    </w:p>
    <w:p>
      <w:pPr>
        <w:widowControl/>
        <w:spacing w:line="324" w:lineRule="auto" w:after="60"/>
        <w:ind w:left="400" w:hanging="200"/>
        <w:jc w:val="left"/>
      </w:pPr>
      <w:r>
        <w:rPr>
          <w:rFonts w:ascii="Songti SC" w:hAnsi="Songti SC" w:eastAsia="Songti SC" w:cs="Songti SC"/>
          <w:b/>
          <w:color w:val="17365D"/>
          <w:sz w:val="23"/>
        </w:rPr>
        <w:t xml:space="preserve">• </w:t>
      </w:r>
      <w:r>
        <w:rPr>
          <w:rFonts w:ascii="Songti SC" w:hAnsi="Songti SC" w:eastAsia="Songti SC" w:cs="Songti SC"/>
          <w:b/>
          <w:color w:val="000000"/>
          <w:sz w:val="23"/>
        </w:rPr>
        <w:t>行列差分感知哈希</w:t>
      </w:r>
      <w:r>
        <w:rPr>
          <w:rFonts w:ascii="Songti SC" w:hAnsi="Songti SC" w:eastAsia="Songti SC" w:cs="Songti SC"/>
          <w:color w:val="000000"/>
          <w:sz w:val="23"/>
        </w:rPr>
        <w:t>：把照片缩放为 16×17 和 17×16 两幅灰度图，分别比较相邻像素得到 512 位哈希。重新压缩或缩小后的同一张照片距离不超过 5 位，而加装了水平防护栏杆的整改后照片距离达到 20 位以上。仅用行方向差分时，水平栏杆几乎不改变哈希（实测距离仅 5 位），因此本作品同时使用行、列两个方向。</w:t>
      </w:r>
    </w:p>
    <w:p>
      <w:pPr>
        <w:widowControl/>
        <w:spacing w:line="324" w:lineRule="auto" w:after="60"/>
        <w:ind w:left="400" w:hanging="200"/>
        <w:jc w:val="left"/>
      </w:pPr>
      <w:r>
        <w:rPr>
          <w:rFonts w:ascii="Songti SC" w:hAnsi="Songti SC" w:eastAsia="Songti SC" w:cs="Songti SC"/>
          <w:b/>
          <w:color w:val="17365D"/>
          <w:sz w:val="23"/>
        </w:rPr>
        <w:t xml:space="preserve">• </w:t>
      </w:r>
      <w:r>
        <w:rPr>
          <w:rFonts w:ascii="Songti SC" w:hAnsi="Songti SC" w:eastAsia="Songti SC" w:cs="Songti SC"/>
          <w:b/>
          <w:color w:val="000000"/>
          <w:sz w:val="23"/>
        </w:rPr>
        <w:t>EXIF 时间与定位</w:t>
      </w:r>
      <w:r>
        <w:rPr>
          <w:rFonts w:ascii="Songti SC" w:hAnsi="Songti SC" w:eastAsia="Songti SC" w:cs="Songti SC"/>
          <w:color w:val="000000"/>
          <w:sz w:val="23"/>
        </w:rPr>
        <w:t>：读取拍摄时间（含时区偏移）和 GPS 坐标，用于判断照片是否在派发之后、是否在构件电子围栏内拍摄。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（二）构件定位与电子围栏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定位依次采用：人工选择的构件编号、扫码载荷、文本中的构件编号、上报定位、照片 EXIF 定位。坐标定位时取最近的登记构件，并要求距离在该构件的电子围栏半径以内（墩柱 120 米、车站 250 米、支座 80 米），超出则标记为“未定位”而不是猜测。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（三）风险融合与时限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风险规则按中英文分别处理：英文按词边界匹配，避免 “knowledge” 中的 “edge”、“ledge”、“edgeless” 误触发高处作业规则；中文按词组匹配。最终风险取上报人、文字信号和视觉模型三者中的最高值，只升不降。风险决定时限：紧急 1 小时响应、24 小时关闭；高 4 小时、72 小时；中 24 小时、7 天；低 72 小时、14 天。紧急风险或带明确信号的高风险自动提示停工。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（四）大模型集成方案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视觉模型为可选能力，通过 OpenAI 兼容接口接入，兼容通义千问 VL、本地多模态模型等。模型输出受 JSON Schema 约束，只能从 10 类隐患（无防护临边、无坠落防护、吊物、敞开基坑、带电裸露、坍塌、结构裂缝、通道堵塞、文明施工、个人防护缺失）中选择，置信度不低于 0.5 且必须说明可见依据，否则丢弃。模型结果只能提高风险；复检时若模型仍识别出隐患，复检不通过。上报人的描述作为不可信数据包裹后传给模型，其中的指令不会被执行。未配置模型时系统使用确定性规则，界面明确显示“未配置视觉模型”，不宣称具备图像识别能力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（五）证据驱动的专家研判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知识包中的每条规程带编号、版本、领域和内容摘要（SHA-256）。检索采用 BM25：英文按词并去停用词，中文按双字切分；一条依据至少要命中两个有效词并超过分数阈值才算证据，单个通用词不算。专家智能体按领域筛选依据，置信度由依据得分计算，而不是固定数值。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（六）独立复检核验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343"/>
        <w:gridCol w:w="4343"/>
      </w:tblGrid>
      <w:tr>
        <w:trPr>
          <w:cantSplit w:val="true"/>
          <w:tblHeader w:val="true"/>
        </w:trPr>
        <w:tc>
          <w:tcPr>
            <w:tcW w:type="dxa" w:w="17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核验项</w:t>
            </w:r>
          </w:p>
        </w:tc>
        <w:tc>
          <w:tcPr>
            <w:tcW w:type="dxa" w:w="687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判定方法</w:t>
            </w:r>
          </w:p>
        </w:tc>
      </w:tr>
      <w:tr>
        <w:trPr>
          <w:cantSplit w:val="true"/>
        </w:trPr>
        <w:tc>
          <w:tcPr>
            <w:tcW w:type="dxa" w:w="17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全部整改任务已完成</w:t>
            </w:r>
          </w:p>
        </w:tc>
        <w:tc>
          <w:tcPr>
            <w:tcW w:type="dxa" w:w="687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所有任务状态为已完成</w:t>
            </w:r>
          </w:p>
        </w:tc>
      </w:tr>
      <w:tr>
        <w:trPr>
          <w:cantSplit w:val="true"/>
        </w:trPr>
        <w:tc>
          <w:tcPr>
            <w:tcW w:type="dxa" w:w="17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有整改后照片</w:t>
            </w:r>
          </w:p>
        </w:tc>
        <w:tc>
          <w:tcPr>
            <w:tcW w:type="dxa" w:w="687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复检提交了图像</w:t>
            </w:r>
          </w:p>
        </w:tc>
      </w:tr>
      <w:tr>
        <w:trPr>
          <w:cantSplit w:val="true"/>
        </w:trPr>
        <w:tc>
          <w:tcPr>
            <w:tcW w:type="dxa" w:w="17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不是复用或翻拍</w:t>
            </w:r>
          </w:p>
        </w:tc>
        <w:tc>
          <w:tcPr>
            <w:tcW w:type="dxa" w:w="687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SHA-256 不同，且与每张整改前照片的感知哈希距离大于 10 位</w:t>
            </w:r>
          </w:p>
        </w:tc>
      </w:tr>
      <w:tr>
        <w:trPr>
          <w:cantSplit w:val="true"/>
        </w:trPr>
        <w:tc>
          <w:tcPr>
            <w:tcW w:type="dxa" w:w="17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拍摄在派发之后</w:t>
            </w:r>
          </w:p>
        </w:tc>
        <w:tc>
          <w:tcPr>
            <w:tcW w:type="dxa" w:w="687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EXIF 拍摄时间（无则用接收时间）不早于派发回执时间</w:t>
            </w:r>
          </w:p>
        </w:tc>
      </w:tr>
      <w:tr>
        <w:trPr>
          <w:cantSplit w:val="true"/>
        </w:trPr>
        <w:tc>
          <w:tcPr>
            <w:tcW w:type="dxa" w:w="17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拍摄在构件现场</w:t>
            </w:r>
          </w:p>
        </w:tc>
        <w:tc>
          <w:tcPr>
            <w:tcW w:type="dxa" w:w="687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EXIF 定位在构件电子围栏内；无定位时须复检人到场确认，回执注明依据</w:t>
            </w:r>
          </w:p>
        </w:tc>
      </w:tr>
      <w:tr>
        <w:trPr>
          <w:cantSplit w:val="true"/>
        </w:trPr>
        <w:tc>
          <w:tcPr>
            <w:tcW w:type="dxa" w:w="17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复检人独立</w:t>
            </w:r>
          </w:p>
        </w:tc>
        <w:tc>
          <w:tcPr>
            <w:tcW w:type="dxa" w:w="687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复检人不是整改人，也不是上报人</w:t>
            </w:r>
          </w:p>
        </w:tc>
      </w:tr>
      <w:tr>
        <w:trPr>
          <w:cantSplit w:val="true"/>
        </w:trPr>
        <w:tc>
          <w:tcPr>
            <w:tcW w:type="dxa" w:w="17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隐患已消除</w:t>
            </w:r>
          </w:p>
        </w:tc>
        <w:tc>
          <w:tcPr>
            <w:tcW w:type="dxa" w:w="687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复检人确认；配置视觉模型时由模型复核</w:t>
            </w:r>
          </w:p>
        </w:tc>
      </w:tr>
    </w:tbl>
    <w:p>
      <w:pPr>
        <w:spacing w:after="40"/>
      </w:pP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任一项不通过，事件进入“复检未通过”，可重新整改并再次复检；只有全部通过，事件才能被具名人员关闭。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（七）项目工作空间与可移交证据包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Menlo" w:hAnsi="Menlo" w:eastAsia="Songti SC" w:cs="Menlo"/>
          <w:color w:val="1F4E79"/>
          <w:sz w:val="22"/>
        </w:rPr>
        <w:t>GET /workspace</w:t>
      </w:r>
      <w:r>
        <w:rPr>
          <w:rFonts w:ascii="Songti SC" w:hAnsi="Songti SC" w:eastAsia="Songti SC" w:cs="Songti SC"/>
          <w:color w:val="000000"/>
          <w:sz w:val="23"/>
        </w:rPr>
        <w:t xml:space="preserve"> 返回项目主数据、资产目录、七个智能体、九步生命周期、七项复检契约、模型状态和四个黄金演示场景。</w:t>
      </w:r>
      <w:r>
        <w:rPr>
          <w:rFonts w:ascii="Menlo" w:hAnsi="Menlo" w:eastAsia="Songti SC" w:cs="Menlo"/>
          <w:color w:val="1F4E79"/>
          <w:sz w:val="22"/>
        </w:rPr>
        <w:t>GET /events/{id}/evidence</w:t>
      </w:r>
      <w:r>
        <w:rPr>
          <w:rFonts w:ascii="Songti SC" w:hAnsi="Songti SC" w:eastAsia="Songti SC" w:cs="Songti SC"/>
          <w:color w:val="000000"/>
          <w:sz w:val="23"/>
        </w:rPr>
        <w:t xml:space="preserve"> 生成不包含媒体二进制的可移交证据快照，记录项目、事件、任务、审批、复检和契约，并计算内容摘要。项目分析驾驶舱按风险、区域、构件热点、资产覆盖、智能体参与和证据回执汇总运行数据，避免只展示单条案例。</w:t>
      </w:r>
    </w:p>
    <w:p>
      <w:pPr>
        <w:pStyle w:val="2"/>
        <w:keepNext/>
      </w:pPr>
      <w:r>
        <w:rPr>
          <w:rFonts w:ascii="Songti SC" w:hAnsi="Songti SC" w:eastAsia="Songti SC" w:cs="Songti SC"/>
          <w:b/>
          <w:color w:val="000000"/>
          <w:sz w:val="32"/>
        </w:rPr>
        <w:t>四、功能模块设计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（一）现场上报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343"/>
        <w:gridCol w:w="4343"/>
      </w:tblGrid>
      <w:tr>
        <w:trPr>
          <w:cantSplit w:val="true"/>
          <w:tblHeader w:val="true"/>
        </w:trPr>
        <w:tc>
          <w:tcPr>
            <w:tcW w:type="dxa" w:w="123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0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3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业务目标</w:t>
            </w:r>
          </w:p>
        </w:tc>
        <w:tc>
          <w:tcPr>
            <w:tcW w:type="dxa" w:w="740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一句话加一张照片完成上报，不要求填表</w:t>
            </w:r>
          </w:p>
        </w:tc>
      </w:tr>
      <w:tr>
        <w:trPr>
          <w:cantSplit w:val="true"/>
        </w:trPr>
        <w:tc>
          <w:tcPr>
            <w:tcW w:type="dxa" w:w="123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输入</w:t>
            </w:r>
          </w:p>
        </w:tc>
        <w:tc>
          <w:tcPr>
            <w:tcW w:type="dxa" w:w="740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描述、照片（手机可直接拍照）、可选构件、可选严重程度（默认交给 AI 判断）、上报人</w:t>
            </w:r>
          </w:p>
        </w:tc>
      </w:tr>
      <w:tr>
        <w:trPr>
          <w:cantSplit w:val="true"/>
        </w:trPr>
        <w:tc>
          <w:tcPr>
            <w:tcW w:type="dxa" w:w="123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输出</w:t>
            </w:r>
          </w:p>
        </w:tc>
        <w:tc>
          <w:tcPr>
            <w:tcW w:type="dxa" w:w="740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事件编号、构件与定位方式、风险融合结果、停工提示、响应与关闭时限、专家研判和建议任务</w:t>
            </w:r>
          </w:p>
        </w:tc>
      </w:tr>
      <w:tr>
        <w:trPr>
          <w:cantSplit w:val="true"/>
        </w:trPr>
        <w:tc>
          <w:tcPr>
            <w:tcW w:type="dxa" w:w="123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流程</w:t>
            </w:r>
          </w:p>
        </w:tc>
        <w:tc>
          <w:tcPr>
            <w:tcW w:type="dxa" w:w="740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上报 → 自动定位 → 风险融合 → 专家研判 → 待审批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36722" cy="6583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6722" cy="6583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276" w:lineRule="auto" w:before="60" w:after="160"/>
        <w:jc w:val="center"/>
      </w:pPr>
      <w:r>
        <w:rPr>
          <w:rFonts w:ascii="Songti SC" w:hAnsi="Songti SC" w:eastAsia="Songti SC" w:cs="Songti SC"/>
          <w:color w:val="000000"/>
          <w:sz w:val="19"/>
        </w:rPr>
        <w:t>图 2 现场端移动界面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（二）研判与审批派发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专家结论逐条显示依据编号和置信度；没有依据的智能体显示缺口与问题。具名人员批准后，系统按风险时限给每项任务设定截止时间并派发给责任角色；未经批准无法派发，批准人不能是智能体、模型或自动化账号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（三）整改与独立复检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责任人登记完成整改；复检人上传整改后照片并提交复检。下图中，复检人试图用整改前照片冒充整改后照片，系统判定“不是复用或翻拍”和“拍摄在派发之后”两项不通过。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49514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fai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276" w:lineRule="auto" w:before="60" w:after="160"/>
        <w:jc w:val="center"/>
      </w:pPr>
      <w:r>
        <w:rPr>
          <w:rFonts w:ascii="Songti SC" w:hAnsi="Songti SC" w:eastAsia="Songti SC" w:cs="Songti SC"/>
          <w:color w:val="000000"/>
          <w:sz w:val="19"/>
        </w:rPr>
        <w:t>图 3 复用整改前照片被拦截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更换为在现场新拍的整改后照片后，七项核验全部通过，事件可以关闭；整改前后照片并排保存，审计轨迹记录每一步的人员和时间。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49514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verifi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276" w:lineRule="auto" w:before="60" w:after="160"/>
        <w:jc w:val="center"/>
      </w:pPr>
      <w:r>
        <w:rPr>
          <w:rFonts w:ascii="Songti SC" w:hAnsi="Songti SC" w:eastAsia="Songti SC" w:cs="Songti SC"/>
          <w:color w:val="000000"/>
          <w:sz w:val="19"/>
        </w:rPr>
        <w:t>图 4 新照片复检通过，整改前后对比与审计轨迹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（四）先例与看板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已关闭事件按同一构件或共同隐患信号成为新事件的先例，显示当时的措施和关闭用时；看板统计事件数、停工中、超期、时限内关闭率、复检一次通过率、平均关闭时长和隐患热点构件。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（五）面向典型场景的功能实现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343"/>
        <w:gridCol w:w="4343"/>
      </w:tblGrid>
      <w:tr>
        <w:trPr>
          <w:cantSplit w:val="true"/>
          <w:tblHeader w:val="true"/>
        </w:trPr>
        <w:tc>
          <w:tcPr>
            <w:tcW w:type="dxa" w:w="178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685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 w:val="true"/>
        </w:trPr>
        <w:tc>
          <w:tcPr>
            <w:tcW w:type="dxa" w:w="178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施工安全监测</w:t>
            </w:r>
          </w:p>
        </w:tc>
        <w:tc>
          <w:tcPr>
            <w:tcW w:type="dxa" w:w="685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临边、高处、吊装、深基坑、动火、临时用电等信号触发高或紧急风险与停工提示</w:t>
            </w:r>
          </w:p>
        </w:tc>
      </w:tr>
      <w:tr>
        <w:trPr>
          <w:cantSplit w:val="true"/>
        </w:trPr>
        <w:tc>
          <w:tcPr>
            <w:tcW w:type="dxa" w:w="178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质量管控</w:t>
            </w:r>
          </w:p>
        </w:tc>
        <w:tc>
          <w:tcPr>
            <w:tcW w:type="dxa" w:w="685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裂缝、蜂窝、强度不足等触发质量智能体，按不符合项流程处置</w:t>
            </w:r>
          </w:p>
        </w:tc>
      </w:tr>
      <w:tr>
        <w:trPr>
          <w:cantSplit w:val="true"/>
        </w:trPr>
        <w:tc>
          <w:tcPr>
            <w:tcW w:type="dxa" w:w="178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桥隧检测养护</w:t>
            </w:r>
          </w:p>
        </w:tc>
        <w:tc>
          <w:tcPr>
            <w:tcW w:type="dxa" w:w="685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支座位移与锈蚀等运维病害由质量智能体依据支座检查规程处置</w:t>
            </w:r>
          </w:p>
        </w:tc>
      </w:tr>
      <w:tr>
        <w:trPr>
          <w:cantSplit w:val="true"/>
        </w:trPr>
        <w:tc>
          <w:tcPr>
            <w:tcW w:type="dxa" w:w="178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智能建造机器人与无人机巡检</w:t>
            </w:r>
          </w:p>
        </w:tc>
        <w:tc>
          <w:tcPr>
            <w:tcW w:type="dxa" w:w="685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 xml:space="preserve">通过 MCP 的 </w:t>
            </w:r>
            <w:r>
              <w:rPr>
                <w:rFonts w:ascii="Menlo" w:hAnsi="Menlo" w:eastAsia="Songti SC" w:cs="Menlo"/>
                <w:color w:val="1F4E79"/>
                <w:sz w:val="17"/>
              </w:rPr>
              <w:t>report_observation</w:t>
            </w:r>
            <w:r>
              <w:rPr>
                <w:rFonts w:ascii="Songti SC" w:hAnsi="Songti SC" w:eastAsia="Songti SC" w:cs="Songti SC"/>
                <w:color w:val="000000"/>
                <w:sz w:val="18"/>
              </w:rPr>
              <w:t xml:space="preserve"> 上报观察，进入同一闭环，审批与复检仍由人完成</w:t>
            </w:r>
          </w:p>
        </w:tc>
      </w:tr>
    </w:tbl>
    <w:p>
      <w:pPr>
        <w:spacing w:after="40"/>
      </w:pPr>
    </w:p>
    <w:p>
      <w:pPr>
        <w:pStyle w:val="2"/>
        <w:keepNext/>
      </w:pPr>
      <w:r>
        <w:rPr>
          <w:rFonts w:ascii="Songti SC" w:hAnsi="Songti SC" w:eastAsia="Songti SC" w:cs="Songti SC"/>
          <w:b/>
          <w:color w:val="000000"/>
          <w:sz w:val="32"/>
        </w:rPr>
        <w:t>五、实际应用效果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（一）测试方法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 xml:space="preserve">基准测试 </w:t>
      </w:r>
      <w:r>
        <w:rPr>
          <w:rFonts w:ascii="Menlo" w:hAnsi="Menlo" w:eastAsia="Songti SC" w:cs="Menlo"/>
          <w:color w:val="1F4E79"/>
          <w:sz w:val="22"/>
        </w:rPr>
        <w:t>python evals/run_eval.py</w:t>
      </w:r>
      <w:r>
        <w:rPr>
          <w:rFonts w:ascii="Songti SC" w:hAnsi="Songti SC" w:eastAsia="Songti SC" w:cs="Songti SC"/>
          <w:color w:val="000000"/>
          <w:sz w:val="23"/>
        </w:rPr>
        <w:t xml:space="preserve"> 在合成数据上确定性运行，照片由程序生成（整改前为无防护临边，整改后加装黄色防护栏杆），带可控的拍摄时间和 GPS。测试时间用可控时钟，保证时限计算可复现。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（二）测试结果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171"/>
        <w:gridCol w:w="2171"/>
        <w:gridCol w:w="2171"/>
        <w:gridCol w:w="2171"/>
      </w:tblGrid>
      <w:tr>
        <w:trPr>
          <w:cantSplit w:val="true"/>
          <w:tblHeader w:val="true"/>
        </w:trPr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套件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278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事件研判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18</w:t>
            </w:r>
          </w:p>
        </w:tc>
        <w:tc>
          <w:tcPr>
            <w:tcW w:type="dxa" w:w="278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风险等级准确率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100%</w:t>
            </w:r>
          </w:p>
        </w:tc>
      </w:tr>
      <w:tr>
        <w:trPr>
          <w:cantSplit w:val="true"/>
        </w:trPr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事件研判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18</w:t>
            </w:r>
          </w:p>
        </w:tc>
        <w:tc>
          <w:tcPr>
            <w:tcW w:type="dxa" w:w="278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专家路由准确率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100%</w:t>
            </w:r>
          </w:p>
        </w:tc>
      </w:tr>
      <w:tr>
        <w:trPr>
          <w:cantSplit w:val="true"/>
        </w:trPr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事件研判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18</w:t>
            </w:r>
          </w:p>
        </w:tc>
        <w:tc>
          <w:tcPr>
            <w:tcW w:type="dxa" w:w="278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构件定位准确率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100%</w:t>
            </w:r>
          </w:p>
        </w:tc>
      </w:tr>
      <w:tr>
        <w:trPr>
          <w:cantSplit w:val="true"/>
        </w:trPr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事件研判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18</w:t>
            </w:r>
          </w:p>
        </w:tc>
        <w:tc>
          <w:tcPr>
            <w:tcW w:type="dxa" w:w="278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停工判断准确率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100%</w:t>
            </w:r>
          </w:p>
        </w:tc>
      </w:tr>
      <w:tr>
        <w:trPr>
          <w:cantSplit w:val="true"/>
        </w:trPr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复检核验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10</w:t>
            </w:r>
          </w:p>
        </w:tc>
        <w:tc>
          <w:tcPr>
            <w:tcW w:type="dxa" w:w="278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通过与拦截判断准确率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100%</w:t>
            </w:r>
          </w:p>
        </w:tc>
      </w:tr>
      <w:tr>
        <w:trPr>
          <w:cantSplit w:val="true"/>
        </w:trPr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治理检查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6</w:t>
            </w:r>
          </w:p>
        </w:tc>
        <w:tc>
          <w:tcPr>
            <w:tcW w:type="dxa" w:w="278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通过率</w:t>
            </w:r>
          </w:p>
        </w:tc>
        <w:tc>
          <w:tcPr>
            <w:tcW w:type="dxa" w:w="19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100%</w:t>
            </w:r>
          </w:p>
        </w:tc>
      </w:tr>
    </w:tbl>
    <w:p>
      <w:pPr>
        <w:spacing w:after="40"/>
      </w:pP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事件集包含中英文上报和三条对抗性文本（“knowledge/ledge/edgeless”、与施工无关的会议通知），均未被误判为高风险。复检的 10 个场景为：正常复检、原照片复用、整改前照片翻拍、派发前拍摄、围栏外拍摄、无定位未确认、无定位已确认、整改人自检、任务未完成、隐患未消除，系统对每个场景的判定均符合预期，并在回执中指出不通过的具体核验项。治理检查包括未批准派发、非人员审批、未复检关闭、批准后改分析、时限超期识别和先例沉淀。41 项自动化测试覆盖感知、生命周期、整改照片上传、复检失败门禁、模型与视觉路径的受控降级、API 和 MCP。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（三）与传统方式对比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895"/>
        <w:gridCol w:w="2895"/>
        <w:gridCol w:w="2895"/>
      </w:tblGrid>
      <w:tr>
        <w:trPr>
          <w:cantSplit w:val="true"/>
          <w:tblHeader w:val="true"/>
        </w:trP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49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传统方式</w:t>
            </w:r>
          </w:p>
        </w:tc>
        <w:tc>
          <w:tcPr>
            <w:tcW w:type="dxa" w:w="37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InfraPilot AI</w:t>
            </w:r>
          </w:p>
        </w:tc>
      </w:tr>
      <w:tr>
        <w:trPr>
          <w:cantSplit w:val="true"/>
        </w:trP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上报</w:t>
            </w:r>
          </w:p>
        </w:tc>
        <w:tc>
          <w:tcPr>
            <w:tcW w:type="dxa" w:w="349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拍照后在群里描述，再人工登记</w:t>
            </w:r>
          </w:p>
        </w:tc>
        <w:tc>
          <w:tcPr>
            <w:tcW w:type="dxa" w:w="37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一句话加照片，自动定位构件</w:t>
            </w:r>
          </w:p>
        </w:tc>
      </w:tr>
      <w:tr>
        <w:trPr>
          <w:cantSplit w:val="true"/>
        </w:trP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风险</w:t>
            </w:r>
          </w:p>
        </w:tc>
        <w:tc>
          <w:tcPr>
            <w:tcW w:type="dxa" w:w="349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上报人主观判断</w:t>
            </w:r>
          </w:p>
        </w:tc>
        <w:tc>
          <w:tcPr>
            <w:tcW w:type="dxa" w:w="37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三方融合只升不降，自动停工提示</w:t>
            </w:r>
          </w:p>
        </w:tc>
      </w:tr>
      <w:tr>
        <w:trPr>
          <w:cantSplit w:val="true"/>
        </w:trP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时限</w:t>
            </w:r>
          </w:p>
        </w:tc>
        <w:tc>
          <w:tcPr>
            <w:tcW w:type="dxa" w:w="349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无统一时限</w:t>
            </w:r>
          </w:p>
        </w:tc>
        <w:tc>
          <w:tcPr>
            <w:tcW w:type="dxa" w:w="37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按风险自动设定，超期标记</w:t>
            </w:r>
          </w:p>
        </w:tc>
      </w:tr>
      <w:tr>
        <w:trPr>
          <w:cantSplit w:val="true"/>
        </w:trP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处置依据</w:t>
            </w:r>
          </w:p>
        </w:tc>
        <w:tc>
          <w:tcPr>
            <w:tcW w:type="dxa" w:w="349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经验口头下达</w:t>
            </w:r>
          </w:p>
        </w:tc>
        <w:tc>
          <w:tcPr>
            <w:tcW w:type="dxa" w:w="37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引用受控规程编号，无依据时提问</w:t>
            </w:r>
          </w:p>
        </w:tc>
      </w:tr>
      <w:tr>
        <w:trPr>
          <w:cantSplit w:val="true"/>
        </w:trP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整改证明</w:t>
            </w:r>
          </w:p>
        </w:tc>
        <w:tc>
          <w:tcPr>
            <w:tcW w:type="dxa" w:w="349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回复“已整改”或一张无法验证的照片</w:t>
            </w:r>
          </w:p>
        </w:tc>
        <w:tc>
          <w:tcPr>
            <w:tcW w:type="dxa" w:w="37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七项可计算核验，复用或异地照片被拦截</w:t>
            </w:r>
          </w:p>
        </w:tc>
      </w:tr>
      <w:tr>
        <w:trPr>
          <w:cantSplit w:val="true"/>
        </w:trP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追溯</w:t>
            </w:r>
          </w:p>
        </w:tc>
        <w:tc>
          <w:tcPr>
            <w:tcW w:type="dxa" w:w="349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聊天记录</w:t>
            </w:r>
          </w:p>
        </w:tc>
        <w:tc>
          <w:tcPr>
            <w:tcW w:type="dxa" w:w="37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回执、审计轨迹、先例和看板</w:t>
            </w:r>
          </w:p>
        </w:tc>
      </w:tr>
    </w:tbl>
    <w:p>
      <w:pPr>
        <w:spacing w:after="40"/>
      </w:pP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以上为流程能力对比，不宣称已取得真实项目的工时或事故率改善。真实效果需要在试点项目中设置基线后测量，例如平均关闭时长、时限内关闭率、复检一次通过率和同类隐患复发率。</w:t>
      </w:r>
    </w:p>
    <w:p>
      <w:pPr>
        <w:pStyle w:val="2"/>
        <w:keepNext/>
      </w:pPr>
      <w:r>
        <w:rPr>
          <w:rFonts w:ascii="Songti SC" w:hAnsi="Songti SC" w:eastAsia="Songti SC" w:cs="Songti SC"/>
          <w:b/>
          <w:color w:val="000000"/>
          <w:sz w:val="32"/>
        </w:rPr>
        <w:t>六、创新性阐述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（一）用可计算证据证明“整改到位”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现有现场管理工具大多停留在“上报—派单”，整改是否到位仍靠一句回复。本作品把整改证明拆成可计算的条件：照片是否是新的（内容哈希和感知哈希）、是否在派发之后（EXIF 时间）、是否在现场（GPS 与电子围栏）、是否由他人复检（人员独立性）、任务是否完成。这使“关闭”成为一个可审计的结论，而不是一个状态按钮。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（二）风险只升不降与时限驱动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系统不允许 AI 或上报人降低风险，只能升高；风险直接决定停工提示和响应、关闭时限，把“发现得早”转化为“处置得快”。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（三）证据路由的多智能体协同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专业智能体按检索到的受控依据动态组队，结论必须引用依据编号，没有依据时明确提出问题。这避免了“所有智能体都发言、都给建议”的噪声，也避免了编造的处置要求。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（四）面向机器人与智能体的 MCP 接入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巡检机器人、无人机或其他智能体可以通过 MCP 上报观察并读取事件，但审批、派发、复检和关闭只能由具名人员完成。自动化提高了发现效率，责任仍然由人承担。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（五）大模型能力的受约束融合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视觉模型只能在固定隐患分类中给出带可见依据的结果，只能提高风险，并在复检时作为“隐患仍在”的否决条件，既用上了大模型的感知能力，又防止模型幻觉直接影响关闭决定。</w:t>
      </w:r>
    </w:p>
    <w:p>
      <w:pPr>
        <w:pStyle w:val="2"/>
        <w:keepNext/>
      </w:pPr>
      <w:r>
        <w:rPr>
          <w:rFonts w:ascii="Songti SC" w:hAnsi="Songti SC" w:eastAsia="Songti SC" w:cs="Songti SC"/>
          <w:b/>
          <w:color w:val="000000"/>
          <w:sz w:val="32"/>
        </w:rPr>
        <w:t>七、可扩展性分析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（一）跨场景扩展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构件登记表、规程知识包和隐患分类都是配置数据。扩展到公路（路面、边坡、护栏）、隧道（衬砌、渗漏水、通风）、港口（码头面、系船柱、起重设备）或机场（道面、助航灯光）时，只需导入对应的构件清单与电子围栏、加载领域规程包、补充风险信号词表，闭环逻辑与核验规则不变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（二）不同规模的适配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单个项目可用 SQLite 单机部署；集团多项目可替换为 PostgreSQL 和对象存储，按项目隔离数据；现场端可封装为带离线队列的移动应用，在无网络时暂存上报和照片，联网后同步。</w:t>
      </w:r>
    </w:p>
    <w:p>
      <w:pPr>
        <w:pStyle w:val="3"/>
        <w:keepNext/>
      </w:pPr>
      <w:r>
        <w:rPr>
          <w:rFonts w:ascii="Songti SC" w:hAnsi="Songti SC" w:eastAsia="Songti SC" w:cs="Songti SC"/>
          <w:b/>
          <w:color w:val="000000"/>
          <w:sz w:val="26"/>
        </w:rPr>
        <w:t>（三）能力升级路径</w:t>
      </w:r>
    </w:p>
    <w:p>
      <w:pPr>
        <w:widowControl/>
        <w:spacing w:line="324" w:lineRule="auto" w:after="60"/>
        <w:ind w:left="400" w:hanging="200"/>
        <w:jc w:val="left"/>
      </w:pPr>
      <w:r>
        <w:rPr>
          <w:rFonts w:ascii="Songti SC" w:hAnsi="Songti SC" w:eastAsia="Songti SC" w:cs="Songti SC"/>
          <w:b/>
          <w:color w:val="17365D"/>
          <w:sz w:val="23"/>
        </w:rPr>
        <w:t xml:space="preserve">• </w:t>
      </w:r>
      <w:r>
        <w:rPr>
          <w:rFonts w:ascii="Songti SC" w:hAnsi="Songti SC" w:eastAsia="Songti SC" w:cs="Songti SC"/>
          <w:color w:val="000000"/>
          <w:sz w:val="23"/>
        </w:rPr>
        <w:t>接入经过盲测的视觉模型，并用真实脱敏的整改前后照片建立评测集。</w:t>
      </w:r>
    </w:p>
    <w:p>
      <w:pPr>
        <w:widowControl/>
        <w:spacing w:line="324" w:lineRule="auto" w:after="60"/>
        <w:ind w:left="400" w:hanging="200"/>
        <w:jc w:val="left"/>
      </w:pPr>
      <w:r>
        <w:rPr>
          <w:rFonts w:ascii="Songti SC" w:hAnsi="Songti SC" w:eastAsia="Songti SC" w:cs="Songti SC"/>
          <w:b/>
          <w:color w:val="17365D"/>
          <w:sz w:val="23"/>
        </w:rPr>
        <w:t xml:space="preserve">• </w:t>
      </w:r>
      <w:r>
        <w:rPr>
          <w:rFonts w:ascii="Songti SC" w:hAnsi="Songti SC" w:eastAsia="Songti SC" w:cs="Songti SC"/>
          <w:color w:val="000000"/>
          <w:sz w:val="23"/>
        </w:rPr>
        <w:t>引入可信拍摄（设备认证、水印）以防止 EXIF 篡改。</w:t>
      </w:r>
    </w:p>
    <w:p>
      <w:pPr>
        <w:widowControl/>
        <w:spacing w:line="324" w:lineRule="auto" w:after="60"/>
        <w:ind w:left="400" w:hanging="200"/>
        <w:jc w:val="left"/>
      </w:pPr>
      <w:r>
        <w:rPr>
          <w:rFonts w:ascii="Songti SC" w:hAnsi="Songti SC" w:eastAsia="Songti SC" w:cs="Songti SC"/>
          <w:b/>
          <w:color w:val="17365D"/>
          <w:sz w:val="23"/>
        </w:rPr>
        <w:t xml:space="preserve">• </w:t>
      </w:r>
      <w:r>
        <w:rPr>
          <w:rFonts w:ascii="Songti SC" w:hAnsi="Songti SC" w:eastAsia="Songti SC" w:cs="Songti SC"/>
          <w:color w:val="000000"/>
          <w:sz w:val="23"/>
        </w:rPr>
        <w:t>与项目 NCR、HSE、移动审批系统对接，并通过 REST API 或 MCP 将事件与复检回执提供给经授权的业主、监理或企业系统；审批和关闭仍保留在人类责任链中。</w:t>
      </w:r>
    </w:p>
    <w:p>
      <w:pPr>
        <w:pStyle w:val="2"/>
        <w:keepNext/>
        <w:pageBreakBefore/>
      </w:pPr>
      <w:r>
        <w:rPr>
          <w:rFonts w:ascii="Songti SC" w:hAnsi="Songti SC" w:eastAsia="Songti SC" w:cs="Songti SC"/>
          <w:b/>
          <w:color w:val="000000"/>
          <w:sz w:val="32"/>
        </w:rPr>
        <w:t>附录 A 评审要点证据映射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343"/>
        <w:gridCol w:w="4343"/>
      </w:tblGrid>
      <w:tr>
        <w:trPr>
          <w:cantSplit w:val="true"/>
          <w:tblHeader w:val="true"/>
        </w:trPr>
        <w:tc>
          <w:tcPr>
            <w:tcW w:type="dxa" w:w="164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评审要点</w:t>
            </w:r>
          </w:p>
        </w:tc>
        <w:tc>
          <w:tcPr>
            <w:tcW w:type="dxa" w:w="699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7365D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b/>
                <w:color w:val="FFFFFF"/>
                <w:sz w:val="18"/>
              </w:rPr>
              <w:t>本作品证据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行业痛点解决能力</w:t>
            </w:r>
          </w:p>
        </w:tc>
        <w:tc>
          <w:tcPr>
            <w:tcW w:type="dxa" w:w="699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第一章痛点矩阵；七项复检核验解决“整改不实”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技术融合创新性</w:t>
            </w:r>
          </w:p>
        </w:tc>
        <w:tc>
          <w:tcPr>
            <w:tcW w:type="dxa" w:w="699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感知哈希与 EXIF、证据路由多智能体、受约束视觉模型、MCP 服务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业务模式突破性</w:t>
            </w:r>
          </w:p>
        </w:tc>
        <w:tc>
          <w:tcPr>
            <w:tcW w:type="dxa" w:w="699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从“上报派单”到“可证明关闭”的闭环，时限驱动处置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技术路线合理性</w:t>
            </w:r>
          </w:p>
        </w:tc>
        <w:tc>
          <w:tcPr>
            <w:tcW w:type="dxa" w:w="699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第二、三章分层架构与确定性降级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数据支撑有效性</w:t>
            </w:r>
          </w:p>
        </w:tc>
        <w:tc>
          <w:tcPr>
            <w:tcW w:type="dxa" w:w="699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构件登记、版本化规程包、合成照片与事件集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模型/算法性能</w:t>
            </w:r>
          </w:p>
        </w:tc>
        <w:tc>
          <w:tcPr>
            <w:tcW w:type="dxa" w:w="699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第五章 34 项基准与 41 项测试，感知哈希距离实测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场景适配性</w:t>
            </w:r>
          </w:p>
        </w:tc>
        <w:tc>
          <w:tcPr>
            <w:tcW w:type="dxa" w:w="699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76" w:lineRule="auto"/>
              <w:jc w:val="left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施工安全、质量、桥隧养护、机器人巡检四类场景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可扩展性</w:t>
            </w:r>
          </w:p>
        </w:tc>
        <w:tc>
          <w:tcPr>
            <w:tcW w:type="dxa" w:w="699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 w:before="0" w:line="276" w:lineRule="auto"/>
              <w:jc w:val="center"/>
            </w:pPr>
            <w:r>
              <w:rPr>
                <w:rFonts w:ascii="Songti SC" w:hAnsi="Songti SC" w:eastAsia="Songti SC" w:cs="Songti SC"/>
                <w:color w:val="000000"/>
                <w:sz w:val="18"/>
              </w:rPr>
              <w:t>第七章跨场景与规模扩展路径</w:t>
            </w:r>
          </w:p>
        </w:tc>
      </w:tr>
    </w:tbl>
    <w:p>
      <w:pPr>
        <w:spacing w:after="40"/>
      </w:pPr>
    </w:p>
    <w:p>
      <w:pPr>
        <w:pStyle w:val="2"/>
        <w:keepNext/>
        <w:pageBreakBefore/>
      </w:pPr>
      <w:r>
        <w:rPr>
          <w:rFonts w:ascii="Songti SC" w:hAnsi="Songti SC" w:eastAsia="Songti SC" w:cs="Songti SC"/>
          <w:b/>
          <w:color w:val="000000"/>
          <w:sz w:val="32"/>
        </w:rPr>
        <w:t>附录 B 可复现说明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运行环境：Python 3.11 及以上。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安装与启动：</w:t>
      </w:r>
      <w:r>
        <w:rPr>
          <w:rFonts w:ascii="Menlo" w:hAnsi="Menlo" w:eastAsia="Songti SC" w:cs="Menlo"/>
          <w:color w:val="1F4E79"/>
          <w:sz w:val="22"/>
        </w:rPr>
        <w:t>pip install -r requirements.txt</w:t>
      </w:r>
      <w:r>
        <w:rPr>
          <w:rFonts w:ascii="Songti SC" w:hAnsi="Songti SC" w:eastAsia="Songti SC" w:cs="Songti SC"/>
          <w:color w:val="000000"/>
          <w:sz w:val="23"/>
        </w:rPr>
        <w:t>，</w:t>
      </w:r>
      <w:r>
        <w:rPr>
          <w:rFonts w:ascii="Menlo" w:hAnsi="Menlo" w:eastAsia="Songti SC" w:cs="Menlo"/>
          <w:color w:val="1F4E79"/>
          <w:sz w:val="22"/>
        </w:rPr>
        <w:t>./run.sh</w:t>
      </w:r>
      <w:r>
        <w:rPr>
          <w:rFonts w:ascii="Songti SC" w:hAnsi="Songti SC" w:eastAsia="Songti SC" w:cs="Songti SC"/>
          <w:color w:val="000000"/>
          <w:sz w:val="23"/>
        </w:rPr>
        <w:t xml:space="preserve">，本地浏览器打开 </w:t>
      </w:r>
      <w:r>
        <w:rPr>
          <w:rFonts w:ascii="Menlo" w:hAnsi="Menlo" w:eastAsia="Songti SC" w:cs="Menlo"/>
          <w:color w:val="1F4E79"/>
          <w:sz w:val="22"/>
        </w:rPr>
        <w:t>http://127.0.0.1:8101</w:t>
      </w:r>
      <w:r>
        <w:rPr>
          <w:rFonts w:ascii="Songti SC" w:hAnsi="Songti SC" w:eastAsia="Songti SC" w:cs="Songti SC"/>
          <w:color w:val="000000"/>
          <w:sz w:val="23"/>
        </w:rPr>
        <w:t xml:space="preserve">。在线演示地址为 </w:t>
      </w:r>
      <w:r>
        <w:rPr>
          <w:rFonts w:ascii="Menlo" w:hAnsi="Menlo" w:eastAsia="Songti SC" w:cs="Menlo"/>
          <w:color w:val="1F4E79"/>
          <w:sz w:val="22"/>
        </w:rPr>
        <w:t>https://infrapilot-ai-production-cd4c.up.railway.app</w:t>
      </w:r>
      <w:r>
        <w:rPr>
          <w:rFonts w:ascii="Songti SC" w:hAnsi="Songti SC" w:eastAsia="Songti SC" w:cs="Songti SC"/>
          <w:color w:val="000000"/>
          <w:sz w:val="23"/>
        </w:rPr>
        <w:t xml:space="preserve">；Railway 生产环境使用独立的 </w:t>
      </w:r>
      <w:r>
        <w:rPr>
          <w:rFonts w:ascii="Menlo" w:hAnsi="Menlo" w:eastAsia="Songti SC" w:cs="Menlo"/>
          <w:color w:val="1F4E79"/>
          <w:sz w:val="22"/>
        </w:rPr>
        <w:t>/data</w:t>
      </w:r>
      <w:r>
        <w:rPr>
          <w:rFonts w:ascii="Songti SC" w:hAnsi="Songti SC" w:eastAsia="Songti SC" w:cs="Songti SC"/>
          <w:color w:val="000000"/>
          <w:sz w:val="23"/>
        </w:rPr>
        <w:t xml:space="preserve"> 持久化卷。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基准测试：</w:t>
      </w:r>
      <w:r>
        <w:rPr>
          <w:rFonts w:ascii="Menlo" w:hAnsi="Menlo" w:eastAsia="Songti SC" w:cs="Menlo"/>
          <w:color w:val="1F4E79"/>
          <w:sz w:val="22"/>
        </w:rPr>
        <w:t>python evals/run_eval.py</w:t>
      </w:r>
      <w:r>
        <w:rPr>
          <w:rFonts w:ascii="Songti SC" w:hAnsi="Songti SC" w:eastAsia="Songti SC" w:cs="Songti SC"/>
          <w:color w:val="000000"/>
          <w:sz w:val="23"/>
        </w:rPr>
        <w:t>；自动化测试：</w:t>
      </w:r>
      <w:r>
        <w:rPr>
          <w:rFonts w:ascii="Menlo" w:hAnsi="Menlo" w:eastAsia="Songti SC" w:cs="Menlo"/>
          <w:color w:val="1F4E79"/>
          <w:sz w:val="22"/>
        </w:rPr>
        <w:t>pytest -q</w:t>
      </w:r>
      <w:r>
        <w:rPr>
          <w:rFonts w:ascii="Songti SC" w:hAnsi="Songti SC" w:eastAsia="Songti SC" w:cs="Songti SC"/>
          <w:color w:val="000000"/>
          <w:sz w:val="23"/>
        </w:rPr>
        <w:t>。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MCP 服务：</w:t>
      </w:r>
      <w:r>
        <w:rPr>
          <w:rFonts w:ascii="Menlo" w:hAnsi="Menlo" w:eastAsia="Songti SC" w:cs="Menlo"/>
          <w:color w:val="1F4E79"/>
          <w:sz w:val="22"/>
        </w:rPr>
        <w:t>python -m app.mcp_server</w:t>
      </w:r>
      <w:r>
        <w:rPr>
          <w:rFonts w:ascii="Songti SC" w:hAnsi="Songti SC" w:eastAsia="Songti SC" w:cs="Songti SC"/>
          <w:color w:val="000000"/>
          <w:sz w:val="23"/>
        </w:rPr>
        <w:t xml:space="preserve">（stdio）或 </w:t>
      </w:r>
      <w:r>
        <w:rPr>
          <w:rFonts w:ascii="Menlo" w:hAnsi="Menlo" w:eastAsia="Songti SC" w:cs="Menlo"/>
          <w:color w:val="1F4E79"/>
          <w:sz w:val="22"/>
        </w:rPr>
        <w:t>python -m app.mcp_server --transport streamable-http</w:t>
      </w:r>
      <w:r>
        <w:rPr>
          <w:rFonts w:ascii="Songti SC" w:hAnsi="Songti SC" w:eastAsia="Songti SC" w:cs="Songti SC"/>
          <w:color w:val="000000"/>
          <w:sz w:val="23"/>
        </w:rPr>
        <w:t>。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 xml:space="preserve">第三方依赖与许可证见 </w:t>
      </w:r>
      <w:r>
        <w:rPr>
          <w:rFonts w:ascii="Menlo" w:hAnsi="Menlo" w:eastAsia="Songti SC" w:cs="Menlo"/>
          <w:color w:val="1F4E79"/>
          <w:sz w:val="22"/>
        </w:rPr>
        <w:t>THIRD_PARTY.md</w:t>
      </w:r>
      <w:r>
        <w:rPr>
          <w:rFonts w:ascii="Songti SC" w:hAnsi="Songti SC" w:eastAsia="Songti SC" w:cs="Songti SC"/>
          <w:color w:val="000000"/>
          <w:sz w:val="23"/>
        </w:rPr>
        <w:t>；作品采用 Apache-2.0 许可证。</w:t>
      </w:r>
    </w:p>
    <w:p>
      <w:pPr>
        <w:pStyle w:val="2"/>
        <w:keepNext/>
        <w:pageBreakBefore/>
      </w:pPr>
      <w:r>
        <w:rPr>
          <w:rFonts w:ascii="Songti SC" w:hAnsi="Songti SC" w:eastAsia="Songti SC" w:cs="Songti SC"/>
          <w:b/>
          <w:color w:val="000000"/>
          <w:sz w:val="32"/>
        </w:rPr>
        <w:t>附录 C 数据、模型与部署边界</w:t>
      </w:r>
    </w:p>
    <w:p>
      <w:pPr>
        <w:widowControl/>
        <w:spacing w:line="348" w:lineRule="auto" w:after="100"/>
        <w:ind w:firstLine="460"/>
        <w:jc w:val="left"/>
      </w:pPr>
      <w:r>
        <w:rPr>
          <w:rFonts w:ascii="Songti SC" w:hAnsi="Songti SC" w:eastAsia="Songti SC" w:cs="Songti SC"/>
          <w:color w:val="000000"/>
          <w:sz w:val="23"/>
        </w:rPr>
        <w:t>项目、构件、坐标、事件、规程和现场照片均为原创合成数据。34 项基准和 41 项测试只证明当前规则、接口和关闭契约在固定测试集上可复现，不等于真实现场准确率或事故率改善。视觉模型是可选增强，输出只能在固定隐患分类中选择且只能提高风险；没有通过真实脱敏照片盲测前，不应将其用于自动关单。正式部署还需完成现场数据授权、设备与账号认证、照片可信采集、企业移动审批接入、离线同步和安全测试。</w:t>
      </w:r>
    </w:p>
    <w:sectPr>
      <w:footerReference r:id="rId5" w:type="default"/>
      <w:pgSz w:w="11906" w:h="16838"/>
      <w:pgMar w:top="1440" w:right="1633" w:bottom="1440" w:left="1587" w:header="851" w:footer="648" w:gutter="0"/>
      <w:pgNumType w:fmt="decimal" w:start="1"/>
      <w:cols w:space="425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640"/>
      </w:pPr>
      <w:r>
        <w:separator/>
      </w:r>
    </w:p>
  </w:endnote>
  <w:endnote w:type="continuationSeparator" w:id="1">
    <w:p>
      <w:pPr>
        <w:spacing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DEEE1171-1448-467D-ACE6-0CB62B258637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914A2F4D-9861-4905-8A11-00B2C9E01C04}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1DF600">
    <w:pPr>
      <w:pStyle w:val="6"/>
      <w:jc w:val="center"/>
    </w:pPr>
    <w:r>
      <w:rPr>
        <w:rFonts w:ascii="Songti SC" w:hAnsi="Songti SC" w:eastAsia="Songti SC" w:cs="Songti SC"/>
        <w:color w:val="000000"/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640"/>
      </w:pPr>
      <w:r>
        <w:separator/>
      </w:r>
    </w:p>
  </w:footnote>
  <w:footnote w:type="continuationSeparator" w:id="1">
    <w:p>
      <w:pPr>
        <w:spacing w:line="360" w:lineRule="auto"/>
        <w:ind w:firstLine="64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445F43"/>
    <w:multiLevelType w:val="singleLevel"/>
    <w:tmpl w:val="8A445F43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6D6741"/>
    <w:rsid w:val="036208AE"/>
    <w:rsid w:val="122E0674"/>
    <w:rsid w:val="1EDA5344"/>
    <w:rsid w:val="42206C63"/>
    <w:rsid w:val="4C6D6741"/>
    <w:rsid w:val="50D47596"/>
    <w:rsid w:val="515E0E0C"/>
    <w:rsid w:val="58845D45"/>
    <w:rsid w:val="5B046CCA"/>
    <w:rsid w:val="5D7563D3"/>
    <w:rsid w:val="5DD5494D"/>
    <w:rsid w:val="61F97D12"/>
    <w:rsid w:val="686F5868"/>
    <w:rsid w:val="74C330C5"/>
    <w:rsid w:val="7F5E5F95"/>
    <w:rsid w:val="7FF62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48" w:lineRule="auto" w:before="0" w:after="100"/>
      <w:ind w:firstLine="723" w:firstLineChars="200"/>
      <w:jc w:val="both"/>
    </w:pPr>
    <w:rPr>
      <w:rFonts w:eastAsia="Songti SC" w:asciiTheme="minorAscii" w:hAnsiTheme="minorAscii" w:cstheme="minorBidi" w:ascii="Songti SC" w:hAnsi="Songti SC"/>
      <w:b w:val="0"/>
      <w:color w:val="000000"/>
      <w:kern w:val="2"/>
      <w:sz w:val="23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200" w:beforeAutospacing="1" w:after="160" w:afterAutospacing="1" w:line="288" w:lineRule="auto"/>
      <w:jc w:val="left"/>
    </w:pPr>
    <w:rPr>
      <w:rFonts w:hint="eastAsia" w:ascii="Songti SC" w:hAnsi="Songti SC" w:eastAsia="Songti SC" w:cs="宋体"/>
      <w:b/>
      <w:bCs/>
      <w:color w:val="000000"/>
      <w:kern w:val="44"/>
      <w:sz w:val="32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60" w:beforeAutospacing="1" w:after="100" w:afterAutospacing="1" w:line="288" w:lineRule="auto"/>
      <w:ind w:firstLine="0" w:firstLineChars="0"/>
      <w:jc w:val="left"/>
      <w:outlineLvl w:val="1"/>
    </w:pPr>
    <w:rPr>
      <w:rFonts w:hint="eastAsia" w:ascii="Songti SC" w:hAnsi="Songti SC" w:eastAsia="Songti SC" w:cs="宋体"/>
      <w:b/>
      <w:bCs/>
      <w:color w:val="000000"/>
      <w:kern w:val="0"/>
      <w:sz w:val="26"/>
      <w:szCs w:val="36"/>
      <w:lang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120" w:beforeAutospacing="1" w:after="80" w:afterAutospacing="1" w:line="288" w:lineRule="auto"/>
      <w:ind w:firstLine="0" w:firstLineChars="0"/>
      <w:jc w:val="left"/>
      <w:outlineLvl w:val="2"/>
    </w:pPr>
    <w:rPr>
      <w:rFonts w:hint="eastAsia" w:ascii="Songti SC" w:hAnsi="Songti SC" w:eastAsia="Songti SC" w:cs="宋体"/>
      <w:b/>
      <w:bCs/>
      <w:color w:val="000000"/>
      <w:kern w:val="0"/>
      <w:sz w:val="23"/>
      <w:szCs w:val="27"/>
      <w:lang w:bidi="ar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qFormat/>
    <w:uiPriority w:val="0"/>
    <w:pPr>
      <w:ind w:left="640" w:leftChars="200" w:firstLine="0" w:firstLineChars="0"/>
    </w:pPr>
    <w:rPr>
      <w:sz w:val="2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仿宋_GB2312" w:hAnsi="仿宋_GB2312"/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qFormat/>
    <w:uiPriority w:val="0"/>
  </w:style>
  <w:style w:type="paragraph" w:styleId="9">
    <w:name w:val="toc 2"/>
    <w:basedOn w:val="1"/>
    <w:next w:val="1"/>
    <w:qFormat/>
    <w:uiPriority w:val="0"/>
    <w:pPr>
      <w:ind w:left="0" w:leftChars="0" w:firstLine="0" w:firstLineChars="0"/>
    </w:pPr>
    <w:rPr>
      <w:sz w:val="28"/>
    </w:rPr>
  </w:style>
  <w:style w:type="paragraph" w:styleId="10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customStyle="1" w:styleId="Title">
    <w:name w:val="Title"/>
    <w:basedOn w:val="1"/>
    <w:pPr>
      <w:spacing w:before="0" w:after="360" w:line="276" w:lineRule="auto"/>
      <w:jc w:val="center"/>
    </w:pPr>
    <w:rPr>
      <w:rFonts w:ascii="Songti SC" w:hAnsi="Songti SC" w:eastAsia="Songti SC"/>
      <w:b/>
      <w:color w:val="000000"/>
      <w:sz w:val="4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hyperlink" Target="https://infrapilot-ai-production-cd4c.up.railway.app" TargetMode="External"/><Relationship Id="rId11" Type="http://schemas.openxmlformats.org/officeDocument/2006/relationships/hyperlink" Target="https://infrapilot-ai-production-cd4c.up.railway.app/health" TargetMode="External"/><Relationship Id="rId12" Type="http://schemas.openxmlformats.org/officeDocument/2006/relationships/hyperlink" Target="https://github.com/weareoneconnection/InfraPilot-AI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618</Words>
  <Characters>627</Characters>
  <Lines>0</Lines>
  <Paragraphs>0</Paragraphs>
  <TotalTime>5</TotalTime>
  <ScaleCrop>false</ScaleCrop>
  <LinksUpToDate>false</LinksUpToDate>
  <CharactersWithSpaces>630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2026-09-15T02:09:00Z</dcterms:created>
  <dc:creator>中国港湾工程有限责任公司</dc:creator>
  <cp:lastModifiedBy>燕</cp:lastModifiedBy>
  <dcterms:modified xsi:type="dcterms:W3CDTF">2026-09-15T06:25:32Z</dcterms:modified>
  <cp:revision>1</cp:revision>
  <dc:title>InfraPilot AI 交通全场景智能应用设计报告</dc:title>
  <dc:subject>交通全场景智能应用赛道</dc:subject>
  <cp:keywords>交融杯, 人工智能, 交通基础设施, 参赛设计报告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ICV">
    <vt:lpwstr>937E3133A69D4A16B2A869118DF7C96F_13</vt:lpwstr>
  </property>
  <property fmtid="{D5CDD505-2E9C-101B-9397-08002B2CF9AE}" pid="4" name="KSOTemplateDocerSaveRecord">
    <vt:lpwstr>eyJoZGlkIjoiYTY4ODg1MDA2MjIzZDQwMDFjMTQwOWNlOGRjZmM5YjgiLCJ1c2VySWQiOiIxMjQ5MTU0NjU4In0=</vt:lpwstr>
  </property>
</Properties>
</file>