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PingFang SC"/>
          <w:b/>
          <w:sz w:val="30"/>
        </w:rPr>
        <w:t>Demo Rail Corridor Sdn Bhd (Employer)</w:t>
      </w:r>
    </w:p>
    <w:p>
      <w:pPr>
        <w:jc w:val="center"/>
      </w:pPr>
      <w:r>
        <w:rPr>
          <w:rFonts w:ascii="Arial" w:hAnsi="Arial" w:eastAsia="PingFang SC"/>
          <w:b w:val="0"/>
          <w:color w:val="606060"/>
          <w:sz w:val="18"/>
        </w:rPr>
        <w:t>Kuala Lumpur, Malaysia</w:t>
      </w:r>
    </w:p>
    <w:p>
      <w:pPr>
        <w:spacing w:after="80"/>
      </w:pPr>
      <w:r>
        <w:rPr>
          <w:rFonts w:ascii="Arial" w:hAnsi="Arial" w:eastAsia="PingFang SC"/>
          <w:b w:val="0"/>
          <w:sz w:val="22"/>
        </w:rPr>
        <w:t>Ref: DRC/MYRA/HSE/2026/017</w:t>
      </w:r>
    </w:p>
    <w:p>
      <w:pPr>
        <w:spacing w:after="80"/>
      </w:pPr>
      <w:r>
        <w:rPr>
          <w:rFonts w:ascii="Arial" w:hAnsi="Arial" w:eastAsia="PingFang SC"/>
          <w:b w:val="0"/>
          <w:sz w:val="22"/>
        </w:rPr>
        <w:t>Date: 12 October 2026</w:t>
      </w:r>
    </w:p>
    <w:p>
      <w:pPr>
        <w:spacing w:after="80"/>
      </w:pPr>
      <w:r>
        <w:rPr>
          <w:rFonts w:ascii="Arial" w:hAnsi="Arial" w:eastAsia="PingFang SC"/>
          <w:b w:val="0"/>
          <w:sz w:val="22"/>
        </w:rPr>
        <w:t>To: The Project Director, Global Rail Contractor (Demo) Sdn Bhd</w:t>
      </w:r>
    </w:p>
    <w:p>
      <w:pPr>
        <w:spacing w:after="80"/>
      </w:pPr>
      <w:r>
        <w:rPr>
          <w:rFonts w:ascii="Arial" w:hAnsi="Arial" w:eastAsia="PingFang SC"/>
          <w:b w:val="0"/>
          <w:sz w:val="22"/>
        </w:rPr>
        <w:t>Project: MY-RAIL-A Kuala Lumpur Corridor Rail Project, Package 2, Malaysia</w:t>
      </w:r>
    </w:p>
    <w:p>
      <w:pPr>
        <w:spacing w:after="80"/>
      </w:pPr>
      <w:r>
        <w:rPr>
          <w:rFonts w:ascii="Arial" w:hAnsi="Arial" w:eastAsia="PingFang SC"/>
          <w:b/>
          <w:sz w:val="22"/>
        </w:rPr>
        <w:t>Subject: Owner Notice – Unsafe Working at Height at Pier P47, Station S12 Viaduct</w:t>
      </w:r>
    </w:p>
    <w:p>
      <w:pPr>
        <w:spacing w:after="80"/>
      </w:pPr>
      <w:r>
        <w:rPr>
          <w:rFonts w:ascii="Arial" w:hAnsi="Arial" w:eastAsia="PingFang SC"/>
          <w:b w:val="0"/>
          <w:sz w:val="22"/>
        </w:rPr>
      </w:r>
    </w:p>
    <w:p>
      <w:pPr>
        <w:spacing w:after="80"/>
      </w:pPr>
      <w:r>
        <w:rPr>
          <w:rFonts w:ascii="Arial" w:hAnsi="Arial" w:eastAsia="PingFang SC"/>
          <w:b w:val="0"/>
          <w:sz w:val="22"/>
        </w:rPr>
        <w:t>Dear Sir,</w:t>
      </w:r>
    </w:p>
    <w:p>
      <w:pPr>
        <w:spacing w:after="80"/>
      </w:pPr>
      <w:r>
        <w:rPr>
          <w:rFonts w:ascii="Arial" w:hAnsi="Arial" w:eastAsia="PingFang SC"/>
          <w:b w:val="0"/>
          <w:sz w:val="22"/>
        </w:rPr>
        <w:t>During the joint HSE inspection on 11 October 2026 at Pier P47 of the Station S12 viaduct in Kuala Lumpur, Malaysia, our representative observed two workers at an elevated workface next to an unprotected edge without fall protection. The edge protection on the pier cap had been removed for formwork access and was not reinstated, and no fall arrest anchorage was in use.</w:t>
      </w:r>
    </w:p>
    <w:p>
      <w:pPr>
        <w:spacing w:after="80"/>
      </w:pPr>
      <w:r>
        <w:rPr>
          <w:rFonts w:ascii="Arial" w:hAnsi="Arial" w:eastAsia="PingFang SC"/>
          <w:b w:val="0"/>
          <w:sz w:val="22"/>
        </w:rPr>
        <w:t>You are required to:</w:t>
      </w:r>
    </w:p>
    <w:p>
      <w:pPr>
        <w:spacing w:after="80"/>
      </w:pPr>
      <w:r>
        <w:rPr>
          <w:rFonts w:ascii="Arial" w:hAnsi="Arial" w:eastAsia="PingFang SC"/>
          <w:b w:val="0"/>
          <w:sz w:val="22"/>
        </w:rPr>
        <w:t>1. Stop all working at height at Pier P47 immediately until edge protection is reinstated;</w:t>
      </w:r>
    </w:p>
    <w:p>
      <w:pPr>
        <w:spacing w:after="80"/>
      </w:pPr>
      <w:r>
        <w:rPr>
          <w:rFonts w:ascii="Arial" w:hAnsi="Arial" w:eastAsia="PingFang SC"/>
          <w:b w:val="0"/>
          <w:sz w:val="22"/>
        </w:rPr>
        <w:t>2. Reinstate edge protection and provide fall arrest equipment with suitable anchor points;</w:t>
      </w:r>
    </w:p>
    <w:p>
      <w:pPr>
        <w:spacing w:after="80"/>
      </w:pPr>
      <w:r>
        <w:rPr>
          <w:rFonts w:ascii="Arial" w:hAnsi="Arial" w:eastAsia="PingFang SC"/>
          <w:b w:val="0"/>
          <w:sz w:val="22"/>
        </w:rPr>
        <w:t>3. Submit a rectification report with photographs, the competent person records and toolbox talk records within 48 hours;</w:t>
      </w:r>
    </w:p>
    <w:p>
      <w:pPr>
        <w:spacing w:after="80"/>
      </w:pPr>
      <w:r>
        <w:rPr>
          <w:rFonts w:ascii="Arial" w:hAnsi="Arial" w:eastAsia="PingFang SC"/>
          <w:b w:val="0"/>
          <w:sz w:val="22"/>
        </w:rPr>
        <w:t>4. Confirm in writing the measures taken to prevent recurrence on other piers.</w:t>
      </w:r>
    </w:p>
    <w:p>
      <w:pPr>
        <w:spacing w:after="80"/>
      </w:pPr>
      <w:r>
        <w:rPr>
          <w:rFonts w:ascii="Arial" w:hAnsi="Arial" w:eastAsia="PingFang SC"/>
          <w:b w:val="0"/>
          <w:sz w:val="22"/>
        </w:rPr>
        <w:t>This notice is issued without prejudice to the Employer's rights under the Contract.</w:t>
      </w:r>
    </w:p>
    <w:p>
      <w:pPr>
        <w:spacing w:after="80"/>
      </w:pPr>
      <w:r>
        <w:rPr>
          <w:rFonts w:ascii="Arial" w:hAnsi="Arial" w:eastAsia="PingFang SC"/>
          <w:b w:val="0"/>
          <w:sz w:val="22"/>
        </w:rPr>
      </w:r>
    </w:p>
    <w:p>
      <w:pPr>
        <w:spacing w:after="80"/>
      </w:pPr>
      <w:r>
        <w:rPr>
          <w:rFonts w:ascii="Arial" w:hAnsi="Arial" w:eastAsia="PingFang SC"/>
          <w:b w:val="0"/>
          <w:sz w:val="22"/>
        </w:rPr>
        <w:t>Yours faithfully,</w:t>
      </w:r>
    </w:p>
    <w:p>
      <w:pPr>
        <w:spacing w:after="80"/>
      </w:pPr>
      <w:r>
        <w:rPr>
          <w:rFonts w:ascii="Arial" w:hAnsi="Arial" w:eastAsia="PingFang SC"/>
          <w:b w:val="0"/>
          <w:sz w:val="22"/>
        </w:rPr>
        <w:t>Ir. Aminah Rahman (fictional)</w:t>
      </w:r>
    </w:p>
    <w:p>
      <w:pPr>
        <w:spacing w:after="80"/>
      </w:pPr>
      <w:r>
        <w:rPr>
          <w:rFonts w:ascii="Arial" w:hAnsi="Arial" w:eastAsia="PingFang SC"/>
          <w:b w:val="0"/>
          <w:sz w:val="22"/>
        </w:rPr>
        <w:t>Employer's Representative, Demo Rail Corridor Sdn Bhd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color w:val="808080"/>
        <w:sz w:val="16"/>
      </w:rPr>
      <w:t>合成示例资料：单位与人员均为虚构，仅用于 GlobalInfra AI 演示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ingFang SC" w:hAnsi="PingFang SC" w:eastAsia="PingFang SC"/>
        <w:b w:val="0"/>
        <w:color w:val="C03030"/>
        <w:sz w:val="16"/>
      </w:rPr>
      <w:t>SYNTHETIC SAMPLE – all parties are fictional, for GlobalInfra AI demonstration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