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PingFang SC"/>
          <w:b/>
          <w:sz w:val="30"/>
        </w:rPr>
        <w:t>Demo Rail Corridor Sdn Bhd (Employer)</w:t>
      </w:r>
    </w:p>
    <w:p>
      <w:pPr>
        <w:jc w:val="center"/>
      </w:pPr>
      <w:r>
        <w:rPr>
          <w:rFonts w:ascii="Arial" w:hAnsi="Arial" w:eastAsia="PingFang SC"/>
          <w:b w:val="0"/>
          <w:color w:val="606060"/>
          <w:sz w:val="18"/>
        </w:rPr>
        <w:t>Kuala Lumpur, Malaysia</w:t>
      </w:r>
    </w:p>
    <w:p>
      <w:pPr>
        <w:spacing w:after="80"/>
      </w:pPr>
      <w:r>
        <w:rPr>
          <w:rFonts w:ascii="Arial" w:hAnsi="Arial" w:eastAsia="PingFang SC"/>
          <w:b w:val="0"/>
          <w:sz w:val="22"/>
        </w:rPr>
        <w:t>Ref: DRC/MYRA/CT/2026/031</w:t>
      </w:r>
    </w:p>
    <w:p>
      <w:pPr>
        <w:spacing w:after="80"/>
      </w:pPr>
      <w:r>
        <w:rPr>
          <w:rFonts w:ascii="Arial" w:hAnsi="Arial" w:eastAsia="PingFang SC"/>
          <w:b w:val="0"/>
          <w:sz w:val="22"/>
        </w:rPr>
        <w:t>Date: 9 October 2026</w:t>
      </w:r>
    </w:p>
    <w:p>
      <w:pPr>
        <w:spacing w:after="80"/>
      </w:pPr>
      <w:r>
        <w:rPr>
          <w:rFonts w:ascii="Arial" w:hAnsi="Arial" w:eastAsia="PingFang SC"/>
          <w:b w:val="0"/>
          <w:sz w:val="22"/>
        </w:rPr>
        <w:t>To: The Project Director, Global Rail Contractor (Demo) Sdn Bhd</w:t>
      </w:r>
    </w:p>
    <w:p>
      <w:pPr>
        <w:spacing w:after="80"/>
      </w:pPr>
      <w:r>
        <w:rPr>
          <w:rFonts w:ascii="Arial" w:hAnsi="Arial" w:eastAsia="PingFang SC"/>
          <w:b w:val="0"/>
          <w:sz w:val="22"/>
        </w:rPr>
        <w:t>Project: MY-RAIL-A Kuala Lumpur Corridor Rail Project, Package 2, Malaysia</w:t>
      </w:r>
    </w:p>
    <w:p>
      <w:pPr>
        <w:spacing w:after="80"/>
      </w:pPr>
      <w:r>
        <w:rPr>
          <w:rFonts w:ascii="Arial" w:hAnsi="Arial" w:eastAsia="PingFang SC"/>
          <w:b/>
          <w:sz w:val="22"/>
        </w:rPr>
        <w:t>Subject: Owner Notice – Damage to Temporary Access Road at CH 12+400</w:t>
      </w:r>
    </w:p>
    <w:p>
      <w:pPr>
        <w:spacing w:after="80"/>
      </w:pPr>
      <w:r>
        <w:rPr>
          <w:rFonts w:ascii="Arial" w:hAnsi="Arial" w:eastAsia="PingFang SC"/>
          <w:b w:val="0"/>
          <w:sz w:val="22"/>
        </w:rPr>
      </w:r>
    </w:p>
    <w:p>
      <w:pPr>
        <w:spacing w:after="80"/>
      </w:pPr>
      <w:r>
        <w:rPr>
          <w:rFonts w:ascii="Arial" w:hAnsi="Arial" w:eastAsia="PingFang SC"/>
          <w:b w:val="0"/>
          <w:sz w:val="22"/>
        </w:rPr>
        <w:t>Dear Sir,</w:t>
      </w:r>
    </w:p>
    <w:p>
      <w:pPr>
        <w:spacing w:after="80"/>
      </w:pPr>
      <w:r>
        <w:rPr>
          <w:rFonts w:ascii="Arial" w:hAnsi="Arial" w:eastAsia="PingFang SC"/>
          <w:b w:val="0"/>
          <w:sz w:val="22"/>
        </w:rPr>
        <w:t>The temporary access road at chainage CH 12+400 near Rawang, Malaysia has been damaged by heavy haul vehicles serving your works. The road surface and the side drain have failed over approximately 80 metres and local residents have complained.</w:t>
      </w:r>
    </w:p>
    <w:p>
      <w:pPr>
        <w:spacing w:after="80"/>
      </w:pPr>
      <w:r>
        <w:rPr>
          <w:rFonts w:ascii="Arial" w:hAnsi="Arial" w:eastAsia="PingFang SC"/>
          <w:b w:val="0"/>
          <w:sz w:val="22"/>
        </w:rPr>
        <w:t>Please carry out rectification of the access road and the side drain within 72 hours, and submit your position on responsibility for the damage with reference to the temporary works scope and the responsibility matrix.</w:t>
      </w:r>
    </w:p>
    <w:p>
      <w:pPr>
        <w:spacing w:after="80"/>
      </w:pPr>
      <w:r>
        <w:rPr>
          <w:rFonts w:ascii="Arial" w:hAnsi="Arial" w:eastAsia="PingFang SC"/>
          <w:b w:val="0"/>
          <w:sz w:val="22"/>
        </w:rPr>
      </w:r>
    </w:p>
    <w:p>
      <w:pPr>
        <w:spacing w:after="80"/>
      </w:pPr>
      <w:r>
        <w:rPr>
          <w:rFonts w:ascii="Arial" w:hAnsi="Arial" w:eastAsia="PingFang SC"/>
          <w:b w:val="0"/>
          <w:sz w:val="22"/>
        </w:rPr>
        <w:t>Yours faithfully,</w:t>
      </w:r>
    </w:p>
    <w:p>
      <w:pPr>
        <w:spacing w:after="80"/>
      </w:pPr>
      <w:r>
        <w:rPr>
          <w:rFonts w:ascii="Arial" w:hAnsi="Arial" w:eastAsia="PingFang SC"/>
          <w:b w:val="0"/>
          <w:sz w:val="22"/>
        </w:rPr>
        <w:t>Ir. Aminah Rahman (fictional)</w:t>
      </w:r>
    </w:p>
    <w:p>
      <w:pPr>
        <w:spacing w:after="80"/>
      </w:pPr>
      <w:r>
        <w:rPr>
          <w:rFonts w:ascii="Arial" w:hAnsi="Arial" w:eastAsia="PingFang SC"/>
          <w:b w:val="0"/>
          <w:sz w:val="22"/>
        </w:rPr>
        <w:t>Employer's Representative, Demo Rail Corridor Sdn Bhd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ingFang SC" w:hAnsi="PingFang SC" w:eastAsia="PingFang SC"/>
        <w:b w:val="0"/>
        <w:color w:val="808080"/>
        <w:sz w:val="16"/>
      </w:rPr>
      <w:t>合成示例资料：单位与人员均为虚构，仅用于 GlobalInfra AI 演示</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PingFang SC" w:hAnsi="PingFang SC" w:eastAsia="PingFang SC"/>
        <w:b w:val="0"/>
        <w:color w:val="C03030"/>
        <w:sz w:val="16"/>
      </w:rPr>
      <w:t>SYNTHETIC SAMPLE – all parties are fictional, for GlobalInfra AI demonstration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