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30"/>
        </w:rPr>
        <w:t>马来西亚吉隆坡走廊轨道项目（合成）项目部</w:t>
      </w:r>
    </w:p>
    <w:p>
      <w:pPr>
        <w:jc w:val="center"/>
      </w:pPr>
      <w:r>
        <w:rPr>
          <w:rFonts w:ascii="PingFang SC" w:hAnsi="PingFang SC" w:eastAsia="PingFang SC"/>
          <w:b w:val="0"/>
          <w:color w:val="606060"/>
          <w:sz w:val="18"/>
        </w:rPr>
        <w:t>马来西亚 吉隆坡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编号：MYRA-HSE-XC-2026-105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日期：2026年10月12日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项目：MY-RAIL-A 马来西亚吉隆坡走廊轨道项目 2 标段（合成）</w:t>
      </w:r>
    </w:p>
    <w:p>
      <w:pPr>
        <w:spacing w:after="80"/>
      </w:pPr>
      <w:r>
        <w:rPr>
          <w:rFonts w:ascii="PingFang SC" w:hAnsi="PingFang SC" w:eastAsia="PingFang SC"/>
          <w:b/>
          <w:sz w:val="22"/>
        </w:rPr>
        <w:t>主题：S12 车站 P47 墩高处作业安全巡查记录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巡查发现：P47 墩盖梁处 2 名工人在高处作业，临边防护已拆除未恢复，现场无防护，未系安全带，存在坠落风险。作业区未见有效的高处作业许可证和专职安全员旁站记录。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整改要求：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1. 立即停止 P47 墩高处作业，恢复临边防护；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2. 配齐安全带和坠落制动装置，设置可靠挂点；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3. 对作业班组开展安全交底，补齐胜任人员资质记录；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4. 24 小时内提交整改报告和照片，回复业主。</w:t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</w:r>
    </w:p>
    <w:p>
      <w:pPr>
        <w:spacing w:after="80"/>
      </w:pPr>
      <w:r>
        <w:rPr>
          <w:rFonts w:ascii="PingFang SC" w:hAnsi="PingFang SC" w:eastAsia="PingFang SC"/>
          <w:b w:val="0"/>
          <w:sz w:val="22"/>
        </w:rPr>
        <w:t>巡查人：李安全（虚构）　　项目安全总监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08080"/>
        <w:sz w:val="16"/>
      </w:rPr>
      <w:t>合成示例资料：单位与人员均为虚构，仅用于 GlobalInfra AI 演示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PingFang SC" w:hAnsi="PingFang SC" w:eastAsia="PingFang SC"/>
        <w:b w:val="0"/>
        <w:color w:val="C03030"/>
        <w:sz w:val="16"/>
      </w:rPr>
      <w:t>合成示例资料：单位与人员均为虚构，仅用于 GlobalInfra AI 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