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5C941" w14:textId="77777777" w:rsidR="00687099" w:rsidRPr="00687099" w:rsidRDefault="00687099" w:rsidP="00687099">
      <w:r w:rsidRPr="00687099">
        <w:rPr>
          <w:b/>
          <w:bCs/>
        </w:rPr>
        <w:t>PGLS Global Culture Guide — Preview Edition</w:t>
      </w:r>
    </w:p>
    <w:p w14:paraId="2AE6818E" w14:textId="77777777" w:rsidR="00687099" w:rsidRPr="00687099" w:rsidRDefault="00687099" w:rsidP="00687099">
      <w:r w:rsidRPr="00687099">
        <w:rPr>
          <w:i/>
          <w:iCs/>
        </w:rPr>
        <w:t>For Internal Review and Feedback</w:t>
      </w:r>
    </w:p>
    <w:p w14:paraId="6804EE3D" w14:textId="77777777" w:rsidR="00687099" w:rsidRPr="00687099" w:rsidRDefault="00687099" w:rsidP="00687099">
      <w:r w:rsidRPr="00687099">
        <w:pict w14:anchorId="0B8DA7F6">
          <v:rect id="_x0000_i1055" style="width:0;height:1.5pt" o:hralign="center" o:hrstd="t" o:hr="t" fillcolor="#a0a0a0" stroked="f"/>
        </w:pict>
      </w:r>
    </w:p>
    <w:p w14:paraId="20348935" w14:textId="77777777" w:rsidR="00687099" w:rsidRPr="00687099" w:rsidRDefault="00687099" w:rsidP="00687099">
      <w:pPr>
        <w:rPr>
          <w:b/>
          <w:bCs/>
        </w:rPr>
      </w:pPr>
      <w:r w:rsidRPr="00687099">
        <w:rPr>
          <w:b/>
          <w:bCs/>
        </w:rPr>
        <w:t>Purpose</w:t>
      </w:r>
    </w:p>
    <w:p w14:paraId="1A807113" w14:textId="77777777" w:rsidR="00687099" w:rsidRPr="00687099" w:rsidRDefault="00687099" w:rsidP="00687099">
      <w:r w:rsidRPr="00687099">
        <w:t xml:space="preserve">This guide provides culturally respectful, linguistically informed, and globally inclusive insights into the communities PGLS serves. It is designed for both internal teams and external clients, with </w:t>
      </w:r>
      <w:proofErr w:type="gramStart"/>
      <w:r w:rsidRPr="00687099">
        <w:t>particular value</w:t>
      </w:r>
      <w:proofErr w:type="gramEnd"/>
      <w:r w:rsidRPr="00687099">
        <w:t xml:space="preserve"> for interpreters, account managers, and customer-facing staff.</w:t>
      </w:r>
    </w:p>
    <w:p w14:paraId="4C7EAFEE" w14:textId="77777777" w:rsidR="00687099" w:rsidRPr="00687099" w:rsidRDefault="00687099" w:rsidP="00687099">
      <w:r w:rsidRPr="00687099">
        <w:pict w14:anchorId="54714296">
          <v:rect id="_x0000_i1056" style="width:0;height:1.5pt" o:hralign="center" o:hrstd="t" o:hr="t" fillcolor="#a0a0a0" stroked="f"/>
        </w:pict>
      </w:r>
    </w:p>
    <w:p w14:paraId="333028FC" w14:textId="77777777" w:rsidR="00687099" w:rsidRPr="00687099" w:rsidRDefault="00687099" w:rsidP="00687099">
      <w:pPr>
        <w:rPr>
          <w:b/>
          <w:bCs/>
        </w:rPr>
      </w:pPr>
      <w:r w:rsidRPr="00687099">
        <w:rPr>
          <w:b/>
          <w:bCs/>
        </w:rPr>
        <w:t>Sample Cultural Entries</w:t>
      </w:r>
    </w:p>
    <w:p w14:paraId="59A1181F" w14:textId="77777777" w:rsidR="00687099" w:rsidRPr="00687099" w:rsidRDefault="00687099" w:rsidP="00687099">
      <w:pPr>
        <w:rPr>
          <w:b/>
          <w:bCs/>
        </w:rPr>
      </w:pPr>
      <w:r w:rsidRPr="00687099">
        <w:rPr>
          <w:b/>
          <w:bCs/>
        </w:rPr>
        <w:t>Abenaki</w:t>
      </w:r>
    </w:p>
    <w:p w14:paraId="14274F88" w14:textId="77777777" w:rsidR="00687099" w:rsidRPr="00687099" w:rsidRDefault="00687099" w:rsidP="00687099">
      <w:pPr>
        <w:numPr>
          <w:ilvl w:val="0"/>
          <w:numId w:val="1"/>
        </w:numPr>
      </w:pPr>
      <w:r w:rsidRPr="00687099">
        <w:rPr>
          <w:b/>
          <w:bCs/>
        </w:rPr>
        <w:t>Region</w:t>
      </w:r>
      <w:r w:rsidRPr="00687099">
        <w:t>: North America (Northeastern United States &amp; Canada)</w:t>
      </w:r>
    </w:p>
    <w:p w14:paraId="4322C7F5" w14:textId="77777777" w:rsidR="00687099" w:rsidRPr="00687099" w:rsidRDefault="00687099" w:rsidP="00687099">
      <w:pPr>
        <w:numPr>
          <w:ilvl w:val="0"/>
          <w:numId w:val="1"/>
        </w:numPr>
      </w:pPr>
      <w:r w:rsidRPr="00687099">
        <w:rPr>
          <w:b/>
          <w:bCs/>
        </w:rPr>
        <w:t>Language(s)</w:t>
      </w:r>
      <w:r w:rsidRPr="00687099">
        <w:t>: Abenaki (Eastern Algonquian), English, French</w:t>
      </w:r>
    </w:p>
    <w:p w14:paraId="285DDAA5" w14:textId="77777777" w:rsidR="00687099" w:rsidRPr="00687099" w:rsidRDefault="00687099" w:rsidP="00687099">
      <w:pPr>
        <w:numPr>
          <w:ilvl w:val="0"/>
          <w:numId w:val="1"/>
        </w:numPr>
      </w:pPr>
      <w:r w:rsidRPr="00687099">
        <w:rPr>
          <w:b/>
          <w:bCs/>
        </w:rPr>
        <w:t>Overview</w:t>
      </w:r>
      <w:r w:rsidRPr="00687099">
        <w:t>: The Abenaki are an Indigenous people with historical territories in present-day Vermont, New Hampshire, and Quebec. Known for sustainable woodland living, community-centric values, and seasonal migration, their culture emphasizes harmony with nature and oral tradition.</w:t>
      </w:r>
    </w:p>
    <w:p w14:paraId="3399C136" w14:textId="77777777" w:rsidR="00687099" w:rsidRPr="00687099" w:rsidRDefault="00687099" w:rsidP="00687099">
      <w:pPr>
        <w:numPr>
          <w:ilvl w:val="0"/>
          <w:numId w:val="1"/>
        </w:numPr>
      </w:pPr>
      <w:r w:rsidRPr="00687099">
        <w:rPr>
          <w:b/>
          <w:bCs/>
        </w:rPr>
        <w:t>Family &amp; Society</w:t>
      </w:r>
      <w:r w:rsidRPr="00687099">
        <w:t>: Kinship ties are strong, traditionally organized into clan-based extended families. Elders are highly respected.</w:t>
      </w:r>
    </w:p>
    <w:p w14:paraId="2C960338" w14:textId="77777777" w:rsidR="00687099" w:rsidRPr="00687099" w:rsidRDefault="00687099" w:rsidP="00687099">
      <w:pPr>
        <w:numPr>
          <w:ilvl w:val="0"/>
          <w:numId w:val="1"/>
        </w:numPr>
      </w:pPr>
      <w:r w:rsidRPr="00687099">
        <w:rPr>
          <w:b/>
          <w:bCs/>
        </w:rPr>
        <w:t>Communication Style</w:t>
      </w:r>
      <w:r w:rsidRPr="00687099">
        <w:t>: Reserved and reflective. Listening is a sign of respect.</w:t>
      </w:r>
    </w:p>
    <w:p w14:paraId="12064394" w14:textId="77777777" w:rsidR="00687099" w:rsidRPr="00687099" w:rsidRDefault="00687099" w:rsidP="00687099">
      <w:pPr>
        <w:numPr>
          <w:ilvl w:val="0"/>
          <w:numId w:val="1"/>
        </w:numPr>
      </w:pPr>
      <w:r w:rsidRPr="00687099">
        <w:rPr>
          <w:b/>
          <w:bCs/>
        </w:rPr>
        <w:t>Etiquette &amp; Customs</w:t>
      </w:r>
      <w:r w:rsidRPr="00687099">
        <w:t>: Sharing is fundamental. Storytelling and seasonal ceremonies are central.</w:t>
      </w:r>
    </w:p>
    <w:p w14:paraId="155B3C24" w14:textId="77777777" w:rsidR="00687099" w:rsidRPr="00687099" w:rsidRDefault="00687099" w:rsidP="00687099">
      <w:pPr>
        <w:numPr>
          <w:ilvl w:val="0"/>
          <w:numId w:val="1"/>
        </w:numPr>
      </w:pPr>
      <w:r w:rsidRPr="00687099">
        <w:rPr>
          <w:b/>
          <w:bCs/>
        </w:rPr>
        <w:t>Interpreter Notes</w:t>
      </w:r>
      <w:r w:rsidRPr="00687099">
        <w:t>: Avoid rushing answers; allow pauses. Offer gender-matched interpreters when possible.</w:t>
      </w:r>
    </w:p>
    <w:p w14:paraId="681EED78" w14:textId="77777777" w:rsidR="00687099" w:rsidRPr="00687099" w:rsidRDefault="00687099" w:rsidP="00687099">
      <w:pPr>
        <w:rPr>
          <w:b/>
          <w:bCs/>
        </w:rPr>
      </w:pPr>
      <w:r w:rsidRPr="00687099">
        <w:rPr>
          <w:b/>
          <w:bCs/>
        </w:rPr>
        <w:t>Jamaican</w:t>
      </w:r>
    </w:p>
    <w:p w14:paraId="0588FDDF" w14:textId="77777777" w:rsidR="00687099" w:rsidRPr="00687099" w:rsidRDefault="00687099" w:rsidP="00687099">
      <w:pPr>
        <w:numPr>
          <w:ilvl w:val="0"/>
          <w:numId w:val="2"/>
        </w:numPr>
      </w:pPr>
      <w:r w:rsidRPr="00687099">
        <w:rPr>
          <w:b/>
          <w:bCs/>
        </w:rPr>
        <w:t>Region</w:t>
      </w:r>
      <w:r w:rsidRPr="00687099">
        <w:t>: Caribbean (Jamaica); diaspora in US, UK, Canada</w:t>
      </w:r>
    </w:p>
    <w:p w14:paraId="73800F5A" w14:textId="77777777" w:rsidR="00687099" w:rsidRPr="00687099" w:rsidRDefault="00687099" w:rsidP="00687099">
      <w:pPr>
        <w:numPr>
          <w:ilvl w:val="0"/>
          <w:numId w:val="2"/>
        </w:numPr>
      </w:pPr>
      <w:r w:rsidRPr="00687099">
        <w:rPr>
          <w:b/>
          <w:bCs/>
        </w:rPr>
        <w:t>Language(s)</w:t>
      </w:r>
      <w:r w:rsidRPr="00687099">
        <w:t>: Jamaican Patois, English</w:t>
      </w:r>
    </w:p>
    <w:p w14:paraId="12D9EA82" w14:textId="77777777" w:rsidR="00687099" w:rsidRPr="00687099" w:rsidRDefault="00687099" w:rsidP="00687099">
      <w:pPr>
        <w:numPr>
          <w:ilvl w:val="0"/>
          <w:numId w:val="2"/>
        </w:numPr>
      </w:pPr>
      <w:r w:rsidRPr="00687099">
        <w:rPr>
          <w:b/>
          <w:bCs/>
        </w:rPr>
        <w:t>Overview</w:t>
      </w:r>
      <w:r w:rsidRPr="00687099">
        <w:t>: Jamaican culture blends West African traditions with British colonial influences. Music, spirituality, and storytelling are major cultural pillars.</w:t>
      </w:r>
    </w:p>
    <w:p w14:paraId="4D06259D" w14:textId="77777777" w:rsidR="00687099" w:rsidRPr="00687099" w:rsidRDefault="00687099" w:rsidP="00687099">
      <w:pPr>
        <w:numPr>
          <w:ilvl w:val="0"/>
          <w:numId w:val="2"/>
        </w:numPr>
      </w:pPr>
      <w:r w:rsidRPr="00687099">
        <w:rPr>
          <w:b/>
          <w:bCs/>
        </w:rPr>
        <w:lastRenderedPageBreak/>
        <w:t>Family &amp; Society</w:t>
      </w:r>
      <w:r w:rsidRPr="00687099">
        <w:t>: Often matrifocal. Extended kin networks common. Respect for elders.</w:t>
      </w:r>
    </w:p>
    <w:p w14:paraId="7FDDCE33" w14:textId="77777777" w:rsidR="00687099" w:rsidRPr="00687099" w:rsidRDefault="00687099" w:rsidP="00687099">
      <w:pPr>
        <w:numPr>
          <w:ilvl w:val="0"/>
          <w:numId w:val="2"/>
        </w:numPr>
      </w:pPr>
      <w:r w:rsidRPr="00687099">
        <w:rPr>
          <w:b/>
          <w:bCs/>
        </w:rPr>
        <w:t>Communication Style</w:t>
      </w:r>
      <w:r w:rsidRPr="00687099">
        <w:t>: Expressive, rhythmic, layered with metaphor. Patois may be difficult for non-native speakers.</w:t>
      </w:r>
    </w:p>
    <w:p w14:paraId="7B3C7661" w14:textId="77777777" w:rsidR="00687099" w:rsidRPr="00687099" w:rsidRDefault="00687099" w:rsidP="00687099">
      <w:pPr>
        <w:numPr>
          <w:ilvl w:val="0"/>
          <w:numId w:val="2"/>
        </w:numPr>
      </w:pPr>
      <w:r w:rsidRPr="00687099">
        <w:rPr>
          <w:b/>
          <w:bCs/>
        </w:rPr>
        <w:t>Etiquette &amp; Customs</w:t>
      </w:r>
      <w:r w:rsidRPr="00687099">
        <w:t>: Warm greetings expected. Direct eye contact is common.</w:t>
      </w:r>
    </w:p>
    <w:p w14:paraId="5996712E" w14:textId="77777777" w:rsidR="00687099" w:rsidRPr="00687099" w:rsidRDefault="00687099" w:rsidP="00687099">
      <w:pPr>
        <w:numPr>
          <w:ilvl w:val="0"/>
          <w:numId w:val="2"/>
        </w:numPr>
      </w:pPr>
      <w:r w:rsidRPr="00687099">
        <w:rPr>
          <w:b/>
          <w:bCs/>
        </w:rPr>
        <w:t>Interpreter Notes</w:t>
      </w:r>
      <w:r w:rsidRPr="00687099">
        <w:t>: Clarify if Patois is preferred over standard English. Avoid literal translations of idioms.</w:t>
      </w:r>
    </w:p>
    <w:p w14:paraId="7B80DAFB" w14:textId="77777777" w:rsidR="00687099" w:rsidRPr="00687099" w:rsidRDefault="00687099" w:rsidP="00687099">
      <w:pPr>
        <w:rPr>
          <w:b/>
          <w:bCs/>
        </w:rPr>
      </w:pPr>
      <w:r w:rsidRPr="00687099">
        <w:rPr>
          <w:b/>
          <w:bCs/>
        </w:rPr>
        <w:t>Georgian</w:t>
      </w:r>
    </w:p>
    <w:p w14:paraId="195DD742" w14:textId="77777777" w:rsidR="00687099" w:rsidRPr="00687099" w:rsidRDefault="00687099" w:rsidP="00687099">
      <w:pPr>
        <w:numPr>
          <w:ilvl w:val="0"/>
          <w:numId w:val="3"/>
        </w:numPr>
      </w:pPr>
      <w:r w:rsidRPr="00687099">
        <w:rPr>
          <w:b/>
          <w:bCs/>
        </w:rPr>
        <w:t>Region</w:t>
      </w:r>
      <w:r w:rsidRPr="00687099">
        <w:t>: Caucasus (Georgia)</w:t>
      </w:r>
    </w:p>
    <w:p w14:paraId="4017AD0F" w14:textId="77777777" w:rsidR="00687099" w:rsidRPr="00687099" w:rsidRDefault="00687099" w:rsidP="00687099">
      <w:pPr>
        <w:numPr>
          <w:ilvl w:val="0"/>
          <w:numId w:val="3"/>
        </w:numPr>
      </w:pPr>
      <w:r w:rsidRPr="00687099">
        <w:rPr>
          <w:b/>
          <w:bCs/>
        </w:rPr>
        <w:t>Language(s)</w:t>
      </w:r>
      <w:r w:rsidRPr="00687099">
        <w:t>: Georgian (Kartvelian), Russian, minority languages</w:t>
      </w:r>
    </w:p>
    <w:p w14:paraId="6756E71F" w14:textId="77777777" w:rsidR="00687099" w:rsidRPr="00687099" w:rsidRDefault="00687099" w:rsidP="00687099">
      <w:pPr>
        <w:numPr>
          <w:ilvl w:val="0"/>
          <w:numId w:val="3"/>
        </w:numPr>
      </w:pPr>
      <w:r w:rsidRPr="00687099">
        <w:rPr>
          <w:b/>
          <w:bCs/>
        </w:rPr>
        <w:t>Overview</w:t>
      </w:r>
      <w:r w:rsidRPr="00687099">
        <w:t>: Georgian culture is shaped by Orthodox Christianity, ancient literary traditions, and strong family values. Hospitality is considered sacred.</w:t>
      </w:r>
    </w:p>
    <w:p w14:paraId="0BED85D4" w14:textId="77777777" w:rsidR="00687099" w:rsidRPr="00687099" w:rsidRDefault="00687099" w:rsidP="00687099">
      <w:pPr>
        <w:numPr>
          <w:ilvl w:val="0"/>
          <w:numId w:val="3"/>
        </w:numPr>
      </w:pPr>
      <w:r w:rsidRPr="00687099">
        <w:rPr>
          <w:b/>
          <w:bCs/>
        </w:rPr>
        <w:t>Family &amp; Society</w:t>
      </w:r>
      <w:r w:rsidRPr="00687099">
        <w:t>: Patriarchal but increasingly egalitarian. Multi-generational households are common.</w:t>
      </w:r>
    </w:p>
    <w:p w14:paraId="3233C945" w14:textId="77777777" w:rsidR="00687099" w:rsidRPr="00687099" w:rsidRDefault="00687099" w:rsidP="00687099">
      <w:pPr>
        <w:numPr>
          <w:ilvl w:val="0"/>
          <w:numId w:val="3"/>
        </w:numPr>
      </w:pPr>
      <w:r w:rsidRPr="00687099">
        <w:rPr>
          <w:b/>
          <w:bCs/>
        </w:rPr>
        <w:t>Communication Style</w:t>
      </w:r>
      <w:r w:rsidRPr="00687099">
        <w:t>: Formal but warm; importance placed on honorifics.</w:t>
      </w:r>
    </w:p>
    <w:p w14:paraId="07BD18D6" w14:textId="77777777" w:rsidR="00687099" w:rsidRPr="00687099" w:rsidRDefault="00687099" w:rsidP="00687099">
      <w:pPr>
        <w:numPr>
          <w:ilvl w:val="0"/>
          <w:numId w:val="3"/>
        </w:numPr>
      </w:pPr>
      <w:r w:rsidRPr="00687099">
        <w:rPr>
          <w:b/>
          <w:bCs/>
        </w:rPr>
        <w:t>Etiquette &amp; Customs</w:t>
      </w:r>
      <w:r w:rsidRPr="00687099">
        <w:t>: Guests are treated with exceptional courtesy. Food rituals (e.g., supra) are symbolic.</w:t>
      </w:r>
    </w:p>
    <w:p w14:paraId="7C6E8921" w14:textId="77777777" w:rsidR="00687099" w:rsidRPr="00687099" w:rsidRDefault="00687099" w:rsidP="00687099">
      <w:pPr>
        <w:numPr>
          <w:ilvl w:val="0"/>
          <w:numId w:val="3"/>
        </w:numPr>
      </w:pPr>
      <w:r w:rsidRPr="00687099">
        <w:rPr>
          <w:b/>
          <w:bCs/>
        </w:rPr>
        <w:t>Interpreter Notes</w:t>
      </w:r>
      <w:r w:rsidRPr="00687099">
        <w:t>: Use respectful language. Clarify legal or medical terms that may not have direct Georgian equivalents.</w:t>
      </w:r>
    </w:p>
    <w:p w14:paraId="378FAA74" w14:textId="77777777" w:rsidR="00687099" w:rsidRPr="00687099" w:rsidRDefault="00687099" w:rsidP="00687099">
      <w:pPr>
        <w:rPr>
          <w:b/>
          <w:bCs/>
        </w:rPr>
      </w:pPr>
      <w:r w:rsidRPr="00687099">
        <w:rPr>
          <w:b/>
          <w:bCs/>
        </w:rPr>
        <w:t>Somali</w:t>
      </w:r>
    </w:p>
    <w:p w14:paraId="1D8AFA89" w14:textId="77777777" w:rsidR="00687099" w:rsidRPr="00687099" w:rsidRDefault="00687099" w:rsidP="00687099">
      <w:pPr>
        <w:numPr>
          <w:ilvl w:val="0"/>
          <w:numId w:val="4"/>
        </w:numPr>
      </w:pPr>
      <w:r w:rsidRPr="00687099">
        <w:rPr>
          <w:b/>
          <w:bCs/>
        </w:rPr>
        <w:t>Region</w:t>
      </w:r>
      <w:r w:rsidRPr="00687099">
        <w:t>: East Africa; large diaspora in Minnesota, Ohio, UK, Canada</w:t>
      </w:r>
    </w:p>
    <w:p w14:paraId="77BA1DCD" w14:textId="77777777" w:rsidR="00687099" w:rsidRPr="00687099" w:rsidRDefault="00687099" w:rsidP="00687099">
      <w:pPr>
        <w:numPr>
          <w:ilvl w:val="0"/>
          <w:numId w:val="4"/>
        </w:numPr>
      </w:pPr>
      <w:r w:rsidRPr="00687099">
        <w:rPr>
          <w:b/>
          <w:bCs/>
        </w:rPr>
        <w:t>Language(s)</w:t>
      </w:r>
      <w:r w:rsidRPr="00687099">
        <w:t>: Somali, Arabic, English</w:t>
      </w:r>
    </w:p>
    <w:p w14:paraId="3A163EFA" w14:textId="77777777" w:rsidR="00687099" w:rsidRPr="00687099" w:rsidRDefault="00687099" w:rsidP="00687099">
      <w:pPr>
        <w:numPr>
          <w:ilvl w:val="0"/>
          <w:numId w:val="4"/>
        </w:numPr>
      </w:pPr>
      <w:r w:rsidRPr="00687099">
        <w:rPr>
          <w:b/>
          <w:bCs/>
        </w:rPr>
        <w:t>Overview</w:t>
      </w:r>
      <w:r w:rsidRPr="00687099">
        <w:t>: Somali culture is clan-based and deeply influenced by Islam, poetry, and oral history. Resilience and adaptability are central traits.</w:t>
      </w:r>
    </w:p>
    <w:p w14:paraId="027AE041" w14:textId="77777777" w:rsidR="00687099" w:rsidRPr="00687099" w:rsidRDefault="00687099" w:rsidP="00687099">
      <w:pPr>
        <w:numPr>
          <w:ilvl w:val="0"/>
          <w:numId w:val="4"/>
        </w:numPr>
      </w:pPr>
      <w:r w:rsidRPr="00687099">
        <w:rPr>
          <w:b/>
          <w:bCs/>
        </w:rPr>
        <w:t>Family &amp; Society</w:t>
      </w:r>
      <w:r w:rsidRPr="00687099">
        <w:t>: Large families, clan loyalty, male elders as authority figures</w:t>
      </w:r>
    </w:p>
    <w:p w14:paraId="3EF9D283" w14:textId="77777777" w:rsidR="00687099" w:rsidRPr="00687099" w:rsidRDefault="00687099" w:rsidP="00687099">
      <w:pPr>
        <w:numPr>
          <w:ilvl w:val="0"/>
          <w:numId w:val="4"/>
        </w:numPr>
      </w:pPr>
      <w:r w:rsidRPr="00687099">
        <w:rPr>
          <w:b/>
          <w:bCs/>
        </w:rPr>
        <w:t>Communication Style</w:t>
      </w:r>
      <w:r w:rsidRPr="00687099">
        <w:t>: Poetic, assertive, indirect on sensitive topics</w:t>
      </w:r>
    </w:p>
    <w:p w14:paraId="110DCE93" w14:textId="77777777" w:rsidR="00687099" w:rsidRPr="00687099" w:rsidRDefault="00687099" w:rsidP="00687099">
      <w:pPr>
        <w:numPr>
          <w:ilvl w:val="0"/>
          <w:numId w:val="4"/>
        </w:numPr>
      </w:pPr>
      <w:r w:rsidRPr="00687099">
        <w:rPr>
          <w:b/>
          <w:bCs/>
        </w:rPr>
        <w:t>Etiquette &amp; Customs</w:t>
      </w:r>
      <w:r w:rsidRPr="00687099">
        <w:t>: Gender separation is common; elders are greeted first</w:t>
      </w:r>
    </w:p>
    <w:p w14:paraId="59BAA5DB" w14:textId="77777777" w:rsidR="00687099" w:rsidRPr="00687099" w:rsidRDefault="00687099" w:rsidP="00687099">
      <w:pPr>
        <w:numPr>
          <w:ilvl w:val="0"/>
          <w:numId w:val="4"/>
        </w:numPr>
      </w:pPr>
      <w:r w:rsidRPr="00687099">
        <w:rPr>
          <w:b/>
          <w:bCs/>
        </w:rPr>
        <w:t>Interpreter Notes</w:t>
      </w:r>
      <w:r w:rsidRPr="00687099">
        <w:t>: Match gender when possible. Be sensitive to discussions about mental health or trauma.</w:t>
      </w:r>
    </w:p>
    <w:p w14:paraId="6879B532" w14:textId="77777777" w:rsidR="00687099" w:rsidRPr="00687099" w:rsidRDefault="00687099" w:rsidP="00687099">
      <w:r w:rsidRPr="00687099">
        <w:lastRenderedPageBreak/>
        <w:pict w14:anchorId="18145381">
          <v:rect id="_x0000_i1057" style="width:0;height:1.5pt" o:hralign="center" o:hrstd="t" o:hr="t" fillcolor="#a0a0a0" stroked="f"/>
        </w:pict>
      </w:r>
    </w:p>
    <w:p w14:paraId="20293BEC" w14:textId="77777777" w:rsidR="00687099" w:rsidRPr="00687099" w:rsidRDefault="00687099" w:rsidP="00687099">
      <w:pPr>
        <w:rPr>
          <w:b/>
          <w:bCs/>
        </w:rPr>
      </w:pPr>
      <w:r w:rsidRPr="00687099">
        <w:rPr>
          <w:b/>
          <w:bCs/>
        </w:rPr>
        <w:t>Language–Culture Index Preview (Sample)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2350"/>
        <w:gridCol w:w="3921"/>
      </w:tblGrid>
      <w:tr w:rsidR="00687099" w:rsidRPr="00687099" w14:paraId="34592978" w14:textId="77777777" w:rsidTr="00687099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68EC90C4" w14:textId="77777777" w:rsidR="00687099" w:rsidRPr="00687099" w:rsidRDefault="00687099" w:rsidP="00687099">
            <w:pPr>
              <w:rPr>
                <w:b/>
                <w:bCs/>
              </w:rPr>
            </w:pPr>
            <w:r w:rsidRPr="00687099">
              <w:rPr>
                <w:b/>
                <w:bCs/>
              </w:rPr>
              <w:t>Language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7AACB5" w14:textId="77777777" w:rsidR="00687099" w:rsidRPr="00687099" w:rsidRDefault="00687099" w:rsidP="00687099">
            <w:pPr>
              <w:rPr>
                <w:b/>
                <w:bCs/>
              </w:rPr>
            </w:pPr>
            <w:r w:rsidRPr="00687099">
              <w:rPr>
                <w:b/>
                <w:bCs/>
              </w:rPr>
              <w:t>Associated Cultures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407F1C" w14:textId="77777777" w:rsidR="00687099" w:rsidRPr="00687099" w:rsidRDefault="00687099" w:rsidP="00687099">
            <w:pPr>
              <w:rPr>
                <w:b/>
                <w:bCs/>
              </w:rPr>
            </w:pPr>
            <w:r w:rsidRPr="00687099">
              <w:rPr>
                <w:b/>
                <w:bCs/>
              </w:rPr>
              <w:t>Notes</w:t>
            </w:r>
          </w:p>
        </w:tc>
      </w:tr>
      <w:tr w:rsidR="00687099" w:rsidRPr="00687099" w14:paraId="7E6FA3D6" w14:textId="77777777" w:rsidTr="00687099">
        <w:trPr>
          <w:tblCellSpacing w:w="15" w:type="dxa"/>
          <w:jc w:val="center"/>
        </w:trPr>
        <w:tc>
          <w:tcPr>
            <w:tcW w:w="0" w:type="auto"/>
            <w:tcBorders>
              <w:left w:val="single" w:sz="12" w:space="0" w:color="auto"/>
            </w:tcBorders>
            <w:vAlign w:val="center"/>
            <w:hideMark/>
          </w:tcPr>
          <w:p w14:paraId="5B98A155" w14:textId="77777777" w:rsidR="00687099" w:rsidRPr="00687099" w:rsidRDefault="00687099" w:rsidP="00687099">
            <w:r w:rsidRPr="00687099">
              <w:t>Abenaki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9721153" w14:textId="77777777" w:rsidR="00687099" w:rsidRPr="00687099" w:rsidRDefault="00687099" w:rsidP="00687099">
            <w:r w:rsidRPr="00687099">
              <w:t>Abenaki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  <w:hideMark/>
          </w:tcPr>
          <w:p w14:paraId="780F4FA7" w14:textId="77777777" w:rsidR="00687099" w:rsidRPr="00687099" w:rsidRDefault="00687099" w:rsidP="00687099">
            <w:r w:rsidRPr="00687099">
              <w:t>Algonquian language family</w:t>
            </w:r>
          </w:p>
        </w:tc>
      </w:tr>
      <w:tr w:rsidR="00687099" w:rsidRPr="00687099" w14:paraId="358F2A5E" w14:textId="77777777" w:rsidTr="00687099">
        <w:trPr>
          <w:tblCellSpacing w:w="15" w:type="dxa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1BED57C8" w14:textId="77777777" w:rsidR="00687099" w:rsidRPr="00687099" w:rsidRDefault="00687099" w:rsidP="00687099">
            <w:r w:rsidRPr="00687099">
              <w:t>Jamaican Patois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B4D640D" w14:textId="77777777" w:rsidR="00687099" w:rsidRPr="00687099" w:rsidRDefault="00687099" w:rsidP="00687099">
            <w:r w:rsidRPr="00687099">
              <w:t>Jamaican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04431A" w14:textId="77777777" w:rsidR="00687099" w:rsidRPr="00687099" w:rsidRDefault="00687099" w:rsidP="00687099">
            <w:r w:rsidRPr="00687099">
              <w:t>Creole-based, often informal register</w:t>
            </w:r>
          </w:p>
        </w:tc>
      </w:tr>
      <w:tr w:rsidR="00687099" w:rsidRPr="00687099" w14:paraId="221E5630" w14:textId="77777777" w:rsidTr="00687099">
        <w:trPr>
          <w:tblCellSpacing w:w="15" w:type="dxa"/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50591D88" w14:textId="77777777" w:rsidR="00687099" w:rsidRPr="00687099" w:rsidRDefault="00687099" w:rsidP="00687099">
            <w:r w:rsidRPr="00687099">
              <w:t>Georgian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CECBE4" w14:textId="77777777" w:rsidR="00687099" w:rsidRPr="00687099" w:rsidRDefault="00687099" w:rsidP="00687099">
            <w:r w:rsidRPr="00687099">
              <w:t>Georgian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70A95D" w14:textId="77777777" w:rsidR="00687099" w:rsidRPr="00687099" w:rsidRDefault="00687099" w:rsidP="00687099">
            <w:r w:rsidRPr="00687099">
              <w:t>Unique script, Kartvelian root</w:t>
            </w:r>
          </w:p>
        </w:tc>
      </w:tr>
      <w:tr w:rsidR="00687099" w:rsidRPr="00687099" w14:paraId="6F76FD9D" w14:textId="77777777" w:rsidTr="00687099">
        <w:trPr>
          <w:tblCellSpacing w:w="15" w:type="dxa"/>
          <w:jc w:val="center"/>
        </w:trPr>
        <w:tc>
          <w:tcPr>
            <w:tcW w:w="0" w:type="auto"/>
            <w:tcBorders>
              <w:left w:val="single" w:sz="12" w:space="0" w:color="auto"/>
            </w:tcBorders>
            <w:vAlign w:val="center"/>
            <w:hideMark/>
          </w:tcPr>
          <w:p w14:paraId="00DD3D84" w14:textId="77777777" w:rsidR="00687099" w:rsidRPr="00687099" w:rsidRDefault="00687099" w:rsidP="00687099">
            <w:r w:rsidRPr="00687099">
              <w:t>Somali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28DAEC5" w14:textId="77777777" w:rsidR="00687099" w:rsidRPr="00687099" w:rsidRDefault="00687099" w:rsidP="00687099">
            <w:r w:rsidRPr="00687099">
              <w:t>Somali, Somali Bantu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  <w:hideMark/>
          </w:tcPr>
          <w:p w14:paraId="50768FC9" w14:textId="77777777" w:rsidR="00687099" w:rsidRPr="00687099" w:rsidRDefault="00687099" w:rsidP="00687099">
            <w:r w:rsidRPr="00687099">
              <w:t>Arabic may be second language</w:t>
            </w:r>
          </w:p>
        </w:tc>
      </w:tr>
      <w:tr w:rsidR="00687099" w:rsidRPr="00687099" w14:paraId="13FE2DA8" w14:textId="77777777" w:rsidTr="00687099">
        <w:trPr>
          <w:tblCellSpacing w:w="15" w:type="dxa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  <w:hideMark/>
          </w:tcPr>
          <w:p w14:paraId="42EC69F2" w14:textId="77777777" w:rsidR="00687099" w:rsidRPr="00687099" w:rsidRDefault="00687099" w:rsidP="00687099">
            <w:r w:rsidRPr="00687099">
              <w:t>Haitian Creole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2A930C6" w14:textId="77777777" w:rsidR="00687099" w:rsidRPr="00687099" w:rsidRDefault="00687099" w:rsidP="00687099">
            <w:r w:rsidRPr="00687099">
              <w:t>Haitian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  <w:hideMark/>
          </w:tcPr>
          <w:p w14:paraId="2FC0D6D3" w14:textId="77777777" w:rsidR="00687099" w:rsidRPr="00687099" w:rsidRDefault="00687099" w:rsidP="00687099">
            <w:r w:rsidRPr="00687099">
              <w:t>French-based Creole</w:t>
            </w:r>
          </w:p>
        </w:tc>
      </w:tr>
      <w:tr w:rsidR="00687099" w:rsidRPr="00687099" w14:paraId="7FEC6645" w14:textId="77777777" w:rsidTr="00687099">
        <w:trPr>
          <w:tblCellSpacing w:w="15" w:type="dxa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  <w:hideMark/>
          </w:tcPr>
          <w:p w14:paraId="192A37B6" w14:textId="77777777" w:rsidR="00687099" w:rsidRPr="00687099" w:rsidRDefault="00687099" w:rsidP="00687099">
            <w:r w:rsidRPr="00687099">
              <w:t>Kurdish (</w:t>
            </w:r>
            <w:proofErr w:type="spellStart"/>
            <w:r w:rsidRPr="00687099">
              <w:t>Kurmanji</w:t>
            </w:r>
            <w:proofErr w:type="spellEnd"/>
            <w:r w:rsidRPr="00687099">
              <w:t>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  <w:hideMark/>
          </w:tcPr>
          <w:p w14:paraId="03A80502" w14:textId="77777777" w:rsidR="00687099" w:rsidRPr="00687099" w:rsidRDefault="00687099" w:rsidP="00687099">
            <w:r w:rsidRPr="00687099">
              <w:t>Kurdish, Yazidi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FD4C091" w14:textId="77777777" w:rsidR="00687099" w:rsidRPr="00687099" w:rsidRDefault="00687099" w:rsidP="00687099">
            <w:r w:rsidRPr="00687099">
              <w:t>Gender-sensitive, regional dialects</w:t>
            </w:r>
          </w:p>
        </w:tc>
      </w:tr>
      <w:tr w:rsidR="00687099" w:rsidRPr="00687099" w14:paraId="69F436F4" w14:textId="77777777" w:rsidTr="00687099">
        <w:trPr>
          <w:tblCellSpacing w:w="15" w:type="dxa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2B1C5EFA" w14:textId="77777777" w:rsidR="00687099" w:rsidRPr="00687099" w:rsidRDefault="00687099" w:rsidP="00687099">
            <w:r w:rsidRPr="00687099">
              <w:t>Vietnamese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7A7464AC" w14:textId="77777777" w:rsidR="00687099" w:rsidRPr="00687099" w:rsidRDefault="00687099" w:rsidP="00687099">
            <w:r w:rsidRPr="00687099">
              <w:t>Vietnamese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47221A" w14:textId="77777777" w:rsidR="00687099" w:rsidRPr="00687099" w:rsidRDefault="00687099" w:rsidP="00687099">
            <w:r w:rsidRPr="00687099">
              <w:t>Tonal; respect for elders emphasized</w:t>
            </w:r>
          </w:p>
        </w:tc>
      </w:tr>
    </w:tbl>
    <w:p w14:paraId="58ED23FA" w14:textId="77777777" w:rsidR="00687099" w:rsidRPr="00687099" w:rsidRDefault="00687099" w:rsidP="00687099">
      <w:r w:rsidRPr="00687099">
        <w:pict w14:anchorId="5ED43BA0">
          <v:rect id="_x0000_i1058" style="width:0;height:1.5pt" o:hralign="center" o:hrstd="t" o:hr="t" fillcolor="#a0a0a0" stroked="f"/>
        </w:pict>
      </w:r>
    </w:p>
    <w:p w14:paraId="1C8A18E5" w14:textId="77777777" w:rsidR="00687099" w:rsidRPr="00687099" w:rsidRDefault="00687099" w:rsidP="00687099">
      <w:pPr>
        <w:rPr>
          <w:b/>
          <w:bCs/>
        </w:rPr>
      </w:pPr>
      <w:r w:rsidRPr="00687099">
        <w:rPr>
          <w:b/>
          <w:bCs/>
        </w:rPr>
        <w:t>Editorial Notes</w:t>
      </w:r>
    </w:p>
    <w:p w14:paraId="78E9D251" w14:textId="77777777" w:rsidR="00687099" w:rsidRPr="00687099" w:rsidRDefault="00687099" w:rsidP="00687099">
      <w:pPr>
        <w:numPr>
          <w:ilvl w:val="0"/>
          <w:numId w:val="5"/>
        </w:numPr>
      </w:pPr>
      <w:r w:rsidRPr="00687099">
        <w:t>All entries are written with an emphasis on neutrality, avoiding bias or ideological framing.</w:t>
      </w:r>
    </w:p>
    <w:p w14:paraId="3D36786B" w14:textId="77777777" w:rsidR="00687099" w:rsidRPr="00687099" w:rsidRDefault="00687099" w:rsidP="00687099">
      <w:pPr>
        <w:numPr>
          <w:ilvl w:val="0"/>
          <w:numId w:val="5"/>
        </w:numPr>
      </w:pPr>
      <w:r w:rsidRPr="00687099">
        <w:t>Every culture includes at least one associated language from the PGLS-supported list.</w:t>
      </w:r>
    </w:p>
    <w:p w14:paraId="6DB6789C" w14:textId="77777777" w:rsidR="00687099" w:rsidRPr="00687099" w:rsidRDefault="00687099" w:rsidP="00687099">
      <w:pPr>
        <w:numPr>
          <w:ilvl w:val="0"/>
          <w:numId w:val="5"/>
        </w:numPr>
      </w:pPr>
      <w:r w:rsidRPr="00687099">
        <w:t>Interpreter and communication tips are drawn from real-world use cases.</w:t>
      </w:r>
    </w:p>
    <w:p w14:paraId="0C3DED6A" w14:textId="77777777" w:rsidR="00687099" w:rsidRPr="00687099" w:rsidRDefault="00687099" w:rsidP="00687099">
      <w:pPr>
        <w:rPr>
          <w:b/>
          <w:bCs/>
        </w:rPr>
      </w:pPr>
      <w:r w:rsidRPr="00687099">
        <w:rPr>
          <w:b/>
          <w:bCs/>
        </w:rPr>
        <w:t>Next Steps</w:t>
      </w:r>
    </w:p>
    <w:p w14:paraId="3EC9AEFC" w14:textId="77777777" w:rsidR="00687099" w:rsidRPr="00687099" w:rsidRDefault="00687099" w:rsidP="00687099">
      <w:pPr>
        <w:numPr>
          <w:ilvl w:val="0"/>
          <w:numId w:val="6"/>
        </w:numPr>
      </w:pPr>
      <w:r w:rsidRPr="00687099">
        <w:t>Finalize formatting and full entries for remaining ~250 cultures</w:t>
      </w:r>
    </w:p>
    <w:p w14:paraId="5A4ACB38" w14:textId="77777777" w:rsidR="00687099" w:rsidRPr="00687099" w:rsidRDefault="00687099" w:rsidP="00687099">
      <w:pPr>
        <w:numPr>
          <w:ilvl w:val="0"/>
          <w:numId w:val="6"/>
        </w:numPr>
      </w:pPr>
      <w:r w:rsidRPr="00687099">
        <w:t>Expand diaspora and diaspora-sensitive guidance</w:t>
      </w:r>
    </w:p>
    <w:p w14:paraId="0262FCBD" w14:textId="77777777" w:rsidR="00687099" w:rsidRPr="00687099" w:rsidRDefault="00687099" w:rsidP="00687099">
      <w:pPr>
        <w:numPr>
          <w:ilvl w:val="0"/>
          <w:numId w:val="6"/>
        </w:numPr>
      </w:pPr>
      <w:r w:rsidRPr="00687099">
        <w:t>Deliver final indexed, shareable guide (Word, PDF, and spreadsheet)</w:t>
      </w:r>
    </w:p>
    <w:p w14:paraId="2A868686" w14:textId="77777777" w:rsidR="00687099" w:rsidRPr="00687099" w:rsidRDefault="00687099" w:rsidP="00687099">
      <w:pPr>
        <w:numPr>
          <w:ilvl w:val="0"/>
          <w:numId w:val="6"/>
        </w:numPr>
      </w:pPr>
      <w:r w:rsidRPr="00687099">
        <w:t>Optional: Interactive or training-ready versions</w:t>
      </w:r>
    </w:p>
    <w:p w14:paraId="05E38E70" w14:textId="77777777" w:rsidR="00687099" w:rsidRPr="00687099" w:rsidRDefault="00687099" w:rsidP="00687099">
      <w:r w:rsidRPr="00687099">
        <w:pict w14:anchorId="0F005912">
          <v:rect id="_x0000_i1059" style="width:0;height:1.5pt" o:hralign="center" o:hrstd="t" o:hr="t" fillcolor="#a0a0a0" stroked="f"/>
        </w:pict>
      </w:r>
    </w:p>
    <w:p w14:paraId="67CA8731" w14:textId="0E24E5B6" w:rsidR="00CA72E5" w:rsidRPr="00687099" w:rsidRDefault="00687099">
      <w:pPr>
        <w:rPr>
          <w:b/>
          <w:bCs/>
        </w:rPr>
      </w:pPr>
      <w:r w:rsidRPr="00687099">
        <w:rPr>
          <w:b/>
          <w:bCs/>
        </w:rPr>
        <w:t>Questions? Feedback?</w:t>
      </w:r>
      <w:r w:rsidRPr="00687099">
        <w:br/>
        <w:t>Please contact the PGLS Culture Guide Project Lead or reply directly with edits or requests for additional entries.</w:t>
      </w:r>
    </w:p>
    <w:sectPr w:rsidR="00CA72E5" w:rsidRPr="00687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84E11"/>
    <w:multiLevelType w:val="multilevel"/>
    <w:tmpl w:val="3FB4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46B6"/>
    <w:multiLevelType w:val="multilevel"/>
    <w:tmpl w:val="D568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9294D"/>
    <w:multiLevelType w:val="multilevel"/>
    <w:tmpl w:val="6A40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62AB8"/>
    <w:multiLevelType w:val="multilevel"/>
    <w:tmpl w:val="1F60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4454A"/>
    <w:multiLevelType w:val="multilevel"/>
    <w:tmpl w:val="C73E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1C092E"/>
    <w:multiLevelType w:val="multilevel"/>
    <w:tmpl w:val="9486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255058">
    <w:abstractNumId w:val="2"/>
  </w:num>
  <w:num w:numId="2" w16cid:durableId="1278369881">
    <w:abstractNumId w:val="4"/>
  </w:num>
  <w:num w:numId="3" w16cid:durableId="1921863468">
    <w:abstractNumId w:val="5"/>
  </w:num>
  <w:num w:numId="4" w16cid:durableId="1658920302">
    <w:abstractNumId w:val="0"/>
  </w:num>
  <w:num w:numId="5" w16cid:durableId="1014112548">
    <w:abstractNumId w:val="3"/>
  </w:num>
  <w:num w:numId="6" w16cid:durableId="648245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99"/>
    <w:rsid w:val="00181731"/>
    <w:rsid w:val="00687099"/>
    <w:rsid w:val="008469C1"/>
    <w:rsid w:val="00994A08"/>
    <w:rsid w:val="00CA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60C7"/>
  <w15:chartTrackingRefBased/>
  <w15:docId w15:val="{9422DAC5-DD35-44FA-A25F-E8CAD61A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0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Weaver</dc:creator>
  <cp:keywords/>
  <dc:description/>
  <cp:lastModifiedBy>Brett Weaver</cp:lastModifiedBy>
  <cp:revision>1</cp:revision>
  <dcterms:created xsi:type="dcterms:W3CDTF">2025-06-24T22:22:00Z</dcterms:created>
  <dcterms:modified xsi:type="dcterms:W3CDTF">2025-06-24T22:26:00Z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2025-06-24T22:25:36Z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dc94290c-0a2e-460b-81bc-ecb0fd6e7692</vt:lpwstr>
  </property>
  <property fmtid="{D5CDD505-2E9C-101B-9397-08002B2CF9AE}" pid="7" name="MSIP_Label_defa4170-0d19-0005-0004-bc88714345d2_ActionId">
    <vt:lpwstr>9ce1f60d-5a03-40c2-a172-7eb6e8796a6c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