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4E0685"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Operating Agreement for GFV LLC</w:t>
      </w:r>
    </w:p>
    <w:p w14:paraId="755CF88D"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This Operating Agreement</w:t>
      </w:r>
      <w:r w:rsidRPr="004522B7">
        <w:rPr>
          <w:rFonts w:ascii="Arial" w:eastAsia="Times New Roman" w:hAnsi="Arial" w:cs="Arial"/>
          <w:color w:val="1F1F1F"/>
          <w:kern w:val="0"/>
          <w:sz w:val="24"/>
          <w:szCs w:val="24"/>
          <w14:ligatures w14:val="none"/>
        </w:rPr>
        <w:t xml:space="preserve"> is made and entered into as of September 25, 2024, by and between Brett Weaver (the "</w:t>
      </w:r>
      <w:r w:rsidRPr="004522B7">
        <w:rPr>
          <w:rFonts w:ascii="Arial" w:eastAsia="Times New Roman" w:hAnsi="Arial" w:cs="Arial"/>
          <w:b/>
          <w:bCs/>
          <w:color w:val="1F1F1F"/>
          <w:kern w:val="0"/>
          <w:sz w:val="24"/>
          <w:szCs w:val="24"/>
          <w:bdr w:val="none" w:sz="0" w:space="0" w:color="auto" w:frame="1"/>
          <w14:ligatures w14:val="none"/>
        </w:rPr>
        <w:t>Member</w:t>
      </w:r>
      <w:r w:rsidRPr="004522B7">
        <w:rPr>
          <w:rFonts w:ascii="Arial" w:eastAsia="Times New Roman" w:hAnsi="Arial" w:cs="Arial"/>
          <w:color w:val="1F1F1F"/>
          <w:kern w:val="0"/>
          <w:sz w:val="24"/>
          <w:szCs w:val="24"/>
          <w14:ligatures w14:val="none"/>
        </w:rPr>
        <w:t>").</w:t>
      </w:r>
    </w:p>
    <w:p w14:paraId="0AB82A11"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RECITALS</w:t>
      </w:r>
    </w:p>
    <w:p w14:paraId="563296EE" w14:textId="77777777" w:rsidR="004522B7" w:rsidRPr="004522B7" w:rsidRDefault="004522B7" w:rsidP="004522B7">
      <w:pPr>
        <w:numPr>
          <w:ilvl w:val="0"/>
          <w:numId w:val="4"/>
        </w:num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Formation</w:t>
      </w:r>
      <w:r w:rsidRPr="004522B7">
        <w:rPr>
          <w:rFonts w:ascii="Arial" w:eastAsia="Times New Roman" w:hAnsi="Arial" w:cs="Arial"/>
          <w:color w:val="1F1F1F"/>
          <w:kern w:val="0"/>
          <w:sz w:val="24"/>
          <w:szCs w:val="24"/>
          <w14:ligatures w14:val="none"/>
        </w:rPr>
        <w:t>: The Member formed GFV LLC (the "</w:t>
      </w:r>
      <w:r w:rsidRPr="004522B7">
        <w:rPr>
          <w:rFonts w:ascii="Arial" w:eastAsia="Times New Roman" w:hAnsi="Arial" w:cs="Arial"/>
          <w:b/>
          <w:bCs/>
          <w:color w:val="1F1F1F"/>
          <w:kern w:val="0"/>
          <w:sz w:val="24"/>
          <w:szCs w:val="24"/>
          <w:bdr w:val="none" w:sz="0" w:space="0" w:color="auto" w:frame="1"/>
          <w14:ligatures w14:val="none"/>
        </w:rPr>
        <w:t>Company</w:t>
      </w:r>
      <w:r w:rsidRPr="004522B7">
        <w:rPr>
          <w:rFonts w:ascii="Arial" w:eastAsia="Times New Roman" w:hAnsi="Arial" w:cs="Arial"/>
          <w:color w:val="1F1F1F"/>
          <w:kern w:val="0"/>
          <w:sz w:val="24"/>
          <w:szCs w:val="24"/>
          <w14:ligatures w14:val="none"/>
        </w:rPr>
        <w:t>") as a limited liability company under the laws of the State of Minnesota on [Date of Formation].</w:t>
      </w:r>
    </w:p>
    <w:p w14:paraId="6DD5109C" w14:textId="77777777" w:rsidR="004522B7" w:rsidRPr="004522B7" w:rsidRDefault="004522B7" w:rsidP="004522B7">
      <w:pPr>
        <w:numPr>
          <w:ilvl w:val="0"/>
          <w:numId w:val="4"/>
        </w:num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Purpose</w:t>
      </w:r>
      <w:r w:rsidRPr="004522B7">
        <w:rPr>
          <w:rFonts w:ascii="Arial" w:eastAsia="Times New Roman" w:hAnsi="Arial" w:cs="Arial"/>
          <w:color w:val="1F1F1F"/>
          <w:kern w:val="0"/>
          <w:sz w:val="24"/>
          <w:szCs w:val="24"/>
          <w14:ligatures w14:val="none"/>
        </w:rPr>
        <w:t>: The Company was formed for the purpose of engaging in the business of selling fun gifts, kits for making homemade edibles, and other miscellaneous goods in theme with "Good Flippin Vibes", and any other lawful business activity permitted under Minnesota law.</w:t>
      </w:r>
    </w:p>
    <w:p w14:paraId="21EB1CF2"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ARTICLE I - NAME AND PRINCIPAL PLACE OF BUSINESS</w:t>
      </w:r>
    </w:p>
    <w:p w14:paraId="53C23586"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1.1 </w:t>
      </w:r>
      <w:r w:rsidRPr="004522B7">
        <w:rPr>
          <w:rFonts w:ascii="Arial" w:eastAsia="Times New Roman" w:hAnsi="Arial" w:cs="Arial"/>
          <w:b/>
          <w:bCs/>
          <w:color w:val="1F1F1F"/>
          <w:kern w:val="0"/>
          <w:sz w:val="24"/>
          <w:szCs w:val="24"/>
          <w:bdr w:val="none" w:sz="0" w:space="0" w:color="auto" w:frame="1"/>
          <w14:ligatures w14:val="none"/>
        </w:rPr>
        <w:t>Name</w:t>
      </w:r>
      <w:r w:rsidRPr="004522B7">
        <w:rPr>
          <w:rFonts w:ascii="Arial" w:eastAsia="Times New Roman" w:hAnsi="Arial" w:cs="Arial"/>
          <w:color w:val="1F1F1F"/>
          <w:kern w:val="0"/>
          <w:sz w:val="24"/>
          <w:szCs w:val="24"/>
          <w14:ligatures w14:val="none"/>
        </w:rPr>
        <w:t>: The name of the Company is GFV LLC. The Company may also conduct business under the assumed name "Good Flippin Vibes".</w:t>
      </w:r>
    </w:p>
    <w:p w14:paraId="5C8C25B4"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1.2 </w:t>
      </w:r>
      <w:r w:rsidRPr="004522B7">
        <w:rPr>
          <w:rFonts w:ascii="Arial" w:eastAsia="Times New Roman" w:hAnsi="Arial" w:cs="Arial"/>
          <w:b/>
          <w:bCs/>
          <w:color w:val="1F1F1F"/>
          <w:kern w:val="0"/>
          <w:sz w:val="24"/>
          <w:szCs w:val="24"/>
          <w:bdr w:val="none" w:sz="0" w:space="0" w:color="auto" w:frame="1"/>
          <w14:ligatures w14:val="none"/>
        </w:rPr>
        <w:t>Principal Place of Business</w:t>
      </w:r>
      <w:r w:rsidRPr="004522B7">
        <w:rPr>
          <w:rFonts w:ascii="Arial" w:eastAsia="Times New Roman" w:hAnsi="Arial" w:cs="Arial"/>
          <w:color w:val="1F1F1F"/>
          <w:kern w:val="0"/>
          <w:sz w:val="24"/>
          <w:szCs w:val="24"/>
          <w14:ligatures w14:val="none"/>
        </w:rPr>
        <w:t>: The principal place of business of the Company shall be 261 5th Street East #505, St. Paul, MN 55101, or at such other place or places as the Member may from time to time designate.</w:t>
      </w:r>
    </w:p>
    <w:p w14:paraId="078F43EF"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ARTICLE II - TERM</w:t>
      </w:r>
    </w:p>
    <w:p w14:paraId="1E2DDDA0"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2.1 </w:t>
      </w:r>
      <w:r w:rsidRPr="004522B7">
        <w:rPr>
          <w:rFonts w:ascii="Arial" w:eastAsia="Times New Roman" w:hAnsi="Arial" w:cs="Arial"/>
          <w:b/>
          <w:bCs/>
          <w:color w:val="1F1F1F"/>
          <w:kern w:val="0"/>
          <w:sz w:val="24"/>
          <w:szCs w:val="24"/>
          <w:bdr w:val="none" w:sz="0" w:space="0" w:color="auto" w:frame="1"/>
          <w14:ligatures w14:val="none"/>
        </w:rPr>
        <w:t>Perpetual Existence</w:t>
      </w:r>
      <w:r w:rsidRPr="004522B7">
        <w:rPr>
          <w:rFonts w:ascii="Arial" w:eastAsia="Times New Roman" w:hAnsi="Arial" w:cs="Arial"/>
          <w:color w:val="1F1F1F"/>
          <w:kern w:val="0"/>
          <w:sz w:val="24"/>
          <w:szCs w:val="24"/>
          <w14:ligatures w14:val="none"/>
        </w:rPr>
        <w:t>: The Company shall have perpetual existence unless sooner dissolved in accordance with this Agreement or applicable law.</w:t>
      </w:r>
    </w:p>
    <w:p w14:paraId="609C06A2"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ARTICLE III - MANAGEMENT</w:t>
      </w:r>
    </w:p>
    <w:p w14:paraId="5CB767F1"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3.1 </w:t>
      </w:r>
      <w:r w:rsidRPr="004522B7">
        <w:rPr>
          <w:rFonts w:ascii="Arial" w:eastAsia="Times New Roman" w:hAnsi="Arial" w:cs="Arial"/>
          <w:b/>
          <w:bCs/>
          <w:color w:val="1F1F1F"/>
          <w:kern w:val="0"/>
          <w:sz w:val="24"/>
          <w:szCs w:val="24"/>
          <w:bdr w:val="none" w:sz="0" w:space="0" w:color="auto" w:frame="1"/>
          <w14:ligatures w14:val="none"/>
        </w:rPr>
        <w:t>Management by Member</w:t>
      </w:r>
      <w:r w:rsidRPr="004522B7">
        <w:rPr>
          <w:rFonts w:ascii="Arial" w:eastAsia="Times New Roman" w:hAnsi="Arial" w:cs="Arial"/>
          <w:color w:val="1F1F1F"/>
          <w:kern w:val="0"/>
          <w:sz w:val="24"/>
          <w:szCs w:val="24"/>
          <w14:ligatures w14:val="none"/>
        </w:rPr>
        <w:t>: The Company shall be managed by the Member. The Member shall have the authority to make all decisions regarding the management and operation of the Company's business.</w:t>
      </w:r>
    </w:p>
    <w:p w14:paraId="031B6265"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ARTICLE IV - CAPITAL CONTRIBUTIONS</w:t>
      </w:r>
    </w:p>
    <w:p w14:paraId="4C9A6800"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4.1 </w:t>
      </w:r>
      <w:r w:rsidRPr="004522B7">
        <w:rPr>
          <w:rFonts w:ascii="Arial" w:eastAsia="Times New Roman" w:hAnsi="Arial" w:cs="Arial"/>
          <w:b/>
          <w:bCs/>
          <w:color w:val="1F1F1F"/>
          <w:kern w:val="0"/>
          <w:sz w:val="24"/>
          <w:szCs w:val="24"/>
          <w:bdr w:val="none" w:sz="0" w:space="0" w:color="auto" w:frame="1"/>
          <w14:ligatures w14:val="none"/>
        </w:rPr>
        <w:t>Initial Capital Contributions</w:t>
      </w:r>
      <w:r w:rsidRPr="004522B7">
        <w:rPr>
          <w:rFonts w:ascii="Arial" w:eastAsia="Times New Roman" w:hAnsi="Arial" w:cs="Arial"/>
          <w:color w:val="1F1F1F"/>
          <w:kern w:val="0"/>
          <w:sz w:val="24"/>
          <w:szCs w:val="24"/>
          <w14:ligatures w14:val="none"/>
        </w:rPr>
        <w:t>: The Member has made an initial capital contribution to the Company in the amount of $[Amount of initial contribution].</w:t>
      </w:r>
    </w:p>
    <w:p w14:paraId="5A94A164"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4.2 </w:t>
      </w:r>
      <w:r w:rsidRPr="004522B7">
        <w:rPr>
          <w:rFonts w:ascii="Arial" w:eastAsia="Times New Roman" w:hAnsi="Arial" w:cs="Arial"/>
          <w:b/>
          <w:bCs/>
          <w:color w:val="1F1F1F"/>
          <w:kern w:val="0"/>
          <w:sz w:val="24"/>
          <w:szCs w:val="24"/>
          <w:bdr w:val="none" w:sz="0" w:space="0" w:color="auto" w:frame="1"/>
          <w14:ligatures w14:val="none"/>
        </w:rPr>
        <w:t>Additional Capital Contributions</w:t>
      </w:r>
      <w:r w:rsidRPr="004522B7">
        <w:rPr>
          <w:rFonts w:ascii="Arial" w:eastAsia="Times New Roman" w:hAnsi="Arial" w:cs="Arial"/>
          <w:color w:val="1F1F1F"/>
          <w:kern w:val="0"/>
          <w:sz w:val="24"/>
          <w:szCs w:val="24"/>
          <w14:ligatures w14:val="none"/>
        </w:rPr>
        <w:t>: Additional capital contributions may be made by the Member from time to time as determined by the Member.</w:t>
      </w:r>
    </w:p>
    <w:p w14:paraId="13005E8F"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4.3 </w:t>
      </w:r>
      <w:r w:rsidRPr="004522B7">
        <w:rPr>
          <w:rFonts w:ascii="Arial" w:eastAsia="Times New Roman" w:hAnsi="Arial" w:cs="Arial"/>
          <w:b/>
          <w:bCs/>
          <w:color w:val="1F1F1F"/>
          <w:kern w:val="0"/>
          <w:sz w:val="24"/>
          <w:szCs w:val="24"/>
          <w:bdr w:val="none" w:sz="0" w:space="0" w:color="auto" w:frame="1"/>
          <w14:ligatures w14:val="none"/>
        </w:rPr>
        <w:t>No Interest on Capital Contributions</w:t>
      </w:r>
      <w:r w:rsidRPr="004522B7">
        <w:rPr>
          <w:rFonts w:ascii="Arial" w:eastAsia="Times New Roman" w:hAnsi="Arial" w:cs="Arial"/>
          <w:color w:val="1F1F1F"/>
          <w:kern w:val="0"/>
          <w:sz w:val="24"/>
          <w:szCs w:val="24"/>
          <w14:ligatures w14:val="none"/>
        </w:rPr>
        <w:t>: No interest shall be paid on any capital contributions made to the Company.</w:t>
      </w:r>
    </w:p>
    <w:p w14:paraId="103856A3"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lastRenderedPageBreak/>
        <w:t>ARTICLE V - ALLOCATIONS AND DISTRIBUTIONS</w:t>
      </w:r>
    </w:p>
    <w:p w14:paraId="5C607804"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5.1 </w:t>
      </w:r>
      <w:r w:rsidRPr="004522B7">
        <w:rPr>
          <w:rFonts w:ascii="Arial" w:eastAsia="Times New Roman" w:hAnsi="Arial" w:cs="Arial"/>
          <w:b/>
          <w:bCs/>
          <w:color w:val="1F1F1F"/>
          <w:kern w:val="0"/>
          <w:sz w:val="24"/>
          <w:szCs w:val="24"/>
          <w:bdr w:val="none" w:sz="0" w:space="0" w:color="auto" w:frame="1"/>
          <w14:ligatures w14:val="none"/>
        </w:rPr>
        <w:t>Allocations</w:t>
      </w:r>
      <w:r w:rsidRPr="004522B7">
        <w:rPr>
          <w:rFonts w:ascii="Arial" w:eastAsia="Times New Roman" w:hAnsi="Arial" w:cs="Arial"/>
          <w:color w:val="1F1F1F"/>
          <w:kern w:val="0"/>
          <w:sz w:val="24"/>
          <w:szCs w:val="24"/>
          <w14:ligatures w14:val="none"/>
        </w:rPr>
        <w:t>: All profits and losses of the Company shall be allocated 100% to the Member.</w:t>
      </w:r>
    </w:p>
    <w:p w14:paraId="7BE91242"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5.2 </w:t>
      </w:r>
      <w:r w:rsidRPr="004522B7">
        <w:rPr>
          <w:rFonts w:ascii="Arial" w:eastAsia="Times New Roman" w:hAnsi="Arial" w:cs="Arial"/>
          <w:b/>
          <w:bCs/>
          <w:color w:val="1F1F1F"/>
          <w:kern w:val="0"/>
          <w:sz w:val="24"/>
          <w:szCs w:val="24"/>
          <w:bdr w:val="none" w:sz="0" w:space="0" w:color="auto" w:frame="1"/>
          <w14:ligatures w14:val="none"/>
        </w:rPr>
        <w:t>Distributions</w:t>
      </w:r>
      <w:r w:rsidRPr="004522B7">
        <w:rPr>
          <w:rFonts w:ascii="Arial" w:eastAsia="Times New Roman" w:hAnsi="Arial" w:cs="Arial"/>
          <w:color w:val="1F1F1F"/>
          <w:kern w:val="0"/>
          <w:sz w:val="24"/>
          <w:szCs w:val="24"/>
          <w14:ligatures w14:val="none"/>
        </w:rPr>
        <w:t>: The Member may, from time to time, make distributions of the Company's available cash flow to the Member. The decision to make distributions shall be made solely by the Member.</w:t>
      </w:r>
    </w:p>
    <w:p w14:paraId="376E61E4"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ARTICLE VI - BOOKS AND RECORDS</w:t>
      </w:r>
    </w:p>
    <w:p w14:paraId="20AE41AB"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6.1 </w:t>
      </w:r>
      <w:r w:rsidRPr="004522B7">
        <w:rPr>
          <w:rFonts w:ascii="Arial" w:eastAsia="Times New Roman" w:hAnsi="Arial" w:cs="Arial"/>
          <w:b/>
          <w:bCs/>
          <w:color w:val="1F1F1F"/>
          <w:kern w:val="0"/>
          <w:sz w:val="24"/>
          <w:szCs w:val="24"/>
          <w:bdr w:val="none" w:sz="0" w:space="0" w:color="auto" w:frame="1"/>
          <w14:ligatures w14:val="none"/>
        </w:rPr>
        <w:t>Maintenance of Records</w:t>
      </w:r>
      <w:r w:rsidRPr="004522B7">
        <w:rPr>
          <w:rFonts w:ascii="Arial" w:eastAsia="Times New Roman" w:hAnsi="Arial" w:cs="Arial"/>
          <w:color w:val="1F1F1F"/>
          <w:kern w:val="0"/>
          <w:sz w:val="24"/>
          <w:szCs w:val="24"/>
          <w14:ligatures w14:val="none"/>
        </w:rPr>
        <w:t>: The Company shall maintain accurate and complete books and records of its accounts and transactions.</w:t>
      </w:r>
    </w:p>
    <w:p w14:paraId="581A0ECB"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6.2 </w:t>
      </w:r>
      <w:r w:rsidRPr="004522B7">
        <w:rPr>
          <w:rFonts w:ascii="Arial" w:eastAsia="Times New Roman" w:hAnsi="Arial" w:cs="Arial"/>
          <w:b/>
          <w:bCs/>
          <w:color w:val="1F1F1F"/>
          <w:kern w:val="0"/>
          <w:sz w:val="24"/>
          <w:szCs w:val="24"/>
          <w:bdr w:val="none" w:sz="0" w:space="0" w:color="auto" w:frame="1"/>
          <w14:ligatures w14:val="none"/>
        </w:rPr>
        <w:t>Access to Records</w:t>
      </w:r>
      <w:r w:rsidRPr="004522B7">
        <w:rPr>
          <w:rFonts w:ascii="Arial" w:eastAsia="Times New Roman" w:hAnsi="Arial" w:cs="Arial"/>
          <w:color w:val="1F1F1F"/>
          <w:kern w:val="0"/>
          <w:sz w:val="24"/>
          <w:szCs w:val="24"/>
          <w14:ligatures w14:val="none"/>
        </w:rPr>
        <w:t>: The Member shall have the right to inspect and copy the Company's books and records at any reasonable time.</w:t>
      </w:r>
    </w:p>
    <w:p w14:paraId="7AB65B22"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ARTICLE VII - DISSOLUTION AND WINDING UP</w:t>
      </w:r>
    </w:p>
    <w:p w14:paraId="40D31BF1"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7.1 </w:t>
      </w:r>
      <w:r w:rsidRPr="004522B7">
        <w:rPr>
          <w:rFonts w:ascii="Arial" w:eastAsia="Times New Roman" w:hAnsi="Arial" w:cs="Arial"/>
          <w:b/>
          <w:bCs/>
          <w:color w:val="1F1F1F"/>
          <w:kern w:val="0"/>
          <w:sz w:val="24"/>
          <w:szCs w:val="24"/>
          <w:bdr w:val="none" w:sz="0" w:space="0" w:color="auto" w:frame="1"/>
          <w14:ligatures w14:val="none"/>
        </w:rPr>
        <w:t>Dissolution</w:t>
      </w:r>
      <w:r w:rsidRPr="004522B7">
        <w:rPr>
          <w:rFonts w:ascii="Arial" w:eastAsia="Times New Roman" w:hAnsi="Arial" w:cs="Arial"/>
          <w:color w:val="1F1F1F"/>
          <w:kern w:val="0"/>
          <w:sz w:val="24"/>
          <w:szCs w:val="24"/>
          <w14:ligatures w14:val="none"/>
        </w:rPr>
        <w:t>: The Company may be dissolved upon the occurrence of any of the following events:</w:t>
      </w:r>
    </w:p>
    <w:p w14:paraId="7DE3B84D" w14:textId="77777777" w:rsidR="004522B7" w:rsidRPr="004522B7" w:rsidRDefault="004522B7" w:rsidP="004522B7">
      <w:pPr>
        <w:numPr>
          <w:ilvl w:val="0"/>
          <w:numId w:val="5"/>
        </w:num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(a) The written consent of the </w:t>
      </w:r>
      <w:proofErr w:type="gramStart"/>
      <w:r w:rsidRPr="004522B7">
        <w:rPr>
          <w:rFonts w:ascii="Arial" w:eastAsia="Times New Roman" w:hAnsi="Arial" w:cs="Arial"/>
          <w:color w:val="1F1F1F"/>
          <w:kern w:val="0"/>
          <w:sz w:val="24"/>
          <w:szCs w:val="24"/>
          <w14:ligatures w14:val="none"/>
        </w:rPr>
        <w:t>Member;</w:t>
      </w:r>
      <w:proofErr w:type="gramEnd"/>
    </w:p>
    <w:p w14:paraId="24225451" w14:textId="77777777" w:rsidR="004522B7" w:rsidRPr="004522B7" w:rsidRDefault="004522B7" w:rsidP="004522B7">
      <w:pPr>
        <w:numPr>
          <w:ilvl w:val="0"/>
          <w:numId w:val="5"/>
        </w:num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(b) The death, incapacity, or bankruptcy of the Member; or</w:t>
      </w:r>
    </w:p>
    <w:p w14:paraId="54096218" w14:textId="77777777" w:rsidR="004522B7" w:rsidRPr="004522B7" w:rsidRDefault="004522B7" w:rsidP="004522B7">
      <w:pPr>
        <w:numPr>
          <w:ilvl w:val="0"/>
          <w:numId w:val="5"/>
        </w:num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(c) The entry of a decree of judicial dissolution.</w:t>
      </w:r>
    </w:p>
    <w:p w14:paraId="0705152E"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7.2 </w:t>
      </w:r>
      <w:r w:rsidRPr="004522B7">
        <w:rPr>
          <w:rFonts w:ascii="Arial" w:eastAsia="Times New Roman" w:hAnsi="Arial" w:cs="Arial"/>
          <w:b/>
          <w:bCs/>
          <w:color w:val="1F1F1F"/>
          <w:kern w:val="0"/>
          <w:sz w:val="24"/>
          <w:szCs w:val="24"/>
          <w:bdr w:val="none" w:sz="0" w:space="0" w:color="auto" w:frame="1"/>
          <w14:ligatures w14:val="none"/>
        </w:rPr>
        <w:t>Winding Up</w:t>
      </w:r>
      <w:r w:rsidRPr="004522B7">
        <w:rPr>
          <w:rFonts w:ascii="Arial" w:eastAsia="Times New Roman" w:hAnsi="Arial" w:cs="Arial"/>
          <w:color w:val="1F1F1F"/>
          <w:kern w:val="0"/>
          <w:sz w:val="24"/>
          <w:szCs w:val="24"/>
          <w14:ligatures w14:val="none"/>
        </w:rPr>
        <w:t>: Upon dissolution, the Company shall wind up its affairs and liquidate its assets. The proceeds of the liquidation shall be distributed first to creditors, and then to the Member in accordance with their capital accounts.</w:t>
      </w:r>
    </w:p>
    <w:p w14:paraId="690A2CBF"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ARTICLE VIII - MISCELLANEOUS</w:t>
      </w:r>
    </w:p>
    <w:p w14:paraId="46638D94"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8.1 </w:t>
      </w:r>
      <w:r w:rsidRPr="004522B7">
        <w:rPr>
          <w:rFonts w:ascii="Arial" w:eastAsia="Times New Roman" w:hAnsi="Arial" w:cs="Arial"/>
          <w:b/>
          <w:bCs/>
          <w:color w:val="1F1F1F"/>
          <w:kern w:val="0"/>
          <w:sz w:val="24"/>
          <w:szCs w:val="24"/>
          <w:bdr w:val="none" w:sz="0" w:space="0" w:color="auto" w:frame="1"/>
          <w14:ligatures w14:val="none"/>
        </w:rPr>
        <w:t>Entire Agreement</w:t>
      </w:r>
      <w:r w:rsidRPr="004522B7">
        <w:rPr>
          <w:rFonts w:ascii="Arial" w:eastAsia="Times New Roman" w:hAnsi="Arial" w:cs="Arial"/>
          <w:color w:val="1F1F1F"/>
          <w:kern w:val="0"/>
          <w:sz w:val="24"/>
          <w:szCs w:val="24"/>
          <w14:ligatures w14:val="none"/>
        </w:rPr>
        <w:t xml:space="preserve">: </w:t>
      </w:r>
      <w:r w:rsidRPr="004522B7">
        <w:rPr>
          <w:rFonts w:ascii="Arial" w:eastAsia="Times New Roman" w:hAnsi="Arial" w:cs="Arial"/>
          <w:color w:val="1F1F1F"/>
          <w:kern w:val="0"/>
          <w:sz w:val="24"/>
          <w:szCs w:val="24"/>
          <w:bdr w:val="none" w:sz="0" w:space="0" w:color="auto" w:frame="1"/>
          <w14:ligatures w14:val="none"/>
        </w:rPr>
        <w:t>This Agreement constitutes the entire agreement among the parties with respect to the subject matter hereof and supersedes all prior agreements and understandings, both written and</w:t>
      </w:r>
      <w:r w:rsidRPr="004522B7">
        <w:rPr>
          <w:rFonts w:ascii="Arial" w:eastAsia="Times New Roman" w:hAnsi="Arial" w:cs="Arial"/>
          <w:color w:val="1F1F1F"/>
          <w:kern w:val="0"/>
          <w:sz w:val="24"/>
          <w:szCs w:val="24"/>
          <w14:ligatures w14:val="none"/>
        </w:rPr>
        <w:t xml:space="preserve"> oral.</w:t>
      </w:r>
      <w:r w:rsidRPr="004522B7">
        <w:rPr>
          <w:rFonts w:ascii="Arial" w:eastAsia="Times New Roman" w:hAnsi="Arial" w:cs="Arial"/>
          <w:color w:val="1F1F1F"/>
          <w:kern w:val="0"/>
          <w:sz w:val="24"/>
          <w:szCs w:val="24"/>
          <w:bdr w:val="none" w:sz="0" w:space="0" w:color="auto" w:frame="1"/>
          <w14:ligatures w14:val="none"/>
        </w:rPr>
        <w:t xml:space="preserve">   </w:t>
      </w:r>
    </w:p>
    <w:p w14:paraId="743B39B5"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8.2 </w:t>
      </w:r>
      <w:r w:rsidRPr="004522B7">
        <w:rPr>
          <w:rFonts w:ascii="Arial" w:eastAsia="Times New Roman" w:hAnsi="Arial" w:cs="Arial"/>
          <w:b/>
          <w:bCs/>
          <w:color w:val="1F1F1F"/>
          <w:kern w:val="0"/>
          <w:sz w:val="24"/>
          <w:szCs w:val="24"/>
          <w:bdr w:val="none" w:sz="0" w:space="0" w:color="auto" w:frame="1"/>
          <w14:ligatures w14:val="none"/>
        </w:rPr>
        <w:t>Amendment</w:t>
      </w:r>
      <w:r w:rsidRPr="004522B7">
        <w:rPr>
          <w:rFonts w:ascii="Arial" w:eastAsia="Times New Roman" w:hAnsi="Arial" w:cs="Arial"/>
          <w:color w:val="1F1F1F"/>
          <w:kern w:val="0"/>
          <w:sz w:val="24"/>
          <w:szCs w:val="24"/>
          <w14:ligatures w14:val="none"/>
        </w:rPr>
        <w:t>: This Agreement may be amended only by the written consent of the Member.</w:t>
      </w:r>
    </w:p>
    <w:p w14:paraId="1F21D7E1"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 xml:space="preserve">8.3 </w:t>
      </w:r>
      <w:r w:rsidRPr="004522B7">
        <w:rPr>
          <w:rFonts w:ascii="Arial" w:eastAsia="Times New Roman" w:hAnsi="Arial" w:cs="Arial"/>
          <w:b/>
          <w:bCs/>
          <w:color w:val="1F1F1F"/>
          <w:kern w:val="0"/>
          <w:sz w:val="24"/>
          <w:szCs w:val="24"/>
          <w:bdr w:val="none" w:sz="0" w:space="0" w:color="auto" w:frame="1"/>
          <w14:ligatures w14:val="none"/>
        </w:rPr>
        <w:t>Governing Law</w:t>
      </w:r>
      <w:r w:rsidRPr="004522B7">
        <w:rPr>
          <w:rFonts w:ascii="Arial" w:eastAsia="Times New Roman" w:hAnsi="Arial" w:cs="Arial"/>
          <w:color w:val="1F1F1F"/>
          <w:kern w:val="0"/>
          <w:sz w:val="24"/>
          <w:szCs w:val="24"/>
          <w14:ligatures w14:val="none"/>
        </w:rPr>
        <w:t>: This Agreement shall be governed by and construed in accordance with the laws of the State of Minnesota.</w:t>
      </w:r>
    </w:p>
    <w:p w14:paraId="7063A7C7"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lastRenderedPageBreak/>
        <w:t xml:space="preserve">8.4 </w:t>
      </w:r>
      <w:r w:rsidRPr="004522B7">
        <w:rPr>
          <w:rFonts w:ascii="Arial" w:eastAsia="Times New Roman" w:hAnsi="Arial" w:cs="Arial"/>
          <w:b/>
          <w:bCs/>
          <w:color w:val="1F1F1F"/>
          <w:kern w:val="0"/>
          <w:sz w:val="24"/>
          <w:szCs w:val="24"/>
          <w:bdr w:val="none" w:sz="0" w:space="0" w:color="auto" w:frame="1"/>
          <w14:ligatures w14:val="none"/>
        </w:rPr>
        <w:t>Counterparts</w:t>
      </w:r>
      <w:r w:rsidRPr="004522B7">
        <w:rPr>
          <w:rFonts w:ascii="Arial" w:eastAsia="Times New Roman" w:hAnsi="Arial" w:cs="Arial"/>
          <w:color w:val="1F1F1F"/>
          <w:kern w:val="0"/>
          <w:sz w:val="24"/>
          <w:szCs w:val="24"/>
          <w14:ligatures w14:val="none"/>
        </w:rPr>
        <w:t xml:space="preserve">: </w:t>
      </w:r>
      <w:r w:rsidRPr="004522B7">
        <w:rPr>
          <w:rFonts w:ascii="Arial" w:eastAsia="Times New Roman" w:hAnsi="Arial" w:cs="Arial"/>
          <w:color w:val="1F1F1F"/>
          <w:kern w:val="0"/>
          <w:sz w:val="24"/>
          <w:szCs w:val="24"/>
          <w:bdr w:val="none" w:sz="0" w:space="0" w:color="auto" w:frame="1"/>
          <w14:ligatures w14:val="none"/>
        </w:rPr>
        <w:t xml:space="preserve">This Agreement may be executed in counterparts, each of which shall be deemed an original, but all of which together shall constitute one and the same instrument.   </w:t>
      </w:r>
    </w:p>
    <w:p w14:paraId="3A2883B7"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IN WITNESS WHEREOF</w:t>
      </w:r>
      <w:r w:rsidRPr="004522B7">
        <w:rPr>
          <w:rFonts w:ascii="Arial" w:eastAsia="Times New Roman" w:hAnsi="Arial" w:cs="Arial"/>
          <w:color w:val="1F1F1F"/>
          <w:kern w:val="0"/>
          <w:sz w:val="24"/>
          <w:szCs w:val="24"/>
          <w:bdr w:val="none" w:sz="0" w:space="0" w:color="auto" w:frame="1"/>
          <w14:ligatures w14:val="none"/>
        </w:rPr>
        <w:t xml:space="preserve">, the parties have executed this Agreement as of the date first written above.   </w:t>
      </w:r>
    </w:p>
    <w:p w14:paraId="3F51D83A"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Member:</w:t>
      </w:r>
    </w:p>
    <w:p w14:paraId="41E0ED41" w14:textId="77777777" w:rsidR="004522B7" w:rsidRPr="004522B7" w:rsidRDefault="004522B7" w:rsidP="004522B7">
      <w:pPr>
        <w:spacing w:before="240" w:after="240"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Brett Weaver</w:t>
      </w:r>
    </w:p>
    <w:p w14:paraId="6CFABBB0" w14:textId="77777777" w:rsidR="004522B7" w:rsidRPr="004522B7" w:rsidRDefault="004522B7" w:rsidP="004522B7">
      <w:pPr>
        <w:spacing w:line="420" w:lineRule="atLeast"/>
        <w:rPr>
          <w:rFonts w:ascii="Arial" w:eastAsia="Times New Roman" w:hAnsi="Arial" w:cs="Arial"/>
          <w:color w:val="1F1F1F"/>
          <w:kern w:val="0"/>
          <w:sz w:val="24"/>
          <w:szCs w:val="24"/>
          <w14:ligatures w14:val="none"/>
        </w:rPr>
      </w:pPr>
      <w:r w:rsidRPr="004522B7">
        <w:rPr>
          <w:rFonts w:ascii="Arial" w:eastAsia="Times New Roman" w:hAnsi="Arial" w:cs="Arial"/>
          <w:b/>
          <w:bCs/>
          <w:color w:val="1F1F1F"/>
          <w:kern w:val="0"/>
          <w:sz w:val="24"/>
          <w:szCs w:val="24"/>
          <w:bdr w:val="none" w:sz="0" w:space="0" w:color="auto" w:frame="1"/>
          <w14:ligatures w14:val="none"/>
        </w:rPr>
        <w:t>Date:</w:t>
      </w:r>
    </w:p>
    <w:p w14:paraId="4013D1E3" w14:textId="1D55BCF8" w:rsidR="005E0C76" w:rsidRPr="00535E71" w:rsidRDefault="004522B7" w:rsidP="00535E71">
      <w:pPr>
        <w:spacing w:before="240" w:after="240" w:line="420" w:lineRule="atLeast"/>
        <w:rPr>
          <w:rFonts w:ascii="Arial" w:eastAsia="Times New Roman" w:hAnsi="Arial" w:cs="Arial"/>
          <w:color w:val="1F1F1F"/>
          <w:kern w:val="0"/>
          <w:sz w:val="24"/>
          <w:szCs w:val="24"/>
          <w14:ligatures w14:val="none"/>
        </w:rPr>
      </w:pPr>
      <w:r w:rsidRPr="004522B7">
        <w:rPr>
          <w:rFonts w:ascii="Arial" w:eastAsia="Times New Roman" w:hAnsi="Arial" w:cs="Arial"/>
          <w:color w:val="1F1F1F"/>
          <w:kern w:val="0"/>
          <w:sz w:val="24"/>
          <w:szCs w:val="24"/>
          <w14:ligatures w14:val="none"/>
        </w:rPr>
        <w:t>September 25, 2024</w:t>
      </w:r>
    </w:p>
    <w:sectPr w:rsidR="005E0C76" w:rsidRPr="00535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426881"/>
    <w:multiLevelType w:val="multilevel"/>
    <w:tmpl w:val="D70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E7338"/>
    <w:multiLevelType w:val="multilevel"/>
    <w:tmpl w:val="ED7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4D2856"/>
    <w:multiLevelType w:val="multilevel"/>
    <w:tmpl w:val="499A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43D19"/>
    <w:multiLevelType w:val="multilevel"/>
    <w:tmpl w:val="538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57624"/>
    <w:multiLevelType w:val="multilevel"/>
    <w:tmpl w:val="2C0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20952"/>
    <w:multiLevelType w:val="multilevel"/>
    <w:tmpl w:val="7A4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426718">
    <w:abstractNumId w:val="0"/>
  </w:num>
  <w:num w:numId="2" w16cid:durableId="1322737625">
    <w:abstractNumId w:val="5"/>
  </w:num>
  <w:num w:numId="3" w16cid:durableId="694690949">
    <w:abstractNumId w:val="3"/>
  </w:num>
  <w:num w:numId="4" w16cid:durableId="1319967423">
    <w:abstractNumId w:val="2"/>
  </w:num>
  <w:num w:numId="5" w16cid:durableId="606276514">
    <w:abstractNumId w:val="1"/>
  </w:num>
  <w:num w:numId="6" w16cid:durableId="10208135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B7"/>
    <w:rsid w:val="002F2749"/>
    <w:rsid w:val="004522B7"/>
    <w:rsid w:val="00535E71"/>
    <w:rsid w:val="0056160A"/>
    <w:rsid w:val="00576ED5"/>
    <w:rsid w:val="005E0C76"/>
    <w:rsid w:val="0084287A"/>
    <w:rsid w:val="00E9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AA044"/>
  <w15:chartTrackingRefBased/>
  <w15:docId w15:val="{65E470A9-626A-4CAC-9054-EB120802C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749"/>
    <w:pPr>
      <w:jc w:val="left"/>
    </w:pPr>
  </w:style>
  <w:style w:type="paragraph" w:styleId="Heading1">
    <w:name w:val="heading 1"/>
    <w:basedOn w:val="Normal"/>
    <w:next w:val="Normal"/>
    <w:link w:val="Heading1Char"/>
    <w:uiPriority w:val="9"/>
    <w:qFormat/>
    <w:rsid w:val="00452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2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2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2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2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2B7"/>
    <w:rPr>
      <w:rFonts w:eastAsiaTheme="majorEastAsia" w:cstheme="majorBidi"/>
      <w:color w:val="272727" w:themeColor="text1" w:themeTint="D8"/>
    </w:rPr>
  </w:style>
  <w:style w:type="paragraph" w:styleId="Title">
    <w:name w:val="Title"/>
    <w:basedOn w:val="Normal"/>
    <w:next w:val="Normal"/>
    <w:link w:val="TitleChar"/>
    <w:uiPriority w:val="10"/>
    <w:qFormat/>
    <w:rsid w:val="00452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2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2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22B7"/>
    <w:rPr>
      <w:i/>
      <w:iCs/>
      <w:color w:val="404040" w:themeColor="text1" w:themeTint="BF"/>
    </w:rPr>
  </w:style>
  <w:style w:type="paragraph" w:styleId="ListParagraph">
    <w:name w:val="List Paragraph"/>
    <w:basedOn w:val="Normal"/>
    <w:uiPriority w:val="34"/>
    <w:qFormat/>
    <w:rsid w:val="004522B7"/>
    <w:pPr>
      <w:ind w:left="720"/>
      <w:contextualSpacing/>
    </w:pPr>
  </w:style>
  <w:style w:type="character" w:styleId="IntenseEmphasis">
    <w:name w:val="Intense Emphasis"/>
    <w:basedOn w:val="DefaultParagraphFont"/>
    <w:uiPriority w:val="21"/>
    <w:qFormat/>
    <w:rsid w:val="004522B7"/>
    <w:rPr>
      <w:i/>
      <w:iCs/>
      <w:color w:val="0F4761" w:themeColor="accent1" w:themeShade="BF"/>
    </w:rPr>
  </w:style>
  <w:style w:type="paragraph" w:styleId="IntenseQuote">
    <w:name w:val="Intense Quote"/>
    <w:basedOn w:val="Normal"/>
    <w:next w:val="Normal"/>
    <w:link w:val="IntenseQuoteChar"/>
    <w:uiPriority w:val="30"/>
    <w:qFormat/>
    <w:rsid w:val="00452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2B7"/>
    <w:rPr>
      <w:i/>
      <w:iCs/>
      <w:color w:val="0F4761" w:themeColor="accent1" w:themeShade="BF"/>
    </w:rPr>
  </w:style>
  <w:style w:type="character" w:styleId="IntenseReference">
    <w:name w:val="Intense Reference"/>
    <w:basedOn w:val="DefaultParagraphFont"/>
    <w:uiPriority w:val="32"/>
    <w:qFormat/>
    <w:rsid w:val="00452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516299">
      <w:bodyDiv w:val="1"/>
      <w:marLeft w:val="0"/>
      <w:marRight w:val="0"/>
      <w:marTop w:val="0"/>
      <w:marBottom w:val="0"/>
      <w:divBdr>
        <w:top w:val="none" w:sz="0" w:space="0" w:color="auto"/>
        <w:left w:val="none" w:sz="0" w:space="0" w:color="auto"/>
        <w:bottom w:val="none" w:sz="0" w:space="0" w:color="auto"/>
        <w:right w:val="none" w:sz="0" w:space="0" w:color="auto"/>
      </w:divBdr>
    </w:div>
    <w:div w:id="829559854">
      <w:bodyDiv w:val="1"/>
      <w:marLeft w:val="0"/>
      <w:marRight w:val="0"/>
      <w:marTop w:val="0"/>
      <w:marBottom w:val="0"/>
      <w:divBdr>
        <w:top w:val="none" w:sz="0" w:space="0" w:color="auto"/>
        <w:left w:val="none" w:sz="0" w:space="0" w:color="auto"/>
        <w:bottom w:val="none" w:sz="0" w:space="0" w:color="auto"/>
        <w:right w:val="none" w:sz="0" w:space="0" w:color="auto"/>
      </w:divBdr>
    </w:div>
    <w:div w:id="202469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Weaver</dc:creator>
  <cp:keywords/>
  <dc:description/>
  <cp:lastModifiedBy>Brett Weaver</cp:lastModifiedBy>
  <cp:revision>2</cp:revision>
  <dcterms:created xsi:type="dcterms:W3CDTF">2024-09-26T02:13:00Z</dcterms:created>
  <dcterms:modified xsi:type="dcterms:W3CDTF">2024-09-26T02:13:00Z</dcterms:modified>
</cp:coreProperties>
</file>