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62"/>
          <w:szCs w:val="62"/>
        </w:rPr>
      </w:pPr>
      <w:r w:rsidDel="00000000" w:rsidR="00000000" w:rsidRPr="00000000">
        <w:rPr>
          <w:rtl w:val="0"/>
        </w:rPr>
      </w:r>
    </w:p>
    <w:p w:rsidR="00000000" w:rsidDel="00000000" w:rsidP="00000000" w:rsidRDefault="00000000" w:rsidRPr="00000000" w14:paraId="00000002">
      <w:pPr>
        <w:spacing w:after="240" w:before="240" w:lineRule="auto"/>
        <w:rPr>
          <w:sz w:val="68"/>
          <w:szCs w:val="68"/>
        </w:rPr>
      </w:pPr>
      <w:r w:rsidDel="00000000" w:rsidR="00000000" w:rsidRPr="00000000">
        <w:rPr>
          <w:sz w:val="68"/>
          <w:szCs w:val="68"/>
          <w:rtl w:val="0"/>
        </w:rPr>
        <w:t xml:space="preserve">Solutions d’identification </w:t>
      </w:r>
    </w:p>
    <w:p w:rsidR="00000000" w:rsidDel="00000000" w:rsidP="00000000" w:rsidRDefault="00000000" w:rsidRPr="00000000" w14:paraId="00000003">
      <w:pPr>
        <w:spacing w:after="240" w:before="240" w:lineRule="auto"/>
        <w:rPr>
          <w:sz w:val="62"/>
          <w:szCs w:val="62"/>
        </w:rPr>
      </w:pPr>
      <w:r w:rsidDel="00000000" w:rsidR="00000000" w:rsidRPr="00000000">
        <w:rPr>
          <w:sz w:val="68"/>
          <w:szCs w:val="68"/>
          <w:rtl w:val="0"/>
        </w:rPr>
        <w:t xml:space="preserve">de la personne</w:t>
      </w:r>
      <w:r w:rsidDel="00000000" w:rsidR="00000000" w:rsidRPr="00000000">
        <w:rPr>
          <w:sz w:val="62"/>
          <w:szCs w:val="62"/>
          <w:rtl w:val="0"/>
        </w:rPr>
        <w:t xml:space="preserve"> pour la</w:t>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sz w:val="36"/>
                <w:szCs w:val="36"/>
              </w:rPr>
            </w:pPr>
            <w:r w:rsidDel="00000000" w:rsidR="00000000" w:rsidRPr="00000000">
              <w:rPr>
                <w:sz w:val="36"/>
                <w:szCs w:val="36"/>
                <w:rtl w:val="0"/>
              </w:rPr>
              <w:t xml:space="preserve">République Démocratique du Congo</w:t>
            </w:r>
          </w:p>
          <w:p w:rsidR="00000000" w:rsidDel="00000000" w:rsidP="00000000" w:rsidRDefault="00000000" w:rsidRPr="00000000" w14:paraId="00000005">
            <w:pPr>
              <w:spacing w:after="240" w:before="240" w:lineRule="auto"/>
              <w:rPr>
                <w:sz w:val="62"/>
                <w:szCs w:val="62"/>
              </w:rPr>
            </w:pPr>
            <w:r w:rsidDel="00000000" w:rsidR="00000000" w:rsidRPr="00000000">
              <w:rPr>
                <w:sz w:val="36"/>
                <w:szCs w:val="36"/>
                <w:rtl w:val="0"/>
              </w:rPr>
              <w:t xml:space="preserve"> (RDC)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2"/>
                <w:szCs w:val="62"/>
              </w:rPr>
            </w:pPr>
            <w:r w:rsidDel="00000000" w:rsidR="00000000" w:rsidRPr="00000000">
              <w:rPr>
                <w:sz w:val="62"/>
                <w:szCs w:val="62"/>
              </w:rPr>
              <w:drawing>
                <wp:inline distB="114300" distT="114300" distL="114300" distR="114300">
                  <wp:extent cx="2609850" cy="17526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09850" cy="175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spacing w:after="240" w:before="240" w:lineRule="auto"/>
        <w:rPr>
          <w:sz w:val="44"/>
          <w:szCs w:val="44"/>
        </w:rPr>
      </w:pPr>
      <w:r w:rsidDel="00000000" w:rsidR="00000000" w:rsidRPr="00000000">
        <w:rPr>
          <w:rtl w:val="0"/>
        </w:rPr>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sz w:val="44"/>
                <w:szCs w:val="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528888" cy="1260480"/>
                  <wp:effectExtent b="0" l="0" r="0" t="0"/>
                  <wp:wrapNone/>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528888" cy="1260480"/>
                          </a:xfrm>
                          <a:prstGeom prst="rect"/>
                          <a:ln/>
                        </pic:spPr>
                      </pic:pic>
                    </a:graphicData>
                  </a:graphic>
                </wp:anchor>
              </w:drawing>
            </w:r>
          </w:p>
        </w:tc>
      </w:tr>
    </w:tbl>
    <w:p w:rsidR="00000000" w:rsidDel="00000000" w:rsidP="00000000" w:rsidRDefault="00000000" w:rsidRPr="00000000" w14:paraId="0000000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Tables des matières</w:t>
      </w:r>
    </w:p>
    <w:p w:rsidR="00000000" w:rsidDel="00000000" w:rsidP="00000000" w:rsidRDefault="00000000" w:rsidRPr="00000000" w14:paraId="00000019">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gmijsavl42y">
            <w:r w:rsidDel="00000000" w:rsidR="00000000" w:rsidRPr="00000000">
              <w:rPr>
                <w:b w:val="1"/>
                <w:color w:val="000000"/>
                <w:u w:val="none"/>
                <w:rtl w:val="0"/>
              </w:rPr>
              <w:t xml:space="preserve">1. Coûts</w:t>
              <w:tab/>
            </w:r>
          </w:hyperlink>
          <w:r w:rsidDel="00000000" w:rsidR="00000000" w:rsidRPr="00000000">
            <w:fldChar w:fldCharType="begin"/>
            <w:instrText xml:space="preserve"> PAGEREF _dgmijsavl42y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rPr>
              <w:b w:val="1"/>
              <w:color w:val="000000"/>
              <w:u w:val="none"/>
            </w:rPr>
          </w:pPr>
          <w:hyperlink w:anchor="_yxolnjyd94p">
            <w:r w:rsidDel="00000000" w:rsidR="00000000" w:rsidRPr="00000000">
              <w:rPr>
                <w:b w:val="1"/>
                <w:color w:val="000000"/>
                <w:u w:val="none"/>
                <w:rtl w:val="0"/>
              </w:rPr>
              <w:t xml:space="preserve">2. Facilité d'intégration avec les services de santé</w:t>
              <w:tab/>
            </w:r>
          </w:hyperlink>
          <w:r w:rsidDel="00000000" w:rsidR="00000000" w:rsidRPr="00000000">
            <w:fldChar w:fldCharType="begin"/>
            <w:instrText xml:space="preserve"> PAGEREF _yxolnjyd94p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rPr>
              <w:b w:val="1"/>
              <w:color w:val="000000"/>
              <w:u w:val="none"/>
            </w:rPr>
          </w:pPr>
          <w:hyperlink w:anchor="_w1b1w1wn87k0">
            <w:r w:rsidDel="00000000" w:rsidR="00000000" w:rsidRPr="00000000">
              <w:rPr>
                <w:b w:val="1"/>
                <w:color w:val="000000"/>
                <w:u w:val="none"/>
                <w:rtl w:val="0"/>
              </w:rPr>
              <w:t xml:space="preserve">3. Facilité d'intégration avec les services sociaux et impôts</w:t>
              <w:tab/>
            </w:r>
          </w:hyperlink>
          <w:r w:rsidDel="00000000" w:rsidR="00000000" w:rsidRPr="00000000">
            <w:fldChar w:fldCharType="begin"/>
            <w:instrText xml:space="preserve"> PAGEREF _w1b1w1wn87k0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rPr>
              <w:b w:val="1"/>
              <w:color w:val="000000"/>
              <w:u w:val="none"/>
            </w:rPr>
          </w:pPr>
          <w:hyperlink w:anchor="_f2wpx48mil3o">
            <w:r w:rsidDel="00000000" w:rsidR="00000000" w:rsidRPr="00000000">
              <w:rPr>
                <w:b w:val="1"/>
                <w:color w:val="000000"/>
                <w:u w:val="none"/>
                <w:rtl w:val="0"/>
              </w:rPr>
              <w:t xml:space="preserve">4. Guichet électronique</w:t>
              <w:tab/>
            </w:r>
          </w:hyperlink>
          <w:r w:rsidDel="00000000" w:rsidR="00000000" w:rsidRPr="00000000">
            <w:fldChar w:fldCharType="begin"/>
            <w:instrText xml:space="preserve"> PAGEREF _f2wpx48mil3o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rPr>
              <w:b w:val="1"/>
              <w:color w:val="000000"/>
              <w:u w:val="none"/>
            </w:rPr>
          </w:pPr>
          <w:hyperlink w:anchor="_yu9jhrfb1gd9">
            <w:r w:rsidDel="00000000" w:rsidR="00000000" w:rsidRPr="00000000">
              <w:rPr>
                <w:b w:val="1"/>
                <w:color w:val="000000"/>
                <w:u w:val="none"/>
                <w:rtl w:val="0"/>
              </w:rPr>
              <w:t xml:space="preserve">5. Enregistrement des entreprises</w:t>
              <w:tab/>
            </w:r>
          </w:hyperlink>
          <w:r w:rsidDel="00000000" w:rsidR="00000000" w:rsidRPr="00000000">
            <w:fldChar w:fldCharType="begin"/>
            <w:instrText xml:space="preserve"> PAGEREF _yu9jhrfb1gd9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rPr>
              <w:b w:val="1"/>
              <w:color w:val="000000"/>
              <w:u w:val="none"/>
            </w:rPr>
          </w:pPr>
          <w:hyperlink w:anchor="_y0298gn5bao5">
            <w:r w:rsidDel="00000000" w:rsidR="00000000" w:rsidRPr="00000000">
              <w:rPr>
                <w:b w:val="1"/>
                <w:color w:val="000000"/>
                <w:u w:val="none"/>
                <w:rtl w:val="0"/>
              </w:rPr>
              <w:t xml:space="preserve">6. Délais de mise en place</w:t>
              <w:tab/>
            </w:r>
          </w:hyperlink>
          <w:r w:rsidDel="00000000" w:rsidR="00000000" w:rsidRPr="00000000">
            <w:fldChar w:fldCharType="begin"/>
            <w:instrText xml:space="preserve"> PAGEREF _y0298gn5bao5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rPr>
              <w:b w:val="1"/>
              <w:color w:val="000000"/>
              <w:u w:val="none"/>
            </w:rPr>
          </w:pPr>
          <w:hyperlink w:anchor="_xffmc14h76fd">
            <w:r w:rsidDel="00000000" w:rsidR="00000000" w:rsidRPr="00000000">
              <w:rPr>
                <w:b w:val="1"/>
                <w:color w:val="000000"/>
                <w:u w:val="none"/>
                <w:rtl w:val="0"/>
              </w:rPr>
              <w:t xml:space="preserve">7. Compatibilité avec les technologies de Microsoft pour la transformation digitale</w:t>
              <w:tab/>
            </w:r>
          </w:hyperlink>
          <w:r w:rsidDel="00000000" w:rsidR="00000000" w:rsidRPr="00000000">
            <w:fldChar w:fldCharType="begin"/>
            <w:instrText xml:space="preserve"> PAGEREF _xffmc14h76fd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rPr>
              <w:b w:val="1"/>
              <w:color w:val="000000"/>
              <w:u w:val="none"/>
            </w:rPr>
          </w:pPr>
          <w:hyperlink w:anchor="_ososhz1hvn3n">
            <w:r w:rsidDel="00000000" w:rsidR="00000000" w:rsidRPr="00000000">
              <w:rPr>
                <w:b w:val="1"/>
                <w:color w:val="000000"/>
                <w:u w:val="none"/>
                <w:rtl w:val="0"/>
              </w:rPr>
              <w:t xml:space="preserve">8. Recommandation finale</w:t>
              <w:tab/>
            </w:r>
          </w:hyperlink>
          <w:r w:rsidDel="00000000" w:rsidR="00000000" w:rsidRPr="00000000">
            <w:fldChar w:fldCharType="begin"/>
            <w:instrText xml:space="preserve"> PAGEREF _ososhz1hvn3n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rPr>
              <w:b w:val="1"/>
              <w:color w:val="000000"/>
              <w:u w:val="none"/>
            </w:rPr>
          </w:pPr>
          <w:hyperlink w:anchor="_86j11zuprhs">
            <w:r w:rsidDel="00000000" w:rsidR="00000000" w:rsidRPr="00000000">
              <w:rPr>
                <w:b w:val="1"/>
                <w:color w:val="000000"/>
                <w:u w:val="none"/>
                <w:rtl w:val="0"/>
              </w:rPr>
              <w:t xml:space="preserve">1. Coûts de mise en œuvre initiale (setup)</w:t>
              <w:tab/>
            </w:r>
          </w:hyperlink>
          <w:r w:rsidDel="00000000" w:rsidR="00000000" w:rsidRPr="00000000">
            <w:fldChar w:fldCharType="begin"/>
            <w:instrText xml:space="preserve"> PAGEREF _86j11zuprhs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rPr>
              <w:b w:val="1"/>
              <w:color w:val="000000"/>
              <w:u w:val="none"/>
            </w:rPr>
          </w:pPr>
          <w:hyperlink w:anchor="_1gqnldb37jc2">
            <w:r w:rsidDel="00000000" w:rsidR="00000000" w:rsidRPr="00000000">
              <w:rPr>
                <w:b w:val="1"/>
                <w:color w:val="000000"/>
                <w:u w:val="none"/>
                <w:rtl w:val="0"/>
              </w:rPr>
              <w:t xml:space="preserve">2. Coûts opérationnels et de maintenance</w:t>
              <w:tab/>
            </w:r>
          </w:hyperlink>
          <w:r w:rsidDel="00000000" w:rsidR="00000000" w:rsidRPr="00000000">
            <w:fldChar w:fldCharType="begin"/>
            <w:instrText xml:space="preserve"> PAGEREF _1gqnldb37jc2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rPr>
              <w:b w:val="1"/>
              <w:color w:val="000000"/>
              <w:u w:val="none"/>
            </w:rPr>
          </w:pPr>
          <w:hyperlink w:anchor="_9lrkvjddpj2q">
            <w:r w:rsidDel="00000000" w:rsidR="00000000" w:rsidRPr="00000000">
              <w:rPr>
                <w:b w:val="1"/>
                <w:color w:val="000000"/>
                <w:u w:val="none"/>
                <w:rtl w:val="0"/>
              </w:rPr>
              <w:t xml:space="preserve">3. Coûts pour les services aux citoyens</w:t>
              <w:tab/>
            </w:r>
          </w:hyperlink>
          <w:r w:rsidDel="00000000" w:rsidR="00000000" w:rsidRPr="00000000">
            <w:fldChar w:fldCharType="begin"/>
            <w:instrText xml:space="preserve"> PAGEREF _9lrkvjddpj2q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rPr>
              <w:b w:val="1"/>
              <w:color w:val="000000"/>
              <w:u w:val="none"/>
            </w:rPr>
          </w:pPr>
          <w:hyperlink w:anchor="_5ln1o819y9h8">
            <w:r w:rsidDel="00000000" w:rsidR="00000000" w:rsidRPr="00000000">
              <w:rPr>
                <w:b w:val="1"/>
                <w:color w:val="000000"/>
                <w:u w:val="none"/>
                <w:rtl w:val="0"/>
              </w:rPr>
              <w:t xml:space="preserve">4. Coûts de partenariat et licences logicielles</w:t>
              <w:tab/>
            </w:r>
          </w:hyperlink>
          <w:r w:rsidDel="00000000" w:rsidR="00000000" w:rsidRPr="00000000">
            <w:fldChar w:fldCharType="begin"/>
            <w:instrText xml:space="preserve"> PAGEREF _5ln1o819y9h8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rPr>
              <w:b w:val="1"/>
              <w:color w:val="000000"/>
              <w:u w:val="none"/>
            </w:rPr>
          </w:pPr>
          <w:hyperlink w:anchor="_wp5kd58dqejg">
            <w:r w:rsidDel="00000000" w:rsidR="00000000" w:rsidRPr="00000000">
              <w:rPr>
                <w:b w:val="1"/>
                <w:color w:val="000000"/>
                <w:u w:val="none"/>
                <w:rtl w:val="0"/>
              </w:rPr>
              <w:t xml:space="preserve">5. Financement et aide internationale</w:t>
              <w:tab/>
            </w:r>
          </w:hyperlink>
          <w:r w:rsidDel="00000000" w:rsidR="00000000" w:rsidRPr="00000000">
            <w:fldChar w:fldCharType="begin"/>
            <w:instrText xml:space="preserve"> PAGEREF _wp5kd58dqejg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hyperlink w:anchor="_ek9p8vsp1w95">
            <w:r w:rsidDel="00000000" w:rsidR="00000000" w:rsidRPr="00000000">
              <w:rPr>
                <w:b w:val="1"/>
                <w:color w:val="000000"/>
                <w:u w:val="none"/>
                <w:rtl w:val="0"/>
              </w:rPr>
              <w:t xml:space="preserve">Résumé des coûts estimés pour une mise en place complète</w:t>
              <w:tab/>
            </w:r>
          </w:hyperlink>
          <w:r w:rsidDel="00000000" w:rsidR="00000000" w:rsidRPr="00000000">
            <w:fldChar w:fldCharType="begin"/>
            <w:instrText xml:space="preserve"> PAGEREF _ek9p8vsp1w95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rPr>
              <w:b w:val="1"/>
              <w:color w:val="000000"/>
              <w:u w:val="none"/>
            </w:rPr>
          </w:pPr>
          <w:hyperlink w:anchor="_5lhcc4d4tzut">
            <w:r w:rsidDel="00000000" w:rsidR="00000000" w:rsidRPr="00000000">
              <w:rPr>
                <w:b w:val="1"/>
                <w:color w:val="000000"/>
                <w:u w:val="none"/>
                <w:rtl w:val="0"/>
              </w:rPr>
              <w:t xml:space="preserve">Coût total estimé</w:t>
              <w:tab/>
            </w:r>
          </w:hyperlink>
          <w:r w:rsidDel="00000000" w:rsidR="00000000" w:rsidRPr="00000000">
            <w:fldChar w:fldCharType="begin"/>
            <w:instrText xml:space="preserve"> PAGEREF _5lhcc4d4tzut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Nous avons évalué la solution refusée par l’Inspection Générale des Finances ainsi qu’une solution alternative  en fonction de critères tels que les coûts, la facilité d'intégration, la compatibilité technologique, et les délais de mise en œuvre. Voici une analyse comparative centrée sur les solutions proposées par </w:t>
      </w:r>
      <w:r w:rsidDel="00000000" w:rsidR="00000000" w:rsidRPr="00000000">
        <w:rPr>
          <w:b w:val="1"/>
          <w:rtl w:val="0"/>
        </w:rPr>
        <w:t xml:space="preserve">Zetes</w:t>
      </w:r>
      <w:r w:rsidDel="00000000" w:rsidR="00000000" w:rsidRPr="00000000">
        <w:rPr>
          <w:rtl w:val="0"/>
        </w:rPr>
        <w:t xml:space="preserve"> et </w:t>
      </w:r>
      <w:r w:rsidDel="00000000" w:rsidR="00000000" w:rsidRPr="00000000">
        <w:rPr>
          <w:b w:val="1"/>
          <w:rtl w:val="0"/>
        </w:rPr>
        <w:t xml:space="preserve">Idemia</w:t>
      </w:r>
      <w:r w:rsidDel="00000000" w:rsidR="00000000" w:rsidRPr="00000000">
        <w:rPr>
          <w:rtl w:val="0"/>
        </w:rPr>
        <w:t xml:space="preserve">, deux leaders dans le domaine, ainsi que quelques autres options pour la RDC.</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85ca"/>
          <w:sz w:val="26"/>
          <w:szCs w:val="26"/>
        </w:rPr>
      </w:pPr>
      <w:bookmarkStart w:colFirst="0" w:colLast="0" w:name="_dgmijsavl42y" w:id="0"/>
      <w:bookmarkEnd w:id="0"/>
      <w:r w:rsidDel="00000000" w:rsidR="00000000" w:rsidRPr="00000000">
        <w:rPr>
          <w:b w:val="1"/>
          <w:color w:val="0085ca"/>
          <w:sz w:val="26"/>
          <w:szCs w:val="26"/>
          <w:rtl w:val="0"/>
        </w:rPr>
        <w:t xml:space="preserve">1. Coûts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b w:val="1"/>
          <w:rtl w:val="0"/>
        </w:rPr>
        <w:t xml:space="preserve">Zetes</w:t>
      </w:r>
      <w:r w:rsidDel="00000000" w:rsidR="00000000" w:rsidRPr="00000000">
        <w:rPr>
          <w:rtl w:val="0"/>
        </w:rPr>
        <w:t xml:space="preserve"> : Les coûts sont généralement compétitifs pour les pays africains, car Zetes adapte souvent ses solutions aux budgets locaux et offre des options de financement via des partenariats public-privé. Les coûts peuvent inclure les composants matériels pour les cartes, les infrastructures de gestion, et la formation.</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b w:val="1"/>
          <w:rtl w:val="0"/>
        </w:rPr>
        <w:t xml:space="preserve">Idemia</w:t>
      </w:r>
      <w:r w:rsidDel="00000000" w:rsidR="00000000" w:rsidRPr="00000000">
        <w:rPr>
          <w:rtl w:val="0"/>
        </w:rPr>
        <w:t xml:space="preserve"> : Plus coûteux en raison de son positionnement en tant que leader mondial avec des technologies avancées comme l’authentification biométrique. Cependant, Idemia offre aussi des options flexibles adaptées aux besoins des pays en développement.</w:t>
      </w:r>
    </w:p>
    <w:p w:rsidR="00000000" w:rsidDel="00000000" w:rsidP="00000000" w:rsidRDefault="00000000" w:rsidRPr="00000000" w14:paraId="00000037">
      <w:pPr>
        <w:numPr>
          <w:ilvl w:val="0"/>
          <w:numId w:val="8"/>
        </w:numPr>
        <w:spacing w:after="240" w:before="0" w:beforeAutospacing="0" w:lineRule="auto"/>
        <w:ind w:left="720" w:hanging="360"/>
      </w:pPr>
      <w:r w:rsidDel="00000000" w:rsidR="00000000" w:rsidRPr="00000000">
        <w:rPr>
          <w:b w:val="1"/>
          <w:rtl w:val="0"/>
        </w:rPr>
        <w:t xml:space="preserve">Autres solutions</w:t>
      </w:r>
      <w:r w:rsidDel="00000000" w:rsidR="00000000" w:rsidRPr="00000000">
        <w:rPr>
          <w:rtl w:val="0"/>
        </w:rPr>
        <w:t xml:space="preserve"> : D'autres fournisseurs comme Thales et HID Global pourraient être envisagés, mais leurs coûts sont souvent plus élevés que ceux de Zetes pour des infrastructures similaires.</w:t>
      </w:r>
    </w:p>
    <w:p w:rsidR="00000000" w:rsidDel="00000000" w:rsidP="00000000" w:rsidRDefault="00000000" w:rsidRPr="00000000" w14:paraId="00000038">
      <w:pPr>
        <w:pStyle w:val="Heading3"/>
        <w:keepNext w:val="0"/>
        <w:keepLines w:val="0"/>
        <w:spacing w:before="280" w:lineRule="auto"/>
        <w:rPr>
          <w:b w:val="1"/>
          <w:color w:val="0085ca"/>
          <w:sz w:val="26"/>
          <w:szCs w:val="26"/>
        </w:rPr>
      </w:pPr>
      <w:bookmarkStart w:colFirst="0" w:colLast="0" w:name="_yxolnjyd94p" w:id="1"/>
      <w:bookmarkEnd w:id="1"/>
      <w:r w:rsidDel="00000000" w:rsidR="00000000" w:rsidRPr="00000000">
        <w:rPr>
          <w:b w:val="1"/>
          <w:color w:val="0085ca"/>
          <w:sz w:val="26"/>
          <w:szCs w:val="26"/>
          <w:rtl w:val="0"/>
        </w:rPr>
        <w:t xml:space="preserve">2. Facilité d'intégration avec les services de santé</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b w:val="1"/>
          <w:rtl w:val="0"/>
        </w:rPr>
        <w:t xml:space="preserve">Zetes</w:t>
      </w:r>
      <w:r w:rsidDel="00000000" w:rsidR="00000000" w:rsidRPr="00000000">
        <w:rPr>
          <w:rtl w:val="0"/>
        </w:rPr>
        <w:t xml:space="preserve"> : Propose des systèmes adaptés aux infrastructures africaines, permettant une intégration progressive avec les bases de données de santé. Des solutions de vérification mobile et de gestion des identités numériques permettent une interopérabilité avec les systèmes de santé.</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Idemia</w:t>
      </w:r>
      <w:r w:rsidDel="00000000" w:rsidR="00000000" w:rsidRPr="00000000">
        <w:rPr>
          <w:rtl w:val="0"/>
        </w:rPr>
        <w:t xml:space="preserve"> : Possède des solutions biométriques et de gestion d'identité qui facilitent l'intégration avec les dossiers médicaux électroniques et les systèmes de santé existants. Le module de gestion de la biométrie offre une intégration plus fluide pour la vérification en temps réel.</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b w:val="1"/>
          <w:rtl w:val="0"/>
        </w:rPr>
        <w:t xml:space="preserve">Recommandation</w:t>
      </w:r>
      <w:r w:rsidDel="00000000" w:rsidR="00000000" w:rsidRPr="00000000">
        <w:rPr>
          <w:rtl w:val="0"/>
        </w:rPr>
        <w:t xml:space="preserve"> : Pour une infrastructure naissante en RDC, Zetes pourrait être plus appropriée en raison de sa flexibilité et de son expérience dans les pays africains.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eppaxx3ia5fr" w:id="2"/>
      <w:bookmarkEnd w:id="2"/>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85ca"/>
          <w:sz w:val="26"/>
          <w:szCs w:val="26"/>
        </w:rPr>
      </w:pPr>
      <w:bookmarkStart w:colFirst="0" w:colLast="0" w:name="_w1b1w1wn87k0" w:id="3"/>
      <w:bookmarkEnd w:id="3"/>
      <w:r w:rsidDel="00000000" w:rsidR="00000000" w:rsidRPr="00000000">
        <w:rPr>
          <w:b w:val="1"/>
          <w:color w:val="0085ca"/>
          <w:sz w:val="26"/>
          <w:szCs w:val="26"/>
          <w:rtl w:val="0"/>
        </w:rPr>
        <w:t xml:space="preserve">3. Facilité d'intégration avec les services sociaux et impôts</w:t>
      </w:r>
    </w:p>
    <w:p w:rsidR="00000000" w:rsidDel="00000000" w:rsidP="00000000" w:rsidRDefault="00000000" w:rsidRPr="00000000" w14:paraId="0000003E">
      <w:pPr>
        <w:numPr>
          <w:ilvl w:val="0"/>
          <w:numId w:val="7"/>
        </w:numPr>
        <w:spacing w:after="0" w:afterAutospacing="0" w:before="240" w:lineRule="auto"/>
        <w:ind w:left="720" w:hanging="360"/>
      </w:pPr>
      <w:r w:rsidDel="00000000" w:rsidR="00000000" w:rsidRPr="00000000">
        <w:rPr>
          <w:b w:val="1"/>
          <w:rtl w:val="0"/>
        </w:rPr>
        <w:t xml:space="preserve">Zetes</w:t>
      </w:r>
      <w:r w:rsidDel="00000000" w:rsidR="00000000" w:rsidRPr="00000000">
        <w:rPr>
          <w:rtl w:val="0"/>
        </w:rPr>
        <w:t xml:space="preserve"> : Peut s'intégrer avec les services fiscaux et sociaux en utilisant un numéro d'identification unique. Zetes permet une intégration efficace avec les services de recouvrement d’impôts, de pensions, et de sécurité sociale.</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b w:val="1"/>
          <w:rtl w:val="0"/>
        </w:rPr>
        <w:t xml:space="preserve">Idemia</w:t>
      </w:r>
      <w:r w:rsidDel="00000000" w:rsidR="00000000" w:rsidRPr="00000000">
        <w:rPr>
          <w:rtl w:val="0"/>
        </w:rPr>
        <w:t xml:space="preserve"> : La technologie biométrique d'Idemia est également bien adaptée aux services fiscaux et sociaux grâce à des solutions hautement sécurisées qui permettent un suivi et une identification rapide.</w:t>
      </w:r>
    </w:p>
    <w:p w:rsidR="00000000" w:rsidDel="00000000" w:rsidP="00000000" w:rsidRDefault="00000000" w:rsidRPr="00000000" w14:paraId="00000040">
      <w:pPr>
        <w:numPr>
          <w:ilvl w:val="0"/>
          <w:numId w:val="7"/>
        </w:numPr>
        <w:spacing w:after="240" w:before="0" w:beforeAutospacing="0" w:lineRule="auto"/>
        <w:ind w:left="720" w:hanging="360"/>
      </w:pPr>
      <w:r w:rsidDel="00000000" w:rsidR="00000000" w:rsidRPr="00000000">
        <w:rPr>
          <w:b w:val="1"/>
          <w:rtl w:val="0"/>
        </w:rPr>
        <w:t xml:space="preserve">Recommandation</w:t>
      </w:r>
      <w:r w:rsidDel="00000000" w:rsidR="00000000" w:rsidRPr="00000000">
        <w:rPr>
          <w:rtl w:val="0"/>
        </w:rPr>
        <w:t xml:space="preserve"> : Idemia serait plus avantageuse pour les services qui nécessitent une biométrie avancée. Pour des intégrations à plus faible coût, Zetes est préférable.</w:t>
      </w:r>
    </w:p>
    <w:p w:rsidR="00000000" w:rsidDel="00000000" w:rsidP="00000000" w:rsidRDefault="00000000" w:rsidRPr="00000000" w14:paraId="00000041">
      <w:pPr>
        <w:pStyle w:val="Heading3"/>
        <w:keepNext w:val="0"/>
        <w:keepLines w:val="0"/>
        <w:spacing w:before="280" w:lineRule="auto"/>
        <w:rPr>
          <w:b w:val="1"/>
          <w:color w:val="0085ca"/>
          <w:sz w:val="26"/>
          <w:szCs w:val="26"/>
        </w:rPr>
      </w:pPr>
      <w:bookmarkStart w:colFirst="0" w:colLast="0" w:name="_f2wpx48mil3o" w:id="4"/>
      <w:bookmarkEnd w:id="4"/>
      <w:r w:rsidDel="00000000" w:rsidR="00000000" w:rsidRPr="00000000">
        <w:rPr>
          <w:b w:val="1"/>
          <w:color w:val="0085ca"/>
          <w:sz w:val="26"/>
          <w:szCs w:val="26"/>
          <w:rtl w:val="0"/>
        </w:rPr>
        <w:t xml:space="preserve">4. Guichet électronique</w:t>
      </w:r>
    </w:p>
    <w:p w:rsidR="00000000" w:rsidDel="00000000" w:rsidP="00000000" w:rsidRDefault="00000000" w:rsidRPr="00000000" w14:paraId="00000042">
      <w:pPr>
        <w:numPr>
          <w:ilvl w:val="0"/>
          <w:numId w:val="9"/>
        </w:numPr>
        <w:spacing w:after="0" w:afterAutospacing="0" w:before="240" w:lineRule="auto"/>
        <w:ind w:left="720" w:hanging="360"/>
      </w:pPr>
      <w:r w:rsidDel="00000000" w:rsidR="00000000" w:rsidRPr="00000000">
        <w:rPr>
          <w:b w:val="1"/>
          <w:rtl w:val="0"/>
        </w:rPr>
        <w:t xml:space="preserve">Zetes</w:t>
      </w:r>
      <w:r w:rsidDel="00000000" w:rsidR="00000000" w:rsidRPr="00000000">
        <w:rPr>
          <w:rtl w:val="0"/>
        </w:rPr>
        <w:t xml:space="preserve"> : Offre des solutions modulaires permettant une gestion des identités pour un guichet électronique. Zetes a de l'expérience dans l’intégration des identités numériques avec les services gouvernementaux via des cartes d’identité électroniques (eID).</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b w:val="1"/>
          <w:rtl w:val="0"/>
        </w:rPr>
        <w:t xml:space="preserve">Idemia</w:t>
      </w:r>
      <w:r w:rsidDel="00000000" w:rsidR="00000000" w:rsidRPr="00000000">
        <w:rPr>
          <w:rtl w:val="0"/>
        </w:rPr>
        <w:t xml:space="preserve"> : Offre des services avancés d’identification par empreinte digitale et reconnaissance faciale, permettant une vérification en temps réel dans les guichets électroniques et un contrôle des accès à distance.</w:t>
      </w:r>
    </w:p>
    <w:p w:rsidR="00000000" w:rsidDel="00000000" w:rsidP="00000000" w:rsidRDefault="00000000" w:rsidRPr="00000000" w14:paraId="00000044">
      <w:pPr>
        <w:numPr>
          <w:ilvl w:val="0"/>
          <w:numId w:val="9"/>
        </w:numPr>
        <w:spacing w:after="240" w:before="0" w:beforeAutospacing="0" w:lineRule="auto"/>
        <w:ind w:left="720" w:hanging="360"/>
      </w:pPr>
      <w:r w:rsidDel="00000000" w:rsidR="00000000" w:rsidRPr="00000000">
        <w:rPr>
          <w:b w:val="1"/>
          <w:rtl w:val="0"/>
        </w:rPr>
        <w:t xml:space="preserve">Recommandations</w:t>
      </w:r>
      <w:r w:rsidDel="00000000" w:rsidR="00000000" w:rsidRPr="00000000">
        <w:rPr>
          <w:rtl w:val="0"/>
        </w:rPr>
        <w:t xml:space="preserve"> : Zetes pour une première mise en place de guichets électroniques simples ; Idemia pour des fonctionnalités avancées.</w:t>
      </w:r>
    </w:p>
    <w:p w:rsidR="00000000" w:rsidDel="00000000" w:rsidP="00000000" w:rsidRDefault="00000000" w:rsidRPr="00000000" w14:paraId="00000045">
      <w:pPr>
        <w:pStyle w:val="Heading3"/>
        <w:keepNext w:val="0"/>
        <w:keepLines w:val="0"/>
        <w:spacing w:before="280" w:lineRule="auto"/>
        <w:rPr>
          <w:b w:val="1"/>
          <w:color w:val="0085ca"/>
          <w:sz w:val="26"/>
          <w:szCs w:val="26"/>
        </w:rPr>
      </w:pPr>
      <w:bookmarkStart w:colFirst="0" w:colLast="0" w:name="_yu9jhrfb1gd9" w:id="5"/>
      <w:bookmarkEnd w:id="5"/>
      <w:r w:rsidDel="00000000" w:rsidR="00000000" w:rsidRPr="00000000">
        <w:rPr>
          <w:b w:val="1"/>
          <w:color w:val="0085ca"/>
          <w:sz w:val="26"/>
          <w:szCs w:val="26"/>
          <w:rtl w:val="0"/>
        </w:rPr>
        <w:t xml:space="preserve">5. Enregistrement des entreprises</w:t>
      </w:r>
    </w:p>
    <w:p w:rsidR="00000000" w:rsidDel="00000000" w:rsidP="00000000" w:rsidRDefault="00000000" w:rsidRPr="00000000" w14:paraId="00000046">
      <w:pPr>
        <w:numPr>
          <w:ilvl w:val="0"/>
          <w:numId w:val="11"/>
        </w:numPr>
        <w:spacing w:after="0" w:afterAutospacing="0" w:before="240" w:lineRule="auto"/>
        <w:ind w:left="720" w:hanging="360"/>
      </w:pPr>
      <w:r w:rsidDel="00000000" w:rsidR="00000000" w:rsidRPr="00000000">
        <w:rPr>
          <w:b w:val="1"/>
          <w:rtl w:val="0"/>
        </w:rPr>
        <w:t xml:space="preserve">Zetes</w:t>
      </w:r>
      <w:r w:rsidDel="00000000" w:rsidR="00000000" w:rsidRPr="00000000">
        <w:rPr>
          <w:rtl w:val="0"/>
        </w:rPr>
        <w:t xml:space="preserve"> : Aide à automatiser le processus d'enregistrement en centralisant les identités d’entrepreneurs et en assurant la vérification des documents.</w:t>
      </w:r>
    </w:p>
    <w:p w:rsidR="00000000" w:rsidDel="00000000" w:rsidP="00000000" w:rsidRDefault="00000000" w:rsidRPr="00000000" w14:paraId="00000047">
      <w:pPr>
        <w:numPr>
          <w:ilvl w:val="0"/>
          <w:numId w:val="11"/>
        </w:numPr>
        <w:spacing w:after="0" w:afterAutospacing="0" w:before="0" w:beforeAutospacing="0" w:lineRule="auto"/>
        <w:ind w:left="720" w:hanging="360"/>
      </w:pPr>
      <w:r w:rsidDel="00000000" w:rsidR="00000000" w:rsidRPr="00000000">
        <w:rPr>
          <w:b w:val="1"/>
          <w:rtl w:val="0"/>
        </w:rPr>
        <w:t xml:space="preserve">Idemia</w:t>
      </w:r>
      <w:r w:rsidDel="00000000" w:rsidR="00000000" w:rsidRPr="00000000">
        <w:rPr>
          <w:rtl w:val="0"/>
        </w:rPr>
        <w:t xml:space="preserve"> : Permet une identification biométrique complète qui peut sécuriser les processus d’enregistrement d’entreprises, mais reste plus coûteuse pour les déploiements initiaux.</w:t>
      </w:r>
    </w:p>
    <w:p w:rsidR="00000000" w:rsidDel="00000000" w:rsidP="00000000" w:rsidRDefault="00000000" w:rsidRPr="00000000" w14:paraId="00000048">
      <w:pPr>
        <w:numPr>
          <w:ilvl w:val="0"/>
          <w:numId w:val="11"/>
        </w:numPr>
        <w:spacing w:after="240" w:before="0" w:beforeAutospacing="0" w:lineRule="auto"/>
        <w:ind w:left="720" w:hanging="360"/>
      </w:pPr>
      <w:r w:rsidDel="00000000" w:rsidR="00000000" w:rsidRPr="00000000">
        <w:rPr>
          <w:b w:val="1"/>
          <w:rtl w:val="0"/>
        </w:rPr>
        <w:t xml:space="preserve">Recommandations</w:t>
      </w:r>
      <w:r w:rsidDel="00000000" w:rsidR="00000000" w:rsidRPr="00000000">
        <w:rPr>
          <w:rtl w:val="0"/>
        </w:rPr>
        <w:t xml:space="preserve"> : Zetes pour une mise en place rapide et abordable ; Idemia pour des processus de vérification plus avancés.</w:t>
      </w:r>
    </w:p>
    <w:p w:rsidR="00000000" w:rsidDel="00000000" w:rsidP="00000000" w:rsidRDefault="00000000" w:rsidRPr="00000000" w14:paraId="00000049">
      <w:pPr>
        <w:pStyle w:val="Heading3"/>
        <w:keepNext w:val="0"/>
        <w:keepLines w:val="0"/>
        <w:spacing w:before="280" w:lineRule="auto"/>
        <w:rPr>
          <w:b w:val="1"/>
          <w:color w:val="0085ca"/>
          <w:sz w:val="26"/>
          <w:szCs w:val="26"/>
        </w:rPr>
      </w:pPr>
      <w:bookmarkStart w:colFirst="0" w:colLast="0" w:name="_y0298gn5bao5" w:id="6"/>
      <w:bookmarkEnd w:id="6"/>
      <w:r w:rsidDel="00000000" w:rsidR="00000000" w:rsidRPr="00000000">
        <w:rPr>
          <w:b w:val="1"/>
          <w:color w:val="0085ca"/>
          <w:sz w:val="26"/>
          <w:szCs w:val="26"/>
          <w:rtl w:val="0"/>
        </w:rPr>
        <w:t xml:space="preserve">6. Délais de mise en place</w:t>
      </w:r>
    </w:p>
    <w:p w:rsidR="00000000" w:rsidDel="00000000" w:rsidP="00000000" w:rsidRDefault="00000000" w:rsidRPr="00000000" w14:paraId="0000004A">
      <w:pPr>
        <w:numPr>
          <w:ilvl w:val="0"/>
          <w:numId w:val="5"/>
        </w:numPr>
        <w:spacing w:after="0" w:afterAutospacing="0" w:before="240" w:lineRule="auto"/>
        <w:ind w:left="720" w:hanging="360"/>
      </w:pPr>
      <w:r w:rsidDel="00000000" w:rsidR="00000000" w:rsidRPr="00000000">
        <w:rPr>
          <w:b w:val="1"/>
          <w:rtl w:val="0"/>
        </w:rPr>
        <w:t xml:space="preserve">Zetes</w:t>
      </w:r>
      <w:r w:rsidDel="00000000" w:rsidR="00000000" w:rsidRPr="00000000">
        <w:rPr>
          <w:rtl w:val="0"/>
        </w:rPr>
        <w:t xml:space="preserve"> : Habituellement rapide en termes de mise en œuvre dans les pays en développement, avec des délais de quelques mois pour les systèmes de base, à un an pour les systèmes plus complexes.</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b w:val="1"/>
          <w:rtl w:val="0"/>
        </w:rPr>
        <w:t xml:space="preserve">Idemia</w:t>
      </w:r>
      <w:r w:rsidDel="00000000" w:rsidR="00000000" w:rsidRPr="00000000">
        <w:rPr>
          <w:rtl w:val="0"/>
        </w:rPr>
        <w:t xml:space="preserve"> : Peut nécessiter plus de temps pour les installations biométriques avancées et les solutions d’intégration en raison de leurs exigences matérielles et logicielles.</w:t>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b w:val="1"/>
          <w:rtl w:val="0"/>
        </w:rPr>
        <w:t xml:space="preserve">Recommandations</w:t>
      </w:r>
      <w:r w:rsidDel="00000000" w:rsidR="00000000" w:rsidRPr="00000000">
        <w:rPr>
          <w:rtl w:val="0"/>
        </w:rPr>
        <w:t xml:space="preserve"> : Zetes pour une implémentation rapide en RDC, Idemia si la durée de déploiement n'est pas un frein.</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f1vnra8y0rsl" w:id="7"/>
      <w:bookmarkEnd w:id="7"/>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85ca"/>
          <w:sz w:val="26"/>
          <w:szCs w:val="26"/>
        </w:rPr>
      </w:pPr>
      <w:bookmarkStart w:colFirst="0" w:colLast="0" w:name="_xffmc14h76fd" w:id="8"/>
      <w:bookmarkEnd w:id="8"/>
      <w:r w:rsidDel="00000000" w:rsidR="00000000" w:rsidRPr="00000000">
        <w:rPr>
          <w:b w:val="1"/>
          <w:color w:val="0085ca"/>
          <w:sz w:val="26"/>
          <w:szCs w:val="26"/>
          <w:rtl w:val="0"/>
        </w:rPr>
        <w:t xml:space="preserve">7. Compatibilité avec les technologies de Microsoft pour la transformation digitale</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b w:val="1"/>
          <w:rtl w:val="0"/>
        </w:rPr>
        <w:t xml:space="preserve">Zetes</w:t>
      </w:r>
      <w:r w:rsidDel="00000000" w:rsidR="00000000" w:rsidRPr="00000000">
        <w:rPr>
          <w:rtl w:val="0"/>
        </w:rPr>
        <w:t xml:space="preserve"> : Compatible avec les technologies Microsoft, incluant les systèmes de gestion des identités et la conformité aux normes Azure pour les solutions cloud. Zetes est également capable d'utiliser des outils Microsoft pour le suivi et l'analyse des données d'identité.</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Idemia</w:t>
      </w:r>
      <w:r w:rsidDel="00000000" w:rsidR="00000000" w:rsidRPr="00000000">
        <w:rPr>
          <w:rtl w:val="0"/>
        </w:rPr>
        <w:t xml:space="preserve"> : Est également compatible avec les écosystèmes Microsoft, utilisant des technologies de reconnaissance biométrique et d'intelligence artificielle intégrables aux plateformes Azure et aux solutions d'IA Microsoft pour les analyses avancées.</w:t>
      </w:r>
    </w:p>
    <w:p w:rsidR="00000000" w:rsidDel="00000000" w:rsidP="00000000" w:rsidRDefault="00000000" w:rsidRPr="00000000" w14:paraId="00000051">
      <w:pPr>
        <w:numPr>
          <w:ilvl w:val="0"/>
          <w:numId w:val="6"/>
        </w:numPr>
        <w:spacing w:after="240" w:before="0" w:beforeAutospacing="0" w:lineRule="auto"/>
        <w:ind w:left="720" w:hanging="360"/>
      </w:pPr>
      <w:r w:rsidDel="00000000" w:rsidR="00000000" w:rsidRPr="00000000">
        <w:rPr>
          <w:b w:val="1"/>
          <w:rtl w:val="0"/>
        </w:rPr>
        <w:t xml:space="preserve">Recommandation</w:t>
      </w:r>
      <w:r w:rsidDel="00000000" w:rsidR="00000000" w:rsidRPr="00000000">
        <w:rPr>
          <w:rtl w:val="0"/>
        </w:rPr>
        <w:t xml:space="preserve"> : Les deux solutions sont compatibles, mais Zetes peut s’avérer plus simple à intégrer dans un contexte initial de transformation digitale.</w:t>
      </w:r>
    </w:p>
    <w:p w:rsidR="00000000" w:rsidDel="00000000" w:rsidP="00000000" w:rsidRDefault="00000000" w:rsidRPr="00000000" w14:paraId="00000052">
      <w:pPr>
        <w:pStyle w:val="Heading3"/>
        <w:keepNext w:val="0"/>
        <w:keepLines w:val="0"/>
        <w:spacing w:before="280" w:lineRule="auto"/>
        <w:rPr>
          <w:b w:val="1"/>
          <w:color w:val="0085ca"/>
          <w:sz w:val="26"/>
          <w:szCs w:val="26"/>
        </w:rPr>
      </w:pPr>
      <w:bookmarkStart w:colFirst="0" w:colLast="0" w:name="_ososhz1hvn3n" w:id="9"/>
      <w:bookmarkEnd w:id="9"/>
      <w:r w:rsidDel="00000000" w:rsidR="00000000" w:rsidRPr="00000000">
        <w:rPr>
          <w:b w:val="1"/>
          <w:color w:val="0085ca"/>
          <w:sz w:val="26"/>
          <w:szCs w:val="26"/>
          <w:rtl w:val="0"/>
        </w:rPr>
        <w:t xml:space="preserve">8. Recommandation finale</w:t>
      </w:r>
    </w:p>
    <w:p w:rsidR="00000000" w:rsidDel="00000000" w:rsidP="00000000" w:rsidRDefault="00000000" w:rsidRPr="00000000" w14:paraId="00000053">
      <w:pPr>
        <w:spacing w:after="240" w:before="240" w:lineRule="auto"/>
        <w:rPr/>
      </w:pPr>
      <w:r w:rsidDel="00000000" w:rsidR="00000000" w:rsidRPr="00000000">
        <w:rPr>
          <w:rtl w:val="0"/>
        </w:rPr>
        <w:t xml:space="preserve">Pour la République Démocratique du Congo, </w:t>
      </w:r>
      <w:r w:rsidDel="00000000" w:rsidR="00000000" w:rsidRPr="00000000">
        <w:rPr>
          <w:b w:val="1"/>
          <w:rtl w:val="0"/>
        </w:rPr>
        <w:t xml:space="preserve">Zetes</w:t>
      </w:r>
      <w:r w:rsidDel="00000000" w:rsidR="00000000" w:rsidRPr="00000000">
        <w:rPr>
          <w:rtl w:val="0"/>
        </w:rPr>
        <w:t xml:space="preserve"> est une option solide pour une première phase de transformation digitale avec des objectifs de déploiement rapide, de flexibilité et de maîtrise des coûts. Zetes offre des solutions d'identité qui s'intègrent bien avec des infrastructures naissantes, permettant une adoption progressive et la possibilité d’ajouter des fonctionnalités avancées au fur et à mesure.</w:t>
      </w:r>
    </w:p>
    <w:p w:rsidR="00000000" w:rsidDel="00000000" w:rsidP="00000000" w:rsidRDefault="00000000" w:rsidRPr="00000000" w14:paraId="00000054">
      <w:pPr>
        <w:spacing w:after="240" w:before="240" w:lineRule="auto"/>
        <w:rPr/>
      </w:pPr>
      <w:r w:rsidDel="00000000" w:rsidR="00000000" w:rsidRPr="00000000">
        <w:rPr>
          <w:rtl w:val="0"/>
        </w:rPr>
        <w:t xml:space="preserve">Cependant, </w:t>
      </w:r>
      <w:r w:rsidDel="00000000" w:rsidR="00000000" w:rsidRPr="00000000">
        <w:rPr>
          <w:b w:val="1"/>
          <w:rtl w:val="0"/>
        </w:rPr>
        <w:t xml:space="preserve">Idemia</w:t>
      </w:r>
      <w:r w:rsidDel="00000000" w:rsidR="00000000" w:rsidRPr="00000000">
        <w:rPr>
          <w:rtl w:val="0"/>
        </w:rPr>
        <w:t xml:space="preserve"> reste un choix idéal pour les aspects de sécurité de pointe et les services de reconnaissance biométrique avancés, qui pourraient être intégrés ultérieurement lorsque les infrastructures de la RDC seront plus développées. Une approche hybride, où Zetes déploie les systèmes initiaux et Idemia intervient pour les mises à jour biométriques et avancées, serait idéale pour atteindre progressivement un niveau de sophistication similaire à celui de l'initiative Smart Nation de Singapour.</w:t>
      </w:r>
    </w:p>
    <w:p w:rsidR="00000000" w:rsidDel="00000000" w:rsidP="00000000" w:rsidRDefault="00000000" w:rsidRPr="00000000" w14:paraId="00000055">
      <w:pPr>
        <w:pStyle w:val="Heading5"/>
        <w:keepNext w:val="0"/>
        <w:keepLines w:val="0"/>
        <w:spacing w:after="40" w:before="220" w:lineRule="auto"/>
        <w:rPr>
          <w:b w:val="1"/>
          <w:color w:val="000000"/>
          <w:sz w:val="20"/>
          <w:szCs w:val="20"/>
        </w:rPr>
      </w:pPr>
      <w:bookmarkStart w:colFirst="0" w:colLast="0" w:name="_zojglpm8kol" w:id="10"/>
      <w:bookmarkEnd w:id="10"/>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Coûts liés à une telle implémentation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Les coûts pour une implémentation complète d’un système d’identification numérique pour un pays comme la République Démocratique du Congo peuvent varier considérablement selon les exigences spécifiques, le niveau de sophistication technologique choisi, et le modèle de financement (public-privé, subventions internationales, etc.). Voici une estimation des principaux coûts associés à un tel projet :</w:t>
      </w:r>
    </w:p>
    <w:p w:rsidR="00000000" w:rsidDel="00000000" w:rsidP="00000000" w:rsidRDefault="00000000" w:rsidRPr="00000000" w14:paraId="0000005A">
      <w:pPr>
        <w:pStyle w:val="Heading3"/>
        <w:keepNext w:val="0"/>
        <w:keepLines w:val="0"/>
        <w:spacing w:before="280" w:lineRule="auto"/>
        <w:rPr>
          <w:b w:val="1"/>
          <w:color w:val="0085ca"/>
          <w:sz w:val="26"/>
          <w:szCs w:val="26"/>
        </w:rPr>
      </w:pPr>
      <w:bookmarkStart w:colFirst="0" w:colLast="0" w:name="_86j11zuprhs" w:id="11"/>
      <w:bookmarkEnd w:id="11"/>
      <w:r w:rsidDel="00000000" w:rsidR="00000000" w:rsidRPr="00000000">
        <w:rPr>
          <w:b w:val="1"/>
          <w:color w:val="0085ca"/>
          <w:sz w:val="26"/>
          <w:szCs w:val="26"/>
          <w:rtl w:val="0"/>
        </w:rPr>
        <w:t xml:space="preserve">1. Coûts de mise en œuvre initiale (setup)</w:t>
      </w:r>
    </w:p>
    <w:p w:rsidR="00000000" w:rsidDel="00000000" w:rsidP="00000000" w:rsidRDefault="00000000" w:rsidRPr="00000000" w14:paraId="0000005B">
      <w:pPr>
        <w:numPr>
          <w:ilvl w:val="0"/>
          <w:numId w:val="3"/>
        </w:numPr>
        <w:spacing w:after="0" w:afterAutospacing="0" w:before="240" w:lineRule="auto"/>
        <w:ind w:left="720" w:hanging="360"/>
      </w:pPr>
      <w:r w:rsidDel="00000000" w:rsidR="00000000" w:rsidRPr="00000000">
        <w:rPr>
          <w:b w:val="1"/>
          <w:rtl w:val="0"/>
        </w:rPr>
        <w:t xml:space="preserve">Infrastructure matérielle</w:t>
      </w:r>
      <w:r w:rsidDel="00000000" w:rsidR="00000000" w:rsidRPr="00000000">
        <w:rPr>
          <w:rtl w:val="0"/>
        </w:rPr>
        <w:t xml:space="preserve"> : Cela inclut les serveurs, les centres de données sécurisés, et les équipements pour stocker et traiter les données d'identité.</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i w:val="1"/>
          <w:rtl w:val="0"/>
        </w:rPr>
        <w:t xml:space="preserve">Estimation</w:t>
      </w:r>
      <w:r w:rsidDel="00000000" w:rsidR="00000000" w:rsidRPr="00000000">
        <w:rPr>
          <w:rtl w:val="0"/>
        </w:rPr>
        <w:t xml:space="preserve">: 2 à 5 millions USD selon l’ampleur des besoins de stockage et de traitement.</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b w:val="1"/>
          <w:rtl w:val="0"/>
        </w:rPr>
        <w:t xml:space="preserve">Cartes d'identité et biométrie</w:t>
      </w:r>
      <w:r w:rsidDel="00000000" w:rsidR="00000000" w:rsidRPr="00000000">
        <w:rPr>
          <w:rtl w:val="0"/>
        </w:rPr>
        <w:t xml:space="preserve"> : La fabrication de cartes d’identité électroniques coûte en général entre 1 et 5 USD par carte pour un grand volume. Si la biométrie (empreintes digitales, reconnaissance faciale) est incluse, le coût peut monter à 10-15 USD par personne.</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i w:val="1"/>
          <w:rtl w:val="0"/>
        </w:rPr>
        <w:t xml:space="preserve">Estimation</w:t>
      </w:r>
      <w:r w:rsidDel="00000000" w:rsidR="00000000" w:rsidRPr="00000000">
        <w:rPr>
          <w:rtl w:val="0"/>
        </w:rPr>
        <w:t xml:space="preserve"> : 10 à 15 millions USD pour couvrir une population d'environ 10 millions d’habitants.</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b w:val="1"/>
          <w:rtl w:val="0"/>
        </w:rPr>
        <w:t xml:space="preserve">Déploiement des équipements biométriques</w:t>
      </w:r>
      <w:r w:rsidDel="00000000" w:rsidR="00000000" w:rsidRPr="00000000">
        <w:rPr>
          <w:rtl w:val="0"/>
        </w:rPr>
        <w:t xml:space="preserve"> : Cela inclut les lecteurs d'empreintes digitales, les scanners d'iris et les caméras de reconnaissance faciale dans les bureaux d'enregistrement ou les points de service.</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i w:val="1"/>
          <w:rtl w:val="0"/>
        </w:rPr>
        <w:t xml:space="preserve">Estimation</w:t>
      </w:r>
      <w:r w:rsidDel="00000000" w:rsidR="00000000" w:rsidRPr="00000000">
        <w:rPr>
          <w:rtl w:val="0"/>
        </w:rPr>
        <w:t xml:space="preserve">: 5 à 10 millions USD pour équiper suffisamment de points de contact dans un pays comme la RDC.</w:t>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b w:val="1"/>
          <w:rtl w:val="0"/>
        </w:rPr>
        <w:t xml:space="preserve">Développement logiciel et intégration</w:t>
      </w:r>
      <w:r w:rsidDel="00000000" w:rsidR="00000000" w:rsidRPr="00000000">
        <w:rPr>
          <w:rtl w:val="0"/>
        </w:rPr>
        <w:t xml:space="preserve"> : L’intégration avec les systèmes gouvernementaux (santé, sécurité sociale, impôts) ainsi que le développement d’une plateforme logicielle dédiée.</w:t>
      </w:r>
    </w:p>
    <w:p w:rsidR="00000000" w:rsidDel="00000000" w:rsidP="00000000" w:rsidRDefault="00000000" w:rsidRPr="00000000" w14:paraId="00000062">
      <w:pPr>
        <w:numPr>
          <w:ilvl w:val="1"/>
          <w:numId w:val="3"/>
        </w:numPr>
        <w:spacing w:after="240" w:before="0" w:beforeAutospacing="0" w:lineRule="auto"/>
        <w:ind w:left="1440" w:hanging="360"/>
      </w:pPr>
      <w:r w:rsidDel="00000000" w:rsidR="00000000" w:rsidRPr="00000000">
        <w:rPr>
          <w:i w:val="1"/>
          <w:rtl w:val="0"/>
        </w:rPr>
        <w:t xml:space="preserve">Estimation</w:t>
      </w:r>
      <w:r w:rsidDel="00000000" w:rsidR="00000000" w:rsidRPr="00000000">
        <w:rPr>
          <w:rtl w:val="0"/>
        </w:rPr>
        <w:t xml:space="preserve"> : 5 à 10 millions USD pour la création de l’application principale et son interconnexion avec d'autres services.</w:t>
      </w:r>
    </w:p>
    <w:p w:rsidR="00000000" w:rsidDel="00000000" w:rsidP="00000000" w:rsidRDefault="00000000" w:rsidRPr="00000000" w14:paraId="00000063">
      <w:pPr>
        <w:pStyle w:val="Heading3"/>
        <w:keepNext w:val="0"/>
        <w:keepLines w:val="0"/>
        <w:spacing w:before="280" w:lineRule="auto"/>
        <w:rPr>
          <w:b w:val="1"/>
          <w:color w:val="0085ca"/>
          <w:sz w:val="26"/>
          <w:szCs w:val="26"/>
        </w:rPr>
      </w:pPr>
      <w:bookmarkStart w:colFirst="0" w:colLast="0" w:name="_1gqnldb37jc2" w:id="12"/>
      <w:bookmarkEnd w:id="12"/>
      <w:r w:rsidDel="00000000" w:rsidR="00000000" w:rsidRPr="00000000">
        <w:rPr>
          <w:b w:val="1"/>
          <w:color w:val="0085ca"/>
          <w:sz w:val="26"/>
          <w:szCs w:val="26"/>
          <w:rtl w:val="0"/>
        </w:rPr>
        <w:t xml:space="preserve">2. Coûts opérationnels et de maintenance</w:t>
      </w:r>
    </w:p>
    <w:p w:rsidR="00000000" w:rsidDel="00000000" w:rsidP="00000000" w:rsidRDefault="00000000" w:rsidRPr="00000000" w14:paraId="00000064">
      <w:pPr>
        <w:numPr>
          <w:ilvl w:val="0"/>
          <w:numId w:val="1"/>
        </w:numPr>
        <w:spacing w:after="0" w:afterAutospacing="0" w:before="240" w:lineRule="auto"/>
        <w:ind w:left="720" w:hanging="360"/>
      </w:pPr>
      <w:r w:rsidDel="00000000" w:rsidR="00000000" w:rsidRPr="00000000">
        <w:rPr>
          <w:b w:val="1"/>
          <w:rtl w:val="0"/>
        </w:rPr>
        <w:t xml:space="preserve">Maintenance de l'infrastructure et du matériel</w:t>
      </w:r>
      <w:r w:rsidDel="00000000" w:rsidR="00000000" w:rsidRPr="00000000">
        <w:rPr>
          <w:rtl w:val="0"/>
        </w:rPr>
        <w:t xml:space="preserve"> : Inclut le remplacement du matériel défectueux et la maintenance des centres de données.</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i w:val="1"/>
          <w:rtl w:val="0"/>
        </w:rPr>
        <w:t xml:space="preserve">Estimation</w:t>
      </w:r>
      <w:r w:rsidDel="00000000" w:rsidR="00000000" w:rsidRPr="00000000">
        <w:rPr>
          <w:rtl w:val="0"/>
        </w:rPr>
        <w:t xml:space="preserve"> : 1 à 3 millions USD par an.</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Mises à jour logicielles et sécurité</w:t>
      </w:r>
      <w:r w:rsidDel="00000000" w:rsidR="00000000" w:rsidRPr="00000000">
        <w:rPr>
          <w:rtl w:val="0"/>
        </w:rPr>
        <w:t xml:space="preserve"> : Inclut les mises à jour de sécurité pour protéger les données d’identité et pour suivre l’évolution des standards internationaux de sécurité.</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i w:val="1"/>
          <w:rtl w:val="0"/>
        </w:rPr>
        <w:t xml:space="preserve">Estimation</w:t>
      </w:r>
      <w:r w:rsidDel="00000000" w:rsidR="00000000" w:rsidRPr="00000000">
        <w:rPr>
          <w:rtl w:val="0"/>
        </w:rPr>
        <w:t xml:space="preserve"> : 500 000 à 1 million USD par an.</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b w:val="1"/>
          <w:rtl w:val="0"/>
        </w:rPr>
        <w:t xml:space="preserve">Formation du personnel</w:t>
      </w:r>
      <w:r w:rsidDel="00000000" w:rsidR="00000000" w:rsidRPr="00000000">
        <w:rPr>
          <w:rtl w:val="0"/>
        </w:rPr>
        <w:t xml:space="preserve"> : Formation des opérateurs et du personnel technique pour la gestion des identités, la sécurité, et la protection des données.</w:t>
      </w:r>
    </w:p>
    <w:p w:rsidR="00000000" w:rsidDel="00000000" w:rsidP="00000000" w:rsidRDefault="00000000" w:rsidRPr="00000000" w14:paraId="00000069">
      <w:pPr>
        <w:numPr>
          <w:ilvl w:val="1"/>
          <w:numId w:val="1"/>
        </w:numPr>
        <w:spacing w:after="240" w:before="0" w:beforeAutospacing="0" w:lineRule="auto"/>
        <w:ind w:left="1440" w:hanging="360"/>
      </w:pPr>
      <w:r w:rsidDel="00000000" w:rsidR="00000000" w:rsidRPr="00000000">
        <w:rPr>
          <w:i w:val="1"/>
          <w:rtl w:val="0"/>
        </w:rPr>
        <w:t xml:space="preserve">Estimation</w:t>
      </w:r>
      <w:r w:rsidDel="00000000" w:rsidR="00000000" w:rsidRPr="00000000">
        <w:rPr>
          <w:rtl w:val="0"/>
        </w:rPr>
        <w:t xml:space="preserve"> : 500 000 à 1 million USD en phase initiale, puis des formations continues (environ 200 000 USD/an).</w:t>
      </w:r>
    </w:p>
    <w:p w:rsidR="00000000" w:rsidDel="00000000" w:rsidP="00000000" w:rsidRDefault="00000000" w:rsidRPr="00000000" w14:paraId="0000006A">
      <w:pPr>
        <w:pStyle w:val="Heading3"/>
        <w:keepNext w:val="0"/>
        <w:keepLines w:val="0"/>
        <w:spacing w:before="280" w:lineRule="auto"/>
        <w:rPr>
          <w:b w:val="1"/>
          <w:color w:val="0085ca"/>
          <w:sz w:val="26"/>
          <w:szCs w:val="26"/>
        </w:rPr>
      </w:pPr>
      <w:bookmarkStart w:colFirst="0" w:colLast="0" w:name="_9lrkvjddpj2q" w:id="13"/>
      <w:bookmarkEnd w:id="13"/>
      <w:r w:rsidDel="00000000" w:rsidR="00000000" w:rsidRPr="00000000">
        <w:rPr>
          <w:b w:val="1"/>
          <w:color w:val="0085ca"/>
          <w:sz w:val="26"/>
          <w:szCs w:val="26"/>
          <w:rtl w:val="0"/>
        </w:rPr>
        <w:t xml:space="preserve">3. Coûts pour les services aux citoyens</w:t>
      </w:r>
    </w:p>
    <w:p w:rsidR="00000000" w:rsidDel="00000000" w:rsidP="00000000" w:rsidRDefault="00000000" w:rsidRPr="00000000" w14:paraId="0000006B">
      <w:pPr>
        <w:numPr>
          <w:ilvl w:val="0"/>
          <w:numId w:val="10"/>
        </w:numPr>
        <w:spacing w:after="0" w:afterAutospacing="0" w:before="240" w:lineRule="auto"/>
        <w:ind w:left="720" w:hanging="360"/>
      </w:pPr>
      <w:r w:rsidDel="00000000" w:rsidR="00000000" w:rsidRPr="00000000">
        <w:rPr>
          <w:b w:val="1"/>
          <w:rtl w:val="0"/>
        </w:rPr>
        <w:t xml:space="preserve">Guichets électroniques et centres de services</w:t>
      </w:r>
      <w:r w:rsidDel="00000000" w:rsidR="00000000" w:rsidRPr="00000000">
        <w:rPr>
          <w:rtl w:val="0"/>
        </w:rPr>
        <w:t xml:space="preserve"> : Équipement des centres de services (ex. : bornes électroniques pour enregistrement et services publics).</w:t>
      </w:r>
    </w:p>
    <w:p w:rsidR="00000000" w:rsidDel="00000000" w:rsidP="00000000" w:rsidRDefault="00000000" w:rsidRPr="00000000" w14:paraId="0000006C">
      <w:pPr>
        <w:numPr>
          <w:ilvl w:val="1"/>
          <w:numId w:val="10"/>
        </w:numPr>
        <w:spacing w:after="0" w:afterAutospacing="0" w:before="0" w:beforeAutospacing="0" w:lineRule="auto"/>
        <w:ind w:left="1440" w:hanging="360"/>
      </w:pPr>
      <w:r w:rsidDel="00000000" w:rsidR="00000000" w:rsidRPr="00000000">
        <w:rPr>
          <w:i w:val="1"/>
          <w:rtl w:val="0"/>
        </w:rPr>
        <w:t xml:space="preserve">Estimation</w:t>
      </w:r>
      <w:r w:rsidDel="00000000" w:rsidR="00000000" w:rsidRPr="00000000">
        <w:rPr>
          <w:rtl w:val="0"/>
        </w:rPr>
        <w:t xml:space="preserve"> : 2 à 3 millions USD pour installer et maintenir des guichets dans les régions principales.</w:t>
      </w:r>
    </w:p>
    <w:p w:rsidR="00000000" w:rsidDel="00000000" w:rsidP="00000000" w:rsidRDefault="00000000" w:rsidRPr="00000000" w14:paraId="0000006D">
      <w:pPr>
        <w:numPr>
          <w:ilvl w:val="0"/>
          <w:numId w:val="10"/>
        </w:numPr>
        <w:spacing w:after="0" w:afterAutospacing="0" w:before="0" w:beforeAutospacing="0" w:lineRule="auto"/>
        <w:ind w:left="720" w:hanging="360"/>
      </w:pPr>
      <w:r w:rsidDel="00000000" w:rsidR="00000000" w:rsidRPr="00000000">
        <w:rPr>
          <w:b w:val="1"/>
          <w:rtl w:val="0"/>
        </w:rPr>
        <w:t xml:space="preserve">Gestion des opérations biométriques et données personnelles</w:t>
      </w:r>
      <w:r w:rsidDel="00000000" w:rsidR="00000000" w:rsidRPr="00000000">
        <w:rPr>
          <w:rtl w:val="0"/>
        </w:rPr>
        <w:t xml:space="preserve"> : Pour l’opérationnalisation des processus de vérification biométrique et la gestion des données personnelles.</w:t>
      </w:r>
    </w:p>
    <w:p w:rsidR="00000000" w:rsidDel="00000000" w:rsidP="00000000" w:rsidRDefault="00000000" w:rsidRPr="00000000" w14:paraId="0000006E">
      <w:pPr>
        <w:numPr>
          <w:ilvl w:val="1"/>
          <w:numId w:val="10"/>
        </w:numPr>
        <w:spacing w:after="240" w:before="0" w:beforeAutospacing="0" w:lineRule="auto"/>
        <w:ind w:left="1440" w:hanging="360"/>
      </w:pPr>
      <w:r w:rsidDel="00000000" w:rsidR="00000000" w:rsidRPr="00000000">
        <w:rPr>
          <w:i w:val="1"/>
          <w:rtl w:val="0"/>
        </w:rPr>
        <w:t xml:space="preserve">Estimation</w:t>
      </w:r>
      <w:r w:rsidDel="00000000" w:rsidR="00000000" w:rsidRPr="00000000">
        <w:rPr>
          <w:rtl w:val="0"/>
        </w:rPr>
        <w:t xml:space="preserve"> : 500 000 à 2 millions USD par an.</w:t>
      </w:r>
    </w:p>
    <w:p w:rsidR="00000000" w:rsidDel="00000000" w:rsidP="00000000" w:rsidRDefault="00000000" w:rsidRPr="00000000" w14:paraId="0000006F">
      <w:pPr>
        <w:pStyle w:val="Heading3"/>
        <w:keepNext w:val="0"/>
        <w:keepLines w:val="0"/>
        <w:spacing w:before="280" w:lineRule="auto"/>
        <w:rPr>
          <w:b w:val="1"/>
          <w:color w:val="0085ca"/>
          <w:sz w:val="26"/>
          <w:szCs w:val="26"/>
        </w:rPr>
      </w:pPr>
      <w:bookmarkStart w:colFirst="0" w:colLast="0" w:name="_5ln1o819y9h8" w:id="14"/>
      <w:bookmarkEnd w:id="14"/>
      <w:r w:rsidDel="00000000" w:rsidR="00000000" w:rsidRPr="00000000">
        <w:rPr>
          <w:b w:val="1"/>
          <w:color w:val="0085ca"/>
          <w:sz w:val="26"/>
          <w:szCs w:val="26"/>
          <w:rtl w:val="0"/>
        </w:rPr>
        <w:t xml:space="preserve">4. Coûts de partenariat et licences logicielles</w:t>
      </w:r>
    </w:p>
    <w:p w:rsidR="00000000" w:rsidDel="00000000" w:rsidP="00000000" w:rsidRDefault="00000000" w:rsidRPr="00000000" w14:paraId="00000070">
      <w:pPr>
        <w:numPr>
          <w:ilvl w:val="0"/>
          <w:numId w:val="12"/>
        </w:numPr>
        <w:spacing w:after="0" w:afterAutospacing="0" w:before="240" w:lineRule="auto"/>
        <w:ind w:left="720" w:hanging="360"/>
      </w:pPr>
      <w:r w:rsidDel="00000000" w:rsidR="00000000" w:rsidRPr="00000000">
        <w:rPr>
          <w:b w:val="1"/>
          <w:rtl w:val="0"/>
        </w:rPr>
        <w:t xml:space="preserve">Partenariats public-privé</w:t>
      </w:r>
      <w:r w:rsidDel="00000000" w:rsidR="00000000" w:rsidRPr="00000000">
        <w:rPr>
          <w:rtl w:val="0"/>
        </w:rPr>
        <w:t xml:space="preserve"> : Pour des solutions comme celles de Zetes ou Idemia, des partenariats peuvent inclure des frais de licences et des royalties pour l’usage de la technologie.</w:t>
      </w:r>
    </w:p>
    <w:p w:rsidR="00000000" w:rsidDel="00000000" w:rsidP="00000000" w:rsidRDefault="00000000" w:rsidRPr="00000000" w14:paraId="00000071">
      <w:pPr>
        <w:numPr>
          <w:ilvl w:val="1"/>
          <w:numId w:val="12"/>
        </w:numPr>
        <w:spacing w:after="240" w:before="0" w:beforeAutospacing="0" w:lineRule="auto"/>
        <w:ind w:left="1440" w:hanging="360"/>
      </w:pPr>
      <w:r w:rsidDel="00000000" w:rsidR="00000000" w:rsidRPr="00000000">
        <w:rPr>
          <w:i w:val="1"/>
          <w:rtl w:val="0"/>
        </w:rPr>
        <w:t xml:space="preserve">Estimation</w:t>
      </w:r>
      <w:r w:rsidDel="00000000" w:rsidR="00000000" w:rsidRPr="00000000">
        <w:rPr>
          <w:rtl w:val="0"/>
        </w:rPr>
        <w:t xml:space="preserve"> : Varie selon les négociations, souvent entre 5 et 10 % du budget total du projet, ce qui peut représenter 3 à 7 millions USD sur plusieurs années.</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qdkrh3huh5ke" w:id="15"/>
      <w:bookmarkEnd w:id="15"/>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85ca"/>
          <w:sz w:val="26"/>
          <w:szCs w:val="26"/>
        </w:rPr>
      </w:pPr>
      <w:bookmarkStart w:colFirst="0" w:colLast="0" w:name="_wp5kd58dqejg" w:id="16"/>
      <w:bookmarkEnd w:id="16"/>
      <w:r w:rsidDel="00000000" w:rsidR="00000000" w:rsidRPr="00000000">
        <w:rPr>
          <w:b w:val="1"/>
          <w:color w:val="0085ca"/>
          <w:sz w:val="26"/>
          <w:szCs w:val="26"/>
          <w:rtl w:val="0"/>
        </w:rPr>
        <w:t xml:space="preserve">5. Financement et aide internationale</w:t>
      </w:r>
    </w:p>
    <w:p w:rsidR="00000000" w:rsidDel="00000000" w:rsidP="00000000" w:rsidRDefault="00000000" w:rsidRPr="00000000" w14:paraId="00000074">
      <w:pPr>
        <w:numPr>
          <w:ilvl w:val="0"/>
          <w:numId w:val="2"/>
        </w:numPr>
        <w:spacing w:after="240" w:before="240" w:lineRule="auto"/>
        <w:ind w:left="720" w:hanging="360"/>
      </w:pPr>
      <w:r w:rsidDel="00000000" w:rsidR="00000000" w:rsidRPr="00000000">
        <w:rPr>
          <w:rtl w:val="0"/>
        </w:rPr>
        <w:t xml:space="preserve">La République Démocratique du Congo  pourrait envisager des partenariats avec des organismes de développement ou des agences internationales (comme la Banque Mondiale, l’Union Européenne ou l’AFD) qui financent des initiatives de transformation numérique en Afrique. Ces aides peuvent couvrir entre 30 et 50 % des coûts, voire plus, pour des initiatives de gouvernance numérique et de modernisation de l’état civil.</w:t>
      </w:r>
    </w:p>
    <w:p w:rsidR="00000000" w:rsidDel="00000000" w:rsidP="00000000" w:rsidRDefault="00000000" w:rsidRPr="00000000" w14:paraId="00000075">
      <w:pPr>
        <w:spacing w:after="240" w:before="240" w:lineRule="auto"/>
        <w:ind w:left="720" w:firstLine="0"/>
        <w:rPr>
          <w:b w:val="1"/>
          <w:color w:val="000000"/>
          <w:sz w:val="26"/>
          <w:szCs w:val="26"/>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85ca"/>
          <w:sz w:val="26"/>
          <w:szCs w:val="26"/>
        </w:rPr>
      </w:pPr>
      <w:bookmarkStart w:colFirst="0" w:colLast="0" w:name="_ek9p8vsp1w95" w:id="17"/>
      <w:bookmarkEnd w:id="17"/>
      <w:r w:rsidDel="00000000" w:rsidR="00000000" w:rsidRPr="00000000">
        <w:rPr>
          <w:b w:val="1"/>
          <w:color w:val="0085ca"/>
          <w:sz w:val="26"/>
          <w:szCs w:val="26"/>
          <w:rtl w:val="0"/>
        </w:rPr>
        <w:t xml:space="preserve">6. Résumé des coûts estimés pour une mise en place complète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0085ca" w:val="clear"/>
            <w:tcMar>
              <w:top w:w="100.0" w:type="dxa"/>
              <w:left w:w="100.0" w:type="dxa"/>
              <w:bottom w:w="100.0" w:type="dxa"/>
              <w:right w:w="100.0" w:type="dxa"/>
            </w:tcMar>
            <w:vAlign w:val="top"/>
          </w:tcPr>
          <w:p w:rsidR="00000000" w:rsidDel="00000000" w:rsidP="00000000" w:rsidRDefault="00000000" w:rsidRPr="00000000" w14:paraId="00000079">
            <w:pPr>
              <w:jc w:val="center"/>
              <w:rPr>
                <w:color w:val="ffffff"/>
              </w:rPr>
            </w:pPr>
            <w:r w:rsidDel="00000000" w:rsidR="00000000" w:rsidRPr="00000000">
              <w:rPr>
                <w:b w:val="1"/>
                <w:color w:val="ffffff"/>
                <w:rtl w:val="0"/>
              </w:rPr>
              <w:t xml:space="preserve">Catégorie</w:t>
            </w:r>
            <w:r w:rsidDel="00000000" w:rsidR="00000000" w:rsidRPr="00000000">
              <w:rPr>
                <w:rtl w:val="0"/>
              </w:rPr>
            </w:r>
          </w:p>
        </w:tc>
        <w:tc>
          <w:tcPr>
            <w:shd w:fill="0085ca" w:val="clear"/>
            <w:tcMar>
              <w:top w:w="100.0" w:type="dxa"/>
              <w:left w:w="100.0" w:type="dxa"/>
              <w:bottom w:w="100.0" w:type="dxa"/>
              <w:right w:w="100.0" w:type="dxa"/>
            </w:tcMar>
            <w:vAlign w:val="top"/>
          </w:tcPr>
          <w:p w:rsidR="00000000" w:rsidDel="00000000" w:rsidP="00000000" w:rsidRDefault="00000000" w:rsidRPr="00000000" w14:paraId="0000007A">
            <w:pPr>
              <w:jc w:val="center"/>
              <w:rPr>
                <w:color w:val="ffffff"/>
              </w:rPr>
            </w:pPr>
            <w:r w:rsidDel="00000000" w:rsidR="00000000" w:rsidRPr="00000000">
              <w:rPr>
                <w:b w:val="1"/>
                <w:color w:val="ffffff"/>
                <w:rtl w:val="0"/>
              </w:rPr>
              <w:t xml:space="preserve">Estimation des coûts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Infrastructure matérielle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2 à 5 millions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Cartes d’identité et biométrie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10 à 15 millions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Équipement biométrique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5 à 10 millions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Développement logiciel et intégration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5 à 10 millions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Maintenance annuelle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1 à 3 millions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Mises à jour et sécurité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500 000 à 1 million USD/an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500 000 à 1 million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Guichets électroniques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2 à 3 millions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Licences et partenariats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3 à 7 millions USD (sur plusieurs années)</w:t>
            </w:r>
          </w:p>
        </w:tc>
      </w:tr>
    </w:tbl>
    <w:p w:rsidR="00000000" w:rsidDel="00000000" w:rsidP="00000000" w:rsidRDefault="00000000" w:rsidRPr="00000000" w14:paraId="0000008D">
      <w:pPr>
        <w:rPr/>
      </w:pPr>
      <w:r w:rsidDel="00000000" w:rsidR="00000000" w:rsidRPr="00000000">
        <w:rPr>
          <w:rtl w:val="0"/>
        </w:rPr>
      </w:r>
    </w:p>
    <w:tbl>
      <w:tblPr>
        <w:tblStyle w:val="Table4"/>
        <w:tblW w:w="8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0"/>
        <w:gridCol w:w="4235"/>
        <w:tblGridChange w:id="0">
          <w:tblGrid>
            <w:gridCol w:w="3860"/>
            <w:gridCol w:w="42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r>
    </w:tbl>
    <w:p w:rsidR="00000000" w:rsidDel="00000000" w:rsidP="00000000" w:rsidRDefault="00000000" w:rsidRPr="00000000" w14:paraId="000000A2">
      <w:pPr>
        <w:pStyle w:val="Heading3"/>
        <w:keepNext w:val="0"/>
        <w:keepLines w:val="0"/>
        <w:spacing w:before="280" w:lineRule="auto"/>
        <w:rPr>
          <w:b w:val="1"/>
          <w:color w:val="0085ca"/>
          <w:sz w:val="26"/>
          <w:szCs w:val="26"/>
        </w:rPr>
      </w:pPr>
      <w:bookmarkStart w:colFirst="0" w:colLast="0" w:name="_5lhcc4d4tzut" w:id="18"/>
      <w:bookmarkEnd w:id="18"/>
      <w:r w:rsidDel="00000000" w:rsidR="00000000" w:rsidRPr="00000000">
        <w:rPr>
          <w:b w:val="1"/>
          <w:color w:val="0085ca"/>
          <w:sz w:val="26"/>
          <w:szCs w:val="26"/>
          <w:rtl w:val="0"/>
        </w:rPr>
        <w:t xml:space="preserve">7. Coût total estimé</w:t>
      </w:r>
    </w:p>
    <w:p w:rsidR="00000000" w:rsidDel="00000000" w:rsidP="00000000" w:rsidRDefault="00000000" w:rsidRPr="00000000" w14:paraId="000000A3">
      <w:pPr>
        <w:spacing w:after="240" w:before="240" w:lineRule="auto"/>
        <w:rPr/>
      </w:pPr>
      <w:r w:rsidDel="00000000" w:rsidR="00000000" w:rsidRPr="00000000">
        <w:rPr>
          <w:rtl w:val="0"/>
        </w:rPr>
        <w:t xml:space="preserve">Pour un projet à grande échelle dans un pays comme la RDC, les coûts d'implémentation initiale pourraient se situer entre </w:t>
      </w:r>
      <w:r w:rsidDel="00000000" w:rsidR="00000000" w:rsidRPr="00000000">
        <w:rPr>
          <w:b w:val="1"/>
          <w:rtl w:val="0"/>
        </w:rPr>
        <w:t xml:space="preserve">30 et 50 millions USD</w:t>
      </w:r>
      <w:r w:rsidDel="00000000" w:rsidR="00000000" w:rsidRPr="00000000">
        <w:rPr>
          <w:rtl w:val="0"/>
        </w:rPr>
        <w:t xml:space="preserve">, avec des coûts opérationnels annuels entre </w:t>
      </w:r>
      <w:r w:rsidDel="00000000" w:rsidR="00000000" w:rsidRPr="00000000">
        <w:rPr>
          <w:b w:val="1"/>
          <w:rtl w:val="0"/>
        </w:rPr>
        <w:t xml:space="preserve">3 et 5 millions USD</w:t>
      </w:r>
      <w:r w:rsidDel="00000000" w:rsidR="00000000" w:rsidRPr="00000000">
        <w:rPr>
          <w:rtl w:val="0"/>
        </w:rPr>
        <w:t xml:space="preserve">.</w:t>
      </w:r>
    </w:p>
    <w:p w:rsidR="00000000" w:rsidDel="00000000" w:rsidP="00000000" w:rsidRDefault="00000000" w:rsidRPr="00000000" w14:paraId="000000A4">
      <w:pPr>
        <w:spacing w:after="240" w:before="240" w:lineRule="auto"/>
        <w:rPr/>
      </w:pPr>
      <w:r w:rsidDel="00000000" w:rsidR="00000000" w:rsidRPr="00000000">
        <w:rPr>
          <w:rtl w:val="0"/>
        </w:rPr>
        <w:t xml:space="preserve">Ces estimations peuvent varier en fonction de facteurs comme les réductions de coûts dues à la subvention internationale, la technologie utilisée (avec ou sans biométrie avancée), et le niveau de complexité requis pour les intégrations entre différents services.</w:t>
      </w:r>
    </w:p>
    <w:p w:rsidR="00000000" w:rsidDel="00000000" w:rsidP="00000000" w:rsidRDefault="00000000" w:rsidRPr="00000000" w14:paraId="000000A5">
      <w:pPr>
        <w:rPr>
          <w:b w:val="1"/>
          <w:color w:val="0085ca"/>
          <w:sz w:val="26"/>
          <w:szCs w:val="26"/>
        </w:rPr>
      </w:pPr>
      <w:r w:rsidDel="00000000" w:rsidR="00000000" w:rsidRPr="00000000">
        <w:rPr>
          <w:rtl w:val="0"/>
        </w:rPr>
      </w:r>
    </w:p>
    <w:p w:rsidR="00000000" w:rsidDel="00000000" w:rsidP="00000000" w:rsidRDefault="00000000" w:rsidRPr="00000000" w14:paraId="000000A6">
      <w:pPr>
        <w:rPr>
          <w:b w:val="1"/>
          <w:color w:val="0085ca"/>
          <w:sz w:val="26"/>
          <w:szCs w:val="26"/>
        </w:rPr>
      </w:pPr>
      <w:r w:rsidDel="00000000" w:rsidR="00000000" w:rsidRPr="00000000">
        <w:rPr>
          <w:b w:val="1"/>
          <w:color w:val="0085ca"/>
          <w:sz w:val="26"/>
          <w:szCs w:val="26"/>
          <w:rtl w:val="0"/>
        </w:rPr>
        <w:t xml:space="preserve">8. Parties engagées</w:t>
      </w:r>
    </w:p>
    <w:p w:rsidR="00000000" w:rsidDel="00000000" w:rsidP="00000000" w:rsidRDefault="00000000" w:rsidRPr="00000000" w14:paraId="000000A7">
      <w:pPr>
        <w:rPr>
          <w:b w:val="1"/>
          <w:color w:val="0085ca"/>
          <w:sz w:val="26"/>
          <w:szCs w:val="26"/>
        </w:rPr>
      </w:pPr>
      <w:r w:rsidDel="00000000" w:rsidR="00000000" w:rsidRPr="00000000">
        <w:rPr>
          <w:rtl w:val="0"/>
        </w:rPr>
      </w:r>
    </w:p>
    <w:p w:rsidR="00000000" w:rsidDel="00000000" w:rsidP="00000000" w:rsidRDefault="00000000" w:rsidRPr="00000000" w14:paraId="000000A8">
      <w:pPr>
        <w:rPr>
          <w:b w:val="1"/>
          <w:color w:val="0085ca"/>
          <w:sz w:val="26"/>
          <w:szCs w:val="26"/>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85ca"/>
                <w:sz w:val="26"/>
                <w:szCs w:val="26"/>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85ca"/>
                <w:sz w:val="26"/>
                <w:szCs w:val="26"/>
              </w:rPr>
            </w:pPr>
            <w:r w:rsidDel="00000000" w:rsidR="00000000" w:rsidRPr="00000000">
              <w:rPr>
                <w:b w:val="1"/>
                <w:color w:val="0085ca"/>
                <w:sz w:val="26"/>
                <w:szCs w:val="26"/>
              </w:rPr>
              <w:drawing>
                <wp:inline distB="114300" distT="114300" distL="114300" distR="114300">
                  <wp:extent cx="1771650" cy="774700"/>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771650" cy="7747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L'Office National d'Identification de la Population (ONIP) est une institution publique congolaise créée pour répondre à un besoin fondamental : doter chaque citoyen congolais d'une identité officielle. Ce projet ambitieux vise à établir un registre national exhaustif, permettant ainsi de mieux connaître la population et d'améliorer la gouvernance du pays.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b w:val="1"/>
                <w:color w:val="0085ca"/>
                <w:sz w:val="26"/>
                <w:szCs w:val="26"/>
              </w:rPr>
            </w:pPr>
            <w:r w:rsidDel="00000000" w:rsidR="00000000" w:rsidRPr="00000000">
              <w:rPr>
                <w:sz w:val="44"/>
                <w:szCs w:val="44"/>
              </w:rPr>
              <w:drawing>
                <wp:inline distB="114300" distT="114300" distL="114300" distR="114300">
                  <wp:extent cx="1771650" cy="4445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771650" cy="4445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IDEMIA est une entreprise technologique de premier plan, spécialisée dans la création de solutions de sécurité augmentée pour un monde de plus en plus digitalisé. Son expertise se concentre sur l'identité, le paiement et la sécurité, offrant ainsi des solutions innovantes pour sécuriser les interactions quotidiennes.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sz w:val="44"/>
                <w:szCs w:val="44"/>
              </w:rPr>
            </w:pPr>
            <w:r w:rsidDel="00000000" w:rsidR="00000000" w:rsidRPr="00000000">
              <w:rPr>
                <w:sz w:val="44"/>
                <w:szCs w:val="44"/>
              </w:rPr>
              <w:drawing>
                <wp:inline distB="114300" distT="114300" distL="114300" distR="114300">
                  <wp:extent cx="1771650" cy="889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71650" cy="889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Zetes est une entreprise technologique belge, reconnue pour son expertise dans le domaine de l'identification et de la mobilité. Fondée en 1984, elle opère principalement en Europe, en Afrique et au Moyen-Orient.</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color w:val="0085ca"/>
                <w:sz w:val="26"/>
                <w:szCs w:val="26"/>
              </w:rPr>
            </w:pPr>
            <w:r w:rsidDel="00000000" w:rsidR="00000000" w:rsidRPr="00000000">
              <w:rPr>
                <w:b w:val="1"/>
                <w:color w:val="0085ca"/>
                <w:sz w:val="26"/>
                <w:szCs w:val="26"/>
              </w:rPr>
              <w:drawing>
                <wp:inline distB="19050" distT="19050" distL="19050" distR="19050">
                  <wp:extent cx="1052513" cy="1052513"/>
                  <wp:effectExtent b="0" l="0" r="0" t="0"/>
                  <wp:docPr descr="A close-up of a molecule&#10;&#10;Description automatically generated" id="2" name="image2.png"/>
                  <a:graphic>
                    <a:graphicData uri="http://schemas.openxmlformats.org/drawingml/2006/picture">
                      <pic:pic>
                        <pic:nvPicPr>
                          <pic:cNvPr descr="A close-up of a molecule&#10;&#10;Description automatically generated" id="0" name="image2.png"/>
                          <pic:cNvPicPr preferRelativeResize="0"/>
                        </pic:nvPicPr>
                        <pic:blipFill>
                          <a:blip r:embed="rId11"/>
                          <a:srcRect b="0" l="0" r="0" t="0"/>
                          <a:stretch>
                            <a:fillRect/>
                          </a:stretch>
                        </pic:blipFill>
                        <pic:spPr>
                          <a:xfrm>
                            <a:off x="0" y="0"/>
                            <a:ext cx="1052513" cy="105251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spacing w:line="240" w:lineRule="auto"/>
              <w:jc w:val="center"/>
              <w:rPr>
                <w:b w:val="1"/>
                <w:color w:val="0085ca"/>
                <w:sz w:val="26"/>
                <w:szCs w:val="26"/>
              </w:rPr>
            </w:pPr>
            <w:r w:rsidDel="00000000" w:rsidR="00000000" w:rsidRPr="00000000">
              <w:rPr>
                <w:rtl w:val="0"/>
              </w:rPr>
            </w:r>
          </w:p>
          <w:p w:rsidR="00000000" w:rsidDel="00000000" w:rsidP="00000000" w:rsidRDefault="00000000" w:rsidRPr="00000000" w14:paraId="000000B5">
            <w:pPr>
              <w:widowControl w:val="0"/>
              <w:spacing w:line="240" w:lineRule="auto"/>
              <w:jc w:val="center"/>
              <w:rPr>
                <w:b w:val="1"/>
                <w:color w:val="0085ca"/>
                <w:sz w:val="26"/>
                <w:szCs w:val="26"/>
              </w:rPr>
            </w:pPr>
            <w:r w:rsidDel="00000000" w:rsidR="00000000" w:rsidRPr="00000000">
              <w:rPr>
                <w:rtl w:val="0"/>
              </w:rPr>
            </w:r>
          </w:p>
          <w:p w:rsidR="00000000" w:rsidDel="00000000" w:rsidP="00000000" w:rsidRDefault="00000000" w:rsidRPr="00000000" w14:paraId="000000B6">
            <w:pPr>
              <w:widowControl w:val="0"/>
              <w:spacing w:line="240" w:lineRule="auto"/>
              <w:rPr>
                <w:b w:val="1"/>
                <w:color w:val="0085ca"/>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highlight w:val="white"/>
                <w:rtl w:val="0"/>
              </w:rPr>
              <w:t xml:space="preserve">AtomiumTech, pionnier dans le domaine des technologies de l'information, de l'Internet des objets (IoT) et de la blockchain. En tant que consultants experts, nous offrons des solutions innovantes et des conseils stratégiques pour aider nos clients à naviguer dans un monde numérique en constante évolution. </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color w:val="0085ca"/>
                <w:sz w:val="26"/>
                <w:szCs w:val="2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85ca"/>
                <w:sz w:val="26"/>
                <w:szCs w:val="26"/>
              </w:rPr>
            </w:pPr>
            <w:r w:rsidDel="00000000" w:rsidR="00000000" w:rsidRPr="00000000">
              <w:rPr>
                <w:rtl w:val="0"/>
              </w:rPr>
            </w:r>
          </w:p>
        </w:tc>
      </w:tr>
    </w:tbl>
    <w:p w:rsidR="00000000" w:rsidDel="00000000" w:rsidP="00000000" w:rsidRDefault="00000000" w:rsidRPr="00000000" w14:paraId="000000BC">
      <w:pPr>
        <w:rPr>
          <w:b w:val="1"/>
          <w:color w:val="0085ca"/>
          <w:sz w:val="26"/>
          <w:szCs w:val="26"/>
        </w:rPr>
      </w:pPr>
      <w:r w:rsidDel="00000000" w:rsidR="00000000" w:rsidRPr="00000000">
        <w:rPr>
          <w:rtl w:val="0"/>
        </w:rPr>
      </w:r>
    </w:p>
    <w:p w:rsidR="00000000" w:rsidDel="00000000" w:rsidP="00000000" w:rsidRDefault="00000000" w:rsidRPr="00000000" w14:paraId="000000BD">
      <w:pPr>
        <w:rPr>
          <w:b w:val="1"/>
          <w:sz w:val="26"/>
          <w:szCs w:val="26"/>
        </w:rPr>
      </w:pPr>
      <w:r w:rsidDel="00000000" w:rsidR="00000000" w:rsidRPr="00000000">
        <w:rPr>
          <w:rtl w:val="0"/>
        </w:rPr>
      </w:r>
    </w:p>
    <w:p w:rsidR="00000000" w:rsidDel="00000000" w:rsidP="00000000" w:rsidRDefault="00000000" w:rsidRPr="00000000" w14:paraId="000000BE">
      <w:pPr>
        <w:rPr>
          <w:b w:val="1"/>
          <w:sz w:val="26"/>
          <w:szCs w:val="26"/>
        </w:rPr>
      </w:pPr>
      <w:r w:rsidDel="00000000" w:rsidR="00000000" w:rsidRPr="00000000">
        <w:rPr>
          <w:rtl w:val="0"/>
        </w:rPr>
      </w:r>
    </w:p>
    <w:p w:rsidR="00000000" w:rsidDel="00000000" w:rsidP="00000000" w:rsidRDefault="00000000" w:rsidRPr="00000000" w14:paraId="000000BF">
      <w:pPr>
        <w:rPr>
          <w:b w:val="1"/>
          <w:sz w:val="26"/>
          <w:szCs w:val="26"/>
        </w:rPr>
      </w:pPr>
      <w:r w:rsidDel="00000000" w:rsidR="00000000" w:rsidRPr="00000000">
        <w:rPr>
          <w:rtl w:val="0"/>
        </w:rPr>
      </w:r>
    </w:p>
    <w:p w:rsidR="00000000" w:rsidDel="00000000" w:rsidP="00000000" w:rsidRDefault="00000000" w:rsidRPr="00000000" w14:paraId="000000C0">
      <w:pPr>
        <w:rPr>
          <w:b w:val="1"/>
          <w:sz w:val="26"/>
          <w:szCs w:val="26"/>
        </w:rPr>
      </w:pPr>
      <w:r w:rsidDel="00000000" w:rsidR="00000000" w:rsidRPr="00000000">
        <w:rPr>
          <w:rtl w:val="0"/>
        </w:rPr>
      </w:r>
    </w:p>
    <w:p w:rsidR="00000000" w:rsidDel="00000000" w:rsidP="00000000" w:rsidRDefault="00000000" w:rsidRPr="00000000" w14:paraId="000000C1">
      <w:pPr>
        <w:rPr>
          <w:b w:val="1"/>
          <w:sz w:val="26"/>
          <w:szCs w:val="26"/>
        </w:rPr>
      </w:pPr>
      <w:r w:rsidDel="00000000" w:rsidR="00000000" w:rsidRPr="00000000">
        <w:rPr>
          <w:rtl w:val="0"/>
        </w:rPr>
      </w:r>
    </w:p>
    <w:p w:rsidR="00000000" w:rsidDel="00000000" w:rsidP="00000000" w:rsidRDefault="00000000" w:rsidRPr="00000000" w14:paraId="000000C2">
      <w:pPr>
        <w:rPr>
          <w:b w:val="1"/>
          <w:sz w:val="26"/>
          <w:szCs w:val="26"/>
        </w:rPr>
      </w:pPr>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rtl w:val="0"/>
        </w:rPr>
      </w:r>
    </w:p>
    <w:p w:rsidR="00000000" w:rsidDel="00000000" w:rsidP="00000000" w:rsidRDefault="00000000" w:rsidRPr="00000000" w14:paraId="000000C4">
      <w:pPr>
        <w:rPr>
          <w:b w:val="1"/>
          <w:sz w:val="26"/>
          <w:szCs w:val="26"/>
        </w:rPr>
      </w:pPr>
      <w:r w:rsidDel="00000000" w:rsidR="00000000" w:rsidRPr="00000000">
        <w:rPr>
          <w:rtl w:val="0"/>
        </w:rPr>
      </w:r>
    </w:p>
    <w:p w:rsidR="00000000" w:rsidDel="00000000" w:rsidP="00000000" w:rsidRDefault="00000000" w:rsidRPr="00000000" w14:paraId="000000C5">
      <w:pPr>
        <w:rPr>
          <w:b w:val="1"/>
          <w:sz w:val="26"/>
          <w:szCs w:val="26"/>
        </w:rPr>
      </w:pPr>
      <w:r w:rsidDel="00000000" w:rsidR="00000000" w:rsidRPr="00000000">
        <w:rPr>
          <w:rtl w:val="0"/>
        </w:rPr>
      </w:r>
    </w:p>
    <w:p w:rsidR="00000000" w:rsidDel="00000000" w:rsidP="00000000" w:rsidRDefault="00000000" w:rsidRPr="00000000" w14:paraId="000000C6">
      <w:pPr>
        <w:rPr>
          <w:b w:val="1"/>
          <w:color w:val="0085ca"/>
          <w:sz w:val="26"/>
          <w:szCs w:val="26"/>
        </w:rPr>
      </w:pPr>
      <w:r w:rsidDel="00000000" w:rsidR="00000000" w:rsidRPr="00000000">
        <w:rPr>
          <w:rtl w:val="0"/>
        </w:rPr>
      </w:r>
    </w:p>
    <w:p w:rsidR="00000000" w:rsidDel="00000000" w:rsidP="00000000" w:rsidRDefault="00000000" w:rsidRPr="00000000" w14:paraId="000000C7">
      <w:pPr>
        <w:rPr>
          <w:b w:val="1"/>
          <w:color w:val="0085ca"/>
          <w:sz w:val="26"/>
          <w:szCs w:val="26"/>
        </w:rPr>
      </w:pPr>
      <w:r w:rsidDel="00000000" w:rsidR="00000000" w:rsidRPr="00000000">
        <w:rPr>
          <w:rtl w:val="0"/>
        </w:rPr>
      </w:r>
    </w:p>
    <w:p w:rsidR="00000000" w:rsidDel="00000000" w:rsidP="00000000" w:rsidRDefault="00000000" w:rsidRPr="00000000" w14:paraId="000000C8">
      <w:pPr>
        <w:rPr>
          <w:b w:val="1"/>
          <w:color w:val="0085ca"/>
          <w:sz w:val="26"/>
          <w:szCs w:val="26"/>
        </w:rPr>
      </w:pPr>
      <w:r w:rsidDel="00000000" w:rsidR="00000000" w:rsidRPr="00000000">
        <w:rPr>
          <w:rtl w:val="0"/>
        </w:rPr>
      </w:r>
    </w:p>
    <w:sectPr>
      <w:headerReference r:id="rId12" w:type="default"/>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jc w:val="center"/>
      <w:rPr/>
    </w:pPr>
    <w:r w:rsidDel="00000000" w:rsidR="00000000" w:rsidRPr="00000000">
      <w:rPr>
        <w:rtl w:val="0"/>
      </w:rPr>
    </w:r>
  </w:p>
  <w:tbl>
    <w:tblPr>
      <w:tblStyle w:val="Table6"/>
      <w:tblW w:w="9029.0" w:type="dxa"/>
      <w:jc w:val="center"/>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1696.62109375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E">
    <w:pPr>
      <w:jc w:val="left"/>
      <w:rPr>
        <w:b w:val="1"/>
        <w:sz w:val="18"/>
        <w:szCs w:val="18"/>
      </w:rPr>
    </w:pPr>
    <w:r w:rsidDel="00000000" w:rsidR="00000000" w:rsidRPr="00000000">
      <w:rPr>
        <w:rtl w:val="0"/>
      </w:rPr>
    </w:r>
  </w:p>
  <w:p w:rsidR="00000000" w:rsidDel="00000000" w:rsidP="00000000" w:rsidRDefault="00000000" w:rsidRPr="00000000" w14:paraId="000000CF">
    <w:pPr>
      <w:jc w:val="right"/>
      <w:rPr>
        <w:b w:val="1"/>
        <w:sz w:val="18"/>
        <w:szCs w:val="18"/>
      </w:rPr>
    </w:pP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rPr/>
    </w:pPr>
    <w:r w:rsidDel="00000000" w:rsidR="00000000" w:rsidRPr="00000000">
      <w:rPr/>
      <w:drawing>
        <wp:inline distB="114300" distT="114300" distL="114300" distR="114300">
          <wp:extent cx="261938" cy="261938"/>
          <wp:effectExtent b="0" l="0" r="0" t="0"/>
          <wp:docPr id="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