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Microsoft YaHei" w:hAnsi="Microsoft YaHei" w:eastAsia="Microsoft YaHei"/>
          <w:b/>
          <w:color w:val="1F4D78"/>
          <w:sz w:val="46"/>
        </w:rPr>
        <w:t>机器可读标准知识服务应用工具</w:t>
      </w:r>
    </w:p>
    <w:p>
      <w:pPr>
        <w:spacing w:after="240"/>
      </w:pPr>
      <w:r>
        <w:rPr>
          <w:rFonts w:ascii="Microsoft YaHei" w:hAnsi="Microsoft YaHei" w:eastAsia="Microsoft YaHei"/>
          <w:b/>
          <w:color w:val="2E74B5"/>
          <w:sz w:val="26"/>
        </w:rPr>
        <w:t>后台代码实施计划（不含界面设计）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667085"/>
          <w:sz w:val="19"/>
        </w:rPr>
        <w:t>适用范围：课题三任务3、任务4及课题四后台能力建设；目标工程：standard_knowledge_service_outline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建设范围与目标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本计划只覆盖后台服务，不包含网页、客户端、交互控件和可视化页面。系统以一段自然语言为主输入，依次完成场景理解、标准条款检索、条款适用性判断、条款规则抽取、场景候选指令生成、条款与指令一致性验证、安全门禁、自然语言回答和结构化报告生成。第一版必须形成可通过接口或命令调用的端到端后台链路，并确保任何无法解析、证据不足或参数缺失的情况均返回“不确定”或“需要补充信息”，禁止默认通过和直接下发设备指令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主流程：AnalysisRequest → QwenQueryDecomposer → ScenarioContextBuilder → LunwenRetrievalAdapter → KnowledgeGraph → ConsistencyEvaluation → HybridReasoning → InstructionGenerator → SafetyGate → GroundedReportGenerator → FeedbackService → AnalysisResponse。核心输出不是互相分离的条款列表和指令列表，而是可追溯的ClauseInstructionPair；每个候选指令必须绑定条款原文、适用条件、规则表达、协议映射和验证结果，用户纠正只形成待审批优化建议，不自动修改生产配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核心数据契约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后台统一定义 AnalysisRequest、QueryUnderstanding、ScenarioContext、MatchedClause、SemanticTuple、CandidateInstruction、ClauseInstructionPair、ValidationSummary、GeneratedReport 和 AnalysisResponse。AnalysisRequest包含原始问题、可选场景提示、目标协议、业务参数和请求标识；AnalysisResponse同时返回结构化理解、匹配条款、条款—指令对应关系、验证结论、缺失信息、自然语言回答、报告正文和审计信息。标准号、版本、章节、条款原文和证据来源是强制字段，模型生成文字不得覆盖结构化事实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后台代码文件与实现计划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基础契约、大模型分解与场景上下文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4460"/>
        <w:gridCol w:w="2350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代码文件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具体实现功能</w:t>
            </w:r>
          </w:p>
        </w:tc>
        <w:tc>
          <w:tcPr>
            <w:tcW w:type="dxa" w:w="2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主要输入与输出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domain.py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定义StandardClause、EvidenceRef、Rule、Constraint、ScenarioContext、Decision、DecisionStatus和模型指纹等公共领域对象，保证标准版本、条款原文和证据在全流程中不丢失。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输入：基础字段；输出：统一领域对象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contracts.py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定义AnalysisRequest、AnalysisResponse、SearchRequest、InstructionRequest和ReportRequest，并提供稳定的JSON序列化契约。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输入：接口数据；输出：请求/响应对象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exceptions.py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定义模型加载、分解、检索、缺参、指令生成、验证、安全和报告生成异常，统一错误码与可恢复策略。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输入：异常；输出：标准错误响应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decomposition/models.py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定义QueryUnderstanding、ScenarioDescriptor、DeviceDescriptor、StandardReference和MissingField。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输入：模型JSON；输出：结构化理解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decomposition/prompts.py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保存查询分解提示词和JSON Schema，约束Qwen识别意图、场景、设备、动作、标准号、参数、单位和缺失字段，禁止补造事实。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输入：查询和上下文；输出：模型提示词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decomposition/qwen_decomposer.py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从本地qwen--Qwen-7B-Chat/snapshots/master延迟加载模型，完成生成、JSON提取、Schema校验、耗时统计和模型指纹记录。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输入：AnalysisRequest；输出：QueryUnderstanding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decomposition/normalizer.py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统一设备别名、动作名、电压等级、标准编号、数值单位和比较符，将跳开/断开归一为Trip等受控术语。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输入：分解结果；输出：规范化结果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decomposition/fallback.py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大模型失败时使用正则提取标准号和数值，并回退到整段文本SBERT检索；记录回退原因并禁止生成高风险设备指令。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输入：原始问题/异常；输出：降级查询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scenarios/models.py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定义场景、业务任务、触发点、必填参数、允许动作、安全级别和条款映射。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输入：场景配置；输出：ScenarioDefinition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scenarios/registry.py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注册、查询和路由场景适配器；根据大模型结果选择海上风电、源网荷储等场景。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输入：QueryUnderstanding；输出：场景定义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scenarios/context_builder.py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合并大模型分解结果与业务参数，检查设备、状态、协议和控制对象，形成可供检索、指令和验证共同使用的ScenarioContext。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输入：理解结果+业务参数；输出：场景上下文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scenarios/offshore_wind.py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第一版主场景适配器，覆盖海上风电集电线路保护、故障隔离、并网和功率限制，声明触发点、必填参数和允许动作。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输入：海上风电问题；输出：场景规则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标准检索、知识存储与证据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4460"/>
        <w:gridCol w:w="2350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代码文件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具体实现功能</w:t>
            </w:r>
          </w:p>
        </w:tc>
        <w:tc>
          <w:tcPr>
            <w:tcW w:type="dxa" w:w="2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主要输入与输出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retrieval/models.py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定义RetrievalQuery、MatchedEntity、MatchedRule、MatchedClause、RetrievalTrace和RetrievalResult。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输入：检索字段；输出：检索对象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retrieval/lunwen_adapter.py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接入lunwen/evaluate_consistency.py的实体加载、SBERT实体匹配、HAS_RULE遍历、规则向量和结构化重排，读取已复制的finetuned_sbert模型。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输入：查询+场景；输出：候选实体/规则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retrieval/entity_linker.py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使用分解实体和SBERT向量链接知识图谱实体，应用相似度阈值并保留实体匹配证据。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输入：实体文本；输出：MatchedEntity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retrieval/rule_retriever.py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根据实体查询关联规则，支持直接规则召回、规则向量缓存、场景过滤和规则来源记录。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输入：实体和条款文本；输出：MatchedRule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retrieval/clause_retriever.py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将规则映射回标准条款，补齐标准号、版本、章节、条款号、原文、适用范围和来源定位。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输入：规则；输出：MatchedClause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retrieval/reranker.py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融合向量、图结构、场景、设备、参数和标准版本得分进行排序，所有权重从配置读取并记录指纹。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输入：候选条款；输出：排序条款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retrieval/evidence_builder.py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生成条款证据包，包含原文、来源、匹配实体、图谱路径、模型版本、检索参数和支持状态。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输入：检索轨迹；输出：EvidenceRef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knowledge/standard_repository.py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持久化标准条款，支持按条款、标准、版本和条件查询；第一阶段可用SQLite，正式部署切换PostgreSQL。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输入：标准条款；输出：持久化查询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knowledge/graph_repository.py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封装Neo4j中的Document、Entity、Rule及HAS_RULE、引用、依赖、包含、等价、冲突关系和路径查询。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输入：图谱操作；输出：节点/关系/路径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knowledge/business_data_repository.py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读取设备状态、运行参数、验证数据、协议配置和厂商映射，为场景判断和指令生成提供真实业务数据。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输入：设备/场景ID；输出：业务参数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knowledge/version_service.py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判断标准现行版本、废止状态、优先级和版本差异，防止失效条款参与最终决策。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输入：标准号/版本；输出：版本结论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3.3 条款规则提取与场景候选指令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4460"/>
        <w:gridCol w:w="2350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代码文件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具体实现功能</w:t>
            </w:r>
          </w:p>
        </w:tc>
        <w:tc>
          <w:tcPr>
            <w:tcW w:type="dxa" w:w="2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主要输入与输出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instruction/models.py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定义SemanticTuple、StaticParameter、DynamicBehavior、ConstraintRule、ILRProgram、InstructionTemplate、CandidateInstruction和ProtocolFrame。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输入：语义字段；输出：指令领域对象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instruction/semantic_extractor.py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优先读取条款已有结构化JSON或图谱规则，缺失时调用Qwen辅助抽取主体、触发条件、动作和约束；校验数值必须来自条款原文。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输入：MatchedClause；输出：SemanticTuple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instruction/semantic_framework.py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整合旧代码的静态参数层、动态行为FSM和约束规则层，将语义元组转换成统一可执行语义。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输入：语义元组；输出：三层语义模型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instruction/ilr_compiler.py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将三层语义编译为统一If-Then、定时器和动作表达，例如IF Current≥1.2×Setpoint THEN Trip WITHIN 100ms。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输入：语义+场景；输出：ILRProgram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instruction/swrl_compiler.py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将适合图谱推理的语义规则转换为SWRL表达并保存规则来源，作为可选中间表示。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输入：SemanticTuple；输出：SWRL规则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instruction/template_library.py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维护并网、跳闸、隔离、负荷削减、储能充放电、告警和参数调整模板，声明场景、设备、必填参数、协议和安全等级。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输入：场景/动作；输出：模板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instruction/instruction_generator.py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根据条款、规则、场景和模板生成CandidateInstruction，缺参时只返回需要补充信息，禁止自行补造地址或控制值。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输入：条款+规则+场景；输出：候选指令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instruction/protocol_adapter.py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提供统一协议注册和路由，根据target_protocol选择具体协议适配器，并检查设备配置是否满足协议生成要求。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输入：ILR+协议；输出：协议候选帧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instruction/iec61850_adapter.py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实现IEC 61850逻辑节点、数据对象、GOOSE/MMS服务和厂商映射；配置不足时不生成可下发帧。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输入：ILR+设备配置；输出：IEC 61850候选指令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instruction/modbus_adapter.py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实现设备地址、功能码、寄存器、数据编码、字节序和CRC生成，保留结构化解释。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输入：ILR+寄存器配置；输出：Modbus候选指令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3.4 验证、安全门禁与冲突处理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4460"/>
        <w:gridCol w:w="2350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代码文件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具体实现功能</w:t>
            </w:r>
          </w:p>
        </w:tc>
        <w:tc>
          <w:tcPr>
            <w:tcW w:type="dxa" w:w="2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主要输入与输出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validation/applicability_validator.py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校验条款的场景、设备、电压等级、版本、参数范围和前置条件，只允许适用条款进入指令生成。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输入：条款+场景；输出：适用性结论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validation/clause_instruction_validator.py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逐字段对比条款与指令，检查动作、对象、条件、数值、单位和时间约束，禁止新增条款未授权动作。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输入：条款+候选指令；输出：对应性结论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validation/semantic_validator.py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验证主体—动作—对象—条件—约束是否完整一致，并检查术语归一化和单位转换。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输入：语义+指令；输出：语义验证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validation/protocol_validator.py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校验IEC 61850逻辑节点/数据对象或Modbus地址/功能码/长度，检查厂商和设备协议兼容性。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输入：协议帧；输出：协议验证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validation/logic_validator.py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验证条件可达性、动作顺序、状态转换、时间约束、循环和互斥动作；第一阶段采用确定性规则和测试用例仿真。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输入：ILR+场景；输出：逻辑验证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validation/conflict_detector.py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检测标准版本冲突、多条款冲突、同一设备相反动作和优先级不明，并给出冲突证据。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输入：条款/指令集合；输出：冲突列表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validation/safety_gate.py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汇总验证结果并输出approved_candidate、human_confirmation_required、need_more_information、uncertain或rejected；第一版强制dispatch_allowed=false。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输入：全部验证；输出：安全决策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3.5 报告、应用编排、后台接口与审计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4460"/>
        <w:gridCol w:w="2350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代码文件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具体实现功能</w:t>
            </w:r>
          </w:p>
        </w:tc>
        <w:tc>
          <w:tcPr>
            <w:tcW w:type="dxa" w:w="2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主要输入与输出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reporting/models.py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定义GeneratedReport、ReportSection、ReportEvidence、ReportRisk和ReportRecommendation。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输入：报告字段；输出：报告对象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reporting/prompts.py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定义有证据约束的报告提示词，要求Qwen不得新增标准编号、修改参数或生成未经验证的动作。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输入：结构化结果；输出：报告提示词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reporting/grounded_generator.py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调用本地Qwen将已验证结构化结果整理为通顺回答和报告文字；模型只组织语言，不重新检索或决策。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输入：结构化分析；输出：自然语言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reporting/report_builder.py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按用户输入、场景、参数、条款、规则、条款—指令对、验证、风险、建议、来源和审计信息组成固定报告。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输入：分析结果；输出：GeneratedReport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reporting/exporters.py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后台导出JSON、Markdown和HTML；Word/PDF可作为后续扩展，但不涉及界面设计。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输入：GeneratedReport；输出：文件/文本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application/analysis_pipeline.py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实现端到端总编排，逐条款完成适用性判断、规则抽取、指令生成、验证、安全门禁、报告和审计，是系统唯一主流程。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输入：AnalysisRequest；输出：AnalysisResponse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application/search_service.py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提供只检索不生成指令的后台服务，供调试、复用和独立验收。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输入：查询+场景；输出：条款证据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application/instruction_service.py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对已确认条款生成候选指令和条款—指令对，统一调用协议与验证组件。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输入：条款+场景；输出：ClauseInstructionPair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application/report_service.py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封装自然语言回答、结构化报告和降级模板报告，确保模型不可用时仍可输出事实报告。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输入：结构化结果；输出：回答+报告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audit/models.py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定义AuditRecord，记录请求、模型、配置、标准版本、检索路径、指令、验证、报告和耗时。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输入：流程事件；输出：审计对象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audit/store.py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将审计记录持久化并支持按request_id查询；第一阶段可采用SQLite/JSONL。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输入：AuditRecord；输出：持久化记录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audit/fingerprint.py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计算模型文件、配置、数据集和检索参数指纹，保证评测和结果可复现。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输入：路径/配置；输出：哈希指纹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api/schemas.py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定义纯后台HTTP请求、响应和错误Schema，与contracts保持映射。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输入：HTTP JSON；输出：API对象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api/routes.py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实现POST /analyze、/decompose、/search、/generate-instruction、/validate、/generate-report及GET /audit/{id}、/health。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输入：HTTP请求；输出：JSON响应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api/app.py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创建FastAPI应用、注册路由和异常处理，管理模型/数据库生命周期；不包含任何网页或前端资源。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输入：配置；输出：后台应用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bootstrap.py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读取配置并组装Qwen、仓库、lunwen检索、指令、验证、报告、审计和主流程，替换当前NotImplementedError。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输入：配置路径；输出：Application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main.py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提供uvicorn启动入口及可选命令行分析入口，作为后台部署主程序。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输入：启动参数；输出：运行服务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3.6 已补充的图谱、一致性、混合推理与持续优化模块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4460"/>
        <w:gridCol w:w="2350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代码文件</w:t>
            </w:r>
          </w:p>
        </w:tc>
        <w:tc>
          <w:tcPr>
            <w:tcW w:type="dxa" w:w="44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具体实现功能</w:t>
            </w:r>
          </w:p>
        </w:tc>
        <w:tc>
          <w:tcPr>
            <w:tcW w:type="dxa" w:w="23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主要输入与输出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knowledge_graph/create_graph.py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复制并工程化lunwen/create_graph.py：解析已有JSON及raw_output包装，构建Document、Entity、Rule节点和MENTIONS、CONTAINS_RULE、HAS_RULE及实体语义关系；内置内存后端用于离线测试，Py2neo后端用于Neo4j持久化，单文件失败隔离并输出构建统计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输入：output_jsons_new目录；输出：知识图谱+统计摘要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consistency_evaluation/models.py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定义NumericConstraint、ConsistencyFeatures和ConsistencyResult，统一特征、置信度、注意力权重、冲突详情及模型来源。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输入：评价字段；输出：一致性对象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consistency_evaluation/numeric_constraints.py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复制论文代码的数值约束抽取、单位归一化、区间相交和约束相似度算法，识别不大于、不小于、范围等比较语义。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输入：两段条款；输出：数值约束相似度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consistency_evaluation/features.py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实现规则集合双向匹配、文本余弦、规范模态结构相似度，与数值约束共同形成四维特征。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输入：条款/规则集合；输出：四维特征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consistency_evaluation/classifier.py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保留论文AttentionFusionModel的4→8→4注意力及1→2分类结构，按需加载已复制checkpoint；Torch或模型不可用时使用可解释权重阈值模型安全降级。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输入：四维特征；输出：标签、置信度、权重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consistency_evaluation/service.py、evaluation.py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封装条款一致性服务和固定样本划分评测，输出accuracy、precision、recall、F1及混淆矩阵计数。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输入：条款对/标注集；输出：结论/评测指标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hybrid_reasoning/safe_rule_engine.py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以白名单语法解析数值、布尔和字符串比较，禁止eval；表达式不可解析、事实缺失或类型不兼容时统一返回uncertain，绝不默认通过。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输入：条件+业务事实；输出：pass/fail/uncertain轨迹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hybrid_reasoning/semantic_reasoner.py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在统一图后端上按关系类型和深度执行广度遍历，输出可解释实体路径，用于同义、依赖、包含、冲突等语义补充。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输入：实体+关系+深度；输出：图谱路径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hybrid_reasoning/hybrid_engine.py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融合确定性规则结果、知识图谱路径和一致性结论；冲突优先判fail，任一关键步骤不确定则判uncertain，并保留逐步证据。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输入：场景事实+规则+一致性；输出：统一决策和轨迹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feedback/models.py、store.py</w:t>
            </w:r>
          </w:p>
        </w:tc>
        <w:tc>
          <w:tcPr>
            <w:tcW w:type="dxa" w:w="446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定义业务接受/拒绝、评分、错误类别、人工纠正和模型版本；以原子替换方式写入工具内JSONL，避免并发写入留下半条记录。</w:t>
            </w:r>
          </w:p>
        </w:tc>
        <w:tc>
          <w:tcPr>
            <w:tcW w:type="dxa" w:w="2350"/>
            <w:shd w:fill="F7F9F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输入：业务反馈；输出：可追溯反馈记录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feedback/monitor.py、optimizer.py、service.py</w:t>
            </w:r>
          </w:p>
        </w:tc>
        <w:tc>
          <w:tcPr>
            <w:tcW w:type="dxa" w:w="44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聚合接受率、平均评分、时延和错误分布，按分解、检索、分类、指令及报告错误提出调参、补词典或再训练建议；建议强制人工审批，不自动改生产模型。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输入：反馈记录；输出：质量快照+优化建议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配置与数据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settings.yaml统一保存本地Qwen、微调SBERT、完整/消融一致性模型、JSON构图源、Neo4j连接、检索权重、混合推理安全策略、反馈阈值和审计策略；Neo4j密码只允许通过环境变量或密钥服务注入。工具继续使用models/llm/qwen--Qwen-7B-Chat/snapshots/master、models/embedding/finetuned_sbert、models/consistency/classifier_model及datasets/lunwen中的2017.xlsx和output_jsons_new，所有运行时代码和数据均位于工具目录，不调用论文项目。已有训练集5,084个JSON已使用内存后端完成首次全量构图：成功5,084、失败0，累计实体记录24,765、规则9,220、显式关系20,195，去重后节点17,566、总关系65,318；统计写入artifacts/knowledge_graph/build_summary.json，接入Neo4j后使用同一构建器持久化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开发阶段与交付标准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阶段一（数据与图谱）：完成已有JSON全量构图、数据完整性统计和Neo4j持久化切换。阶段二（检索与一致性）：完成Qwen分解、论文实体/规则匹配、条款还原、四维一致性评价和固定划分评测。阶段三（混合推理与指令）：完成安全规则解释、图谱路径推理、统一不确定性、语义抽取、ILR、模板库和协议候选指令。阶段四（可信报告）：完成条款—指令验证、安全门禁、有证据约束的Qwen回答及模板降级报告。阶段五（反馈优化与服务）：完成业务反馈、质量监控、待审批优化建议、bootstrap、FastAPI、审计、部署配置和端到端回归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第一版验收场景建议固定为“海上风电35kV集电线路过流保护”：输入自然语言及必要设备参数后，后台必须返回场景理解、至少一条有来源的匹配条款、条款规则、与该条款绑定的IEC 61850候选指令、三层验证结果、安全结论、缺失信息、自然语言说明和结构化报告。无适用条款、缺少定值/设备配置、规则冲突或模型失败时必须安全降级，不得编造条款或指令。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代码完成后的测试流程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测试按“静态检查→单元测试→数据/图谱测试→模型评测→混合推理安全测试→反馈测试→模块集成→端到端场景→回归与验收”顺序执行，任一前置层失败不得进入发布验收。①静态检查：解析src与tests全部Python文件，执行模块导入和配置路径检查，确保工具运行时不出现D:\攻关项目\lunwen引用。②单元测试：覆盖Qwen JSON提取、数值单位归一化、规则集合相似度、模型降级、图节点/关系构建、安全条件解析、图遍历、反馈原子写入和优化审批标志。③数据与图谱测试：分别构建train/test，核对文件成功率、节点类型、关系端点、孤立规则、重复实体及失败清单；当前train基线为5,084/5,084成功、失败0。④一致性模型测试：锁定数据划分、模型/配置/图谱指纹，输出accuracy、precision、recall、F1、混淆矩阵和典型误判；完整attention_model.pt不可加载时必须明确标记fallback，不得混报模型指标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⑤混合推理安全测试：覆盖规则满足、规则冲突、条件无法解析、业务事实缺失、单位不兼容、图谱无路径及一致性冲突，后四类必须返回uncertain或fail。⑥反馈与持续优化测试：验证评分边界、JSONL恢复、按场景/模型聚合、错误分布、最小样本阈值和requires_approval=true，确认不会自动修改生产配置。⑦集成测试：验证“分解→检索→图谱→一致性→推理→指令→验证→报告→反馈”字段和证据连续传递。⑧端到端场景测试：至少覆盖海上风电35kV集电线路正常过流、参数缺失、多条款冲突、无适用条款、协议配置缺失和高风险跳闸。⑨回归与验收：固定测试集及随机种子，比较基线差异；验收强制检查条款来源完整、条款—指令绑定、所有指令均有验证轨迹、无证据不下结论、无法解析不默认通过、dispatch_allowed=false、报告事实与结构化输出一致。测试产物统一保存到artifacts/test_reports，包含命令、环境、指纹、日志、指标和失败样例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第一版明确不包含的内容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第一版不开发网页、桌面客户端、图谱可视化页面和交互式报表界面；不直接接入真实设备下发控制命令；不同时铺开全部电力场景；不允许大模型替代条款检索、确定性验证和安全决策。后台应先保证一个场景、一种主要协议、一条完整链路可以稳定运行和重复验证，再扩展源网荷储、设备运维、新能源并网、故障恢复及更多厂商协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内部技术文档 · 2026年8月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7085"/>
        <w:sz w:val="16"/>
      </w:rPr>
      <w:t>机器可读标准知识服务应用工具 | 后台实施计划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