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OPENFANG AI AGENCY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28"/>
          <w:szCs w:val="28"/>
        </w:rPr>
        <w:t xml:space="preserve">Multi-Agent AI Services Studio</w:t>
      </w:r>
    </w:p>
    <w:p>
      <w:pPr>
        <w:pBdr>
          <w:bottom w:val="single" w:color="E94560" w:sz="6" w:space="1"/>
        </w:pBdr>
        <w:spacing w:after="60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Business Plan &amp; Operating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 Joey Rasmussen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OpenFang AI Agency is a solo-operated, AI-powered services studio that leverages multi-agent orchestration (built on the OpenFang framework with local and cloud LLMs) to deliver automated content production, business process automation, and AI consulting services to small and mid-sized businesses.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Rather than hiring a team, the agency deploys specialized AI agents that handle research, content creation, video production, data processing, and workflow automation. This enables one operator to deliver output equivalent to a small agency at a fraction of the cost and turnaround time.</w:t>
      </w:r>
    </w:p>
    <w:p>
      <w:pPr>
        <w:pStyle w:val="Heading3"/>
      </w:pPr>
      <w:r>
        <w:t xml:space="preserve">Core Value Proposition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Speed: Deliver in hours what traditional agencies take days to produce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Cost: 60–80% lower than traditional agency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Scale: Add agents instead of headcount; parallel processing by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Availability: 24/7 production capacity with no overtime or scheduling constraints</w:t>
      </w:r>
    </w:p>
    <w:p>
      <w:pPr>
        <w:spacing w:after="200"/>
      </w:pPr>
    </w:p>
    <w:p>
      <w:pPr>
        <w:pStyle w:val="Heading1"/>
      </w:pPr>
      <w:r>
        <w:t xml:space="preserve">2. Service Offerings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agency operates across three core verticals, each powered by the same underlying multi-agent infrastructure.</w:t>
      </w:r>
    </w:p>
    <w:p>
      <w:pPr>
        <w:pStyle w:val="Heading2"/>
      </w:pPr>
      <w:r>
        <w:t xml:space="preserve">A. Automated Content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Breaking news and trending topic video packages (research, script, edit, graphics)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media content batches (short-form video, carousels, captions)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posts, newsletters, and SEO content with built-in research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Podcast show notes, transcriptions, and highlight reels</w:t>
      </w:r>
    </w:p>
    <w:p>
      <w:pPr>
        <w:pStyle w:val="Heading2"/>
      </w:pPr>
      <w:r>
        <w:t xml:space="preserve">B. Business Process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sequence automation and AI-powered outreach campaigns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entry, reconciliation, and report generation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processing pipelines (invoices, contracts, intake forms)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CRM and lead management automation</w:t>
      </w:r>
    </w:p>
    <w:p>
      <w:pPr>
        <w:pStyle w:val="Heading2"/>
      </w:pPr>
      <w:r>
        <w:t xml:space="preserve">C. AI Consulting &amp; Custom Agent Builds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readiness assessments for small businesses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agent workflow design and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consulting (connecting existing tools with AI agents)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 and documentation for in-house AI adoption</w:t>
      </w:r>
    </w:p>
    <w:p>
      <w:pPr>
        <w:spacing w:after="200"/>
      </w:pPr>
    </w:p>
    <w:p>
      <w:pPr>
        <w:pStyle w:val="Heading1"/>
      </w:pPr>
      <w:r>
        <w:t xml:space="preserve">3. The Agent Team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operational backbone of the agency is a fleet of specialized AI agents, each with defined roles. Agents are orchestrated through the OpenFang framework running on a Mac Mini M3 hub with cloud API fallback (OpenRouter for Claude, DeepSeek, Kimi).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Lead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research, source verification, trend analysis, topic briefs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Spark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Producer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editing, script writing, graphics generation, audio mixing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Forge / Muse / Apex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 Pipeline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Downloading footage, sourcing images, preparing raw materials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Curation, formatting checks, output 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updates, email drafting, scheduling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Ledger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logs, invoicing support, time tracking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Relations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drafting, follow-ups, onboarding workflows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routing, priority management, agent orchestration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Competitive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Agency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OpenFang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Turnaround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24–48 hours per deliverable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hours per deliverable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 per Video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$500–$2,000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$50–$150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Scaling Model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Linear (hire more people)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(add more agents)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hours only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24/7 production capacity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Overhead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Office, payroll, benefits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costs + hosting only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Pricing &amp; Revenue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Pricing is structured to be accessible for small businesses while scaling up for larger engagements. All tiers are conservative and reflect realistic early-stage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Clients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batches (5–10 pieces/month)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$500–$1,500/mo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Solopreneurs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content + automation workflows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$1,500–$3,000/mo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businesses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Project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Branded series, one-off builds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$2,000–$5,000/project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SMBs, agencies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readiness, agent design, integration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$150–$250/hr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size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Year 1 Revenue Targets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 (2–3 clients)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$2,000–$4,000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$24,000–$48,000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Mid (5–7 clients)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$5,000–$10,000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$60,000–$120,000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(10+ clients)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$12,000–$20,000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$144,000–$240,000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Estimate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API Costs (OpenRouter, Claude, etc.)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$150–$400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Scales with usage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/ CDN / Storage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$50–$150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Mini as primary hub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 &amp; Subscriptions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$100–$200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Editing, stock assets, SaaS tools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Domain, Email, Marketing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$50–$100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Website, outreach tools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Monthly Overhead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$350–$850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Very low breakeven point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 overhead under $1,000/month, the business reaches profitability with just 1–2 active clients on any paid tier.</w:t>
      </w:r>
    </w:p>
    <w:p>
      <w:pPr>
        <w:spacing w:after="200"/>
      </w:pPr>
    </w:p>
    <w:p>
      <w:pPr>
        <w:pStyle w:val="Heading1"/>
      </w:pPr>
      <w:r>
        <w:t xml:space="preserve">7. Growth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30"/>
        <w:gridCol w:w="293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Proof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 – Month 1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core workflows; deliver first paid projects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broken agents, stabilize tool integrations, complete 3–5 demo projects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Stabilize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2–3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Reliable delivery; 2–3 recurring clients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Standardize deliverable templates, build client onboarding flow, refine pricing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service offerings; 5–7 clients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automation and consulting verticals, begin content marketing, referral system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7–12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Repeatable playbooks; explore SaaS model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all workflows, evaluate self-service platform, consider partnerships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Business Formation &amp; Legal Setup</w:t>
      </w:r>
    </w:p>
    <w:p>
      <w:pPr>
        <w:pStyle w:val="Heading2"/>
      </w:pPr>
      <w:r>
        <w:t xml:space="preserve">Do You Need an EIN?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Short answer: Yes, you should get one even though it may not be strictly required yet. Here is why: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technically operate as a sole proprietor using your SSN, but an EIN provides privacy protection, separates business and personal finances, and is required to open most business bank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EIN is free and takes about 5 minutes to obtain online at IRS.gov (Form SS-4). You receive it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later form an LLC or hire anyone, you will need an EIN anyway. Getting one now avoids rework.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applying for business credit cards (like the Ink Business Unlimited), having an EIN strengthens your application and keeps your SSN off vendor paperwork.</w:t>
      </w:r>
    </w:p>
    <w:p>
      <w:pPr>
        <w:spacing w:after="200"/>
      </w:pPr>
    </w:p>
    <w:p>
      <w:pPr>
        <w:pStyle w:val="Heading2"/>
      </w:pPr>
      <w:r>
        <w:t xml:space="preserve">Recommended Business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Start as a sole proprietorship to keep things simple. File a DBA ("Doing Business As") for "OpenFang AI Agency" with your county. When revenue justifies it (generally $40K–$50K+ net self-employment income), consider forming a single-member LLC with S-Corp election for tax savings on self-employment tax.</w:t>
      </w:r>
    </w:p>
    <w:p>
      <w:pPr>
        <w:spacing w:after="200"/>
      </w:pPr>
    </w:p>
    <w:p>
      <w:pPr>
        <w:pStyle w:val="Heading2"/>
      </w:pPr>
      <w:r>
        <w:t xml:space="preserve">NAICS Codes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business spans several categories. The primary code to use on applications: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NAICS Code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541511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Computer Programming Services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Primary: covers AI agent development, custom automation builds, and software services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541519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Computer Related Services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Alternative primary: broad catch-all for AI/tech services not elsewhere classified; most common AI NAICS code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541690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Scientific &amp; Technical Consulting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Covers automation consulting and AI advisory work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512110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Motion Picture &amp; Video Production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Covers the video production vertical specifically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Recommendation: Use 541511 or 541519 as your primary code on applications and tax filings. These are the most versatile for an AI services business and recognized by the SBA for tech-related businesses.</w:t>
      </w:r>
    </w:p>
    <w:p>
      <w:pPr>
        <w:spacing w:after="200"/>
      </w:pPr>
    </w:p>
    <w:p>
      <w:pPr>
        <w:pStyle w:val="Heading2"/>
      </w:pPr>
      <w:r>
        <w:t xml:space="preserve">IRS Business Activity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Schedule C (if filing as sole prop), use Principal Business Code 511210 (Software Publishers) or 541510 (Computer Systems Design and Related Services). These map most closely to AI agent development and automation services.</w:t>
      </w:r>
    </w:p>
    <w:p>
      <w:pPr>
        <w:spacing w:after="200"/>
      </w:pPr>
    </w:p>
    <w:p>
      <w:pPr>
        <w:pStyle w:val="Heading1"/>
      </w:pPr>
      <w:r>
        <w:t xml:space="preserve">9. Immediate 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your EIN from IRS.gov (free, instant, Form SS-4 online)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a business checking account (separate from personal)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Apply for the Ink Business Unlimited credit card (0% APR for 12 months)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 DBA for "OpenFang AI Agency" with your county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Stabilize broken agents (clip-hand, browser-hand, collector-hand)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Complete 3–5 demo projects to build portfolio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 up basic website and service offerings page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Begin outreach to local Milwaukee businesses (leverage Grow414 and Boludo connections)</w:t>
      </w:r>
    </w:p>
    <w:p>
      <w:pPr>
        <w:spacing w:after="400"/>
      </w:pPr>
    </w:p>
    <w:p>
      <w:pPr>
        <w:pBdr>
          <w:top w:val="single" w:color="DDDDDD" w:sz="2" w:space="1"/>
        </w:pBdr>
        <w:spacing w:after="100" w:before="20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Disclaimer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This business plan is for internal planning purposes. Revenue projections are estimates based on market research and are not guaranteed. Consult a CPA and/or attorney for tax, legal, and entity formation advice specific to your situation.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OpenFang AI Agency  | 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2026-03-10T14:21:01.571Z</dcterms:created>
  <dcterms:modified xsi:type="dcterms:W3CDTF">2026-03-10T14:21:01.572Z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