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2ip5iutje3x" w:id="0"/>
      <w:bookmarkEnd w:id="0"/>
      <w:r w:rsidDel="00000000" w:rsidR="00000000" w:rsidRPr="00000000">
        <w:rPr>
          <w:rtl w:val="0"/>
        </w:rPr>
        <w:t xml:space="preserve">Introducción a la Programación - Práctica 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xwja31qpn8y" w:id="1"/>
      <w:bookmarkEnd w:id="1"/>
      <w:r w:rsidDel="00000000" w:rsidR="00000000" w:rsidRPr="00000000">
        <w:rPr>
          <w:rtl w:val="0"/>
        </w:rPr>
        <w:t xml:space="preserve">Expresiones y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00" w:lineRule="auto"/>
        <w:rPr>
          <w:b w:val="1"/>
          <w:sz w:val="22"/>
          <w:szCs w:val="22"/>
        </w:rPr>
      </w:pPr>
      <w:bookmarkStart w:colFirst="0" w:colLast="0" w:name="_3behjbfcspz7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CONSEJOS: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eer el enunciado en su totalidad y pensar en la forma de resolver el ejercicio ANTES de empezar a escribir código.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 un ejercicio no sale, se puede dejar para después y continuar con los ejercicios que siguen.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Los ejercicios están pensados para ser hechos después de haber mirado la teórica correspondiente.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Algunos ejercicios están tomados de la guía complementaria realizada por Federico Aloi y Miguel Miloro, a su vez basada en las guías Ejercicios de Introducción a la Programación del CIU General Belgrano, elaboradas por Carlos Lombardi y Alfredo Sanzo, y Fundamentos de la Programación del Proyecto Mumuki. Agradecemos a todos los que nos ayudaron con su inspiración.</w:t>
      </w:r>
    </w:p>
    <w:p w:rsidR="00000000" w:rsidDel="00000000" w:rsidP="00000000" w:rsidRDefault="00000000" w:rsidRPr="00000000" w14:paraId="00000008">
      <w:pPr>
        <w:pStyle w:val="Heading1"/>
        <w:spacing w:before="200" w:lineRule="auto"/>
        <w:rPr>
          <w:b w:val="1"/>
          <w:sz w:val="22"/>
          <w:szCs w:val="22"/>
        </w:rPr>
      </w:pPr>
      <w:bookmarkStart w:colFirst="0" w:colLast="0" w:name="_rl1sha3kqxw5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EJERCICIOS: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DibujarBanda_EnDiagonalNEDe_x_(color, alto, largo)</w:t>
      </w:r>
      <w:r w:rsidDel="00000000" w:rsidR="00000000" w:rsidRPr="00000000">
        <w:rPr>
          <w:rtl w:val="0"/>
        </w:rPr>
        <w:t xml:space="preserve"> que dibuja una banda diagonal ancha. Por ejemplo, en la figura se observa el resultado de ejecutar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DibujarBanda_EnDiagonalNEDe_x_(Negro, 3, 5)</w:t>
      </w:r>
      <w:r w:rsidDel="00000000" w:rsidR="00000000" w:rsidRPr="00000000">
        <w:rPr>
          <w:rtl w:val="0"/>
        </w:rPr>
        <w:t xml:space="preserve">en un tablero de 5x7, </w:t>
      </w:r>
      <w:r w:rsidDel="00000000" w:rsidR="00000000" w:rsidRPr="00000000">
        <w:rPr>
          <w:rtl w:val="0"/>
        </w:rPr>
        <w:t xml:space="preserve">comenzando en la esquina SO del tablero.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-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86077" cy="209073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57" l="0" r="0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586077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right="-15" w:firstLine="0"/>
        <w:jc w:val="both"/>
        <w:rPr/>
      </w:pPr>
      <w:r w:rsidDel="00000000" w:rsidR="00000000" w:rsidRPr="00000000">
        <w:rPr>
          <w:rtl w:val="0"/>
        </w:rPr>
        <w:t xml:space="preserve">Observar que 3 es el alto de la banda, y 5 el largo.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rtl w:val="0"/>
        </w:rPr>
        <w:t xml:space="preserve">el procedimiento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Mover_SegúnColor_(dirección,color)</w:t>
      </w:r>
      <w:r w:rsidDel="00000000" w:rsidR="00000000" w:rsidRPr="00000000">
        <w:rPr>
          <w:rtl w:val="0"/>
        </w:rPr>
        <w:t xml:space="preserve">, que mueve el cabezal en la dirección dada tantas celdas como bolitas de color dado hay en la celda actual. Como ejemplos se ofrecen los resultados de evaluar el comando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Mover_SegúnColor_(Este, Negro)</w:t>
      </w:r>
      <w:r w:rsidDel="00000000" w:rsidR="00000000" w:rsidRPr="00000000">
        <w:rPr>
          <w:rtl w:val="0"/>
        </w:rPr>
        <w:t xml:space="preserve">, en diferentes tableros  iniciales.</w:t>
      </w:r>
    </w:p>
    <w:tbl>
      <w:tblPr>
        <w:tblStyle w:val="Table1"/>
        <w:tblW w:w="8445.0" w:type="dxa"/>
        <w:jc w:val="right"/>
        <w:tblLayout w:type="fixed"/>
        <w:tblLook w:val="0600"/>
      </w:tblPr>
      <w:tblGrid>
        <w:gridCol w:w="3960"/>
        <w:gridCol w:w="765"/>
        <w:gridCol w:w="3720"/>
        <w:tblGridChange w:id="0">
          <w:tblGrid>
            <w:gridCol w:w="3960"/>
            <w:gridCol w:w="765"/>
            <w:gridCol w:w="3720"/>
          </w:tblGrid>
        </w:tblGridChange>
      </w:tblGrid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8369" cy="590512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69" cy="59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20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710" cy="274638"/>
                  <wp:effectExtent b="0" l="0" r="0" t="0"/>
                  <wp:docPr descr="arrow-20clip-20art-arrow-blue-outline-right.jpg" id="1" name="image3.jpg"/>
                  <a:graphic>
                    <a:graphicData uri="http://schemas.openxmlformats.org/drawingml/2006/picture">
                      <pic:pic>
                        <pic:nvPicPr>
                          <pic:cNvPr descr="arrow-20clip-20art-arrow-blue-outline-right.jpg"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0" cy="274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8369" cy="581878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69" cy="5818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8369" cy="590512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739" l="0" r="0" t="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69" cy="59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20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710" cy="274638"/>
                  <wp:effectExtent b="0" l="0" r="0" t="0"/>
                  <wp:docPr descr="arrow-20clip-20art-arrow-blue-outline-right.jpg" id="2" name="image3.jpg"/>
                  <a:graphic>
                    <a:graphicData uri="http://schemas.openxmlformats.org/drawingml/2006/picture">
                      <pic:pic>
                        <pic:nvPicPr>
                          <pic:cNvPr descr="arrow-20clip-20art-arrow-blue-outline-right.jpg"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0" cy="274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8369" cy="590512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249" r="2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69" cy="59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8369" cy="590512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365" r="36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69" cy="59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20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710" cy="274638"/>
                  <wp:effectExtent b="0" l="0" r="0" t="0"/>
                  <wp:docPr descr="arrow-20clip-20art-arrow-blue-outline-right.jpg" id="11" name="image3.jpg"/>
                  <a:graphic>
                    <a:graphicData uri="http://schemas.openxmlformats.org/drawingml/2006/picture">
                      <pic:pic>
                        <pic:nvPicPr>
                          <pic:cNvPr descr="arrow-20clip-20art-arrow-blue-outline-right.jpg"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0" cy="274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8369" cy="590512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365" r="36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69" cy="59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el último caso, como la celda no tiene bolitas negras (o sea tiene 0 bolitas negras), entonces el cabezal no se mueve (o sea, se mueve 0 celdas hacia el Este).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</w:t>
      </w:r>
      <w:r w:rsidDel="00000000" w:rsidR="00000000" w:rsidRPr="00000000">
        <w:rPr>
          <w:rtl w:val="0"/>
        </w:rPr>
        <w:t xml:space="preserve">el valor y el tipo que representan las expresiones dadas en los ítems en cada uno de los tableros A , B y C, suponiendo definido un procedimiento con el contrato dado al final.</w:t>
      </w:r>
    </w:p>
    <w:p w:rsidR="00000000" w:rsidDel="00000000" w:rsidP="00000000" w:rsidRDefault="00000000" w:rsidRPr="00000000" w14:paraId="00000018">
      <w:pPr>
        <w:tabs>
          <w:tab w:val="right" w:pos="8910"/>
          <w:tab w:val="left" w:pos="1440"/>
          <w:tab w:val="center" w:pos="5040"/>
        </w:tabs>
        <w:spacing w:before="200" w:lineRule="auto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087135" cy="106159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135" cy="1061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102470" cy="107622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470" cy="1076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095821" cy="106538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821" cy="106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(A)                                        (B)                                            (C)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nroBolitas(Negro) + nroBolitas(Azul)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opuesto(opuesto(Este))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nroBolitas(siguiente(Azul))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2*nroBolitas(colorAImitar)</w:t>
        <w:br w:type="textWrapping"/>
      </w:r>
      <w:r w:rsidDel="00000000" w:rsidR="00000000" w:rsidRPr="00000000">
        <w:rPr>
          <w:rtl w:val="0"/>
        </w:rPr>
        <w:t xml:space="preserve">suponiendo que esta expresión aparece dentro del cuerpo del procedimiento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PonerElDobleDe_QueDe_</w:t>
      </w:r>
      <w:r w:rsidDel="00000000" w:rsidR="00000000" w:rsidRPr="00000000">
        <w:rPr>
          <w:rtl w:val="0"/>
        </w:rPr>
        <w:t xml:space="preserve">, y que se lo invocó como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PonerElDobleDe_QueDe_(Rojo, Azul)</w:t>
      </w:r>
    </w:p>
    <w:p w:rsidR="00000000" w:rsidDel="00000000" w:rsidP="00000000" w:rsidRDefault="00000000" w:rsidRPr="00000000" w14:paraId="0000001E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El contrato del procedimiento dado es el siguiente:</w:t>
      </w:r>
    </w:p>
    <w:p w:rsidR="00000000" w:rsidDel="00000000" w:rsidP="00000000" w:rsidRDefault="00000000" w:rsidRPr="00000000" w14:paraId="0000001F">
      <w:pPr>
        <w:spacing w:before="20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PonerElDobleDe_QueDe_(colorAPoner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     , colorAImitar)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/* PROPÓSITO: Poner bolitas del colorAPoner en una cantidad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      que sea el doble de las que hay del colorAImitar en la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      celda actual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   PRECONDICIONES: ninguna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   PARÁMETROS: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     * colorAPoner, un color del que se pondrán bolitas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     * colorAImitar, un color del que se mirará cuántas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                     bolitas hay en la celda actual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3"/>
        </w:numPr>
        <w:spacing w:after="0" w:before="200" w:lineRule="auto"/>
        <w:ind w:left="720" w:hanging="360"/>
      </w:pPr>
      <w:bookmarkStart w:colFirst="0" w:colLast="0" w:name="_qcgp90n3lc2q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El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bosque, parte 1</w:t>
      </w:r>
    </w:p>
    <w:p w:rsidR="00000000" w:rsidDel="00000000" w:rsidP="00000000" w:rsidRDefault="00000000" w:rsidRPr="00000000" w14:paraId="0000002B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este ejercicio, se</w:t>
      </w:r>
      <w:r w:rsidDel="00000000" w:rsidR="00000000" w:rsidRPr="00000000">
        <w:rPr>
          <w:rtl w:val="0"/>
        </w:rPr>
        <w:t xml:space="preserve"> usará el tablero para representar un bosque. Cada celda representa a una parcela. Cada bolita verde representa un árbol. Cada bolita roja representa una semilla. Una bolita negra representa una bomba. Una bolita azul representa una unidad de nutrientes.</w:t>
      </w:r>
    </w:p>
    <w:p w:rsidR="00000000" w:rsidDel="00000000" w:rsidP="00000000" w:rsidRDefault="00000000" w:rsidRPr="00000000" w14:paraId="0000002C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Escribir los siguientes procedimientos de representación, que hacen lo que su nombre indica (todos, salvo los últimos, trabajan sobre la celda actúa, y esos dos solo trabajan sobre la celda lindante correspondiente):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Poner_Semillas(cantidadDeSemillasAPoner)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Sacar_Semillas(cantidadDeSemillasASacar)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Poner_Árboles(cantidadDeÁrbolesAPoner)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Sacar_Árboles(cantidadDeÁrbolesASacar)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PonerBomba()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SacarBomba()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Poner_Nutrientes(cantidadDeNutrientesAPoner)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Sacar_Nutrientes(cantidadDeNutrientesASacar)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Poner_SemillasAl_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(cantidad, dirección)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deja el cabezal en la celda inicial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Sacar_ÁrbolesAl_(cantidad, dirección)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deja el cabezal en la celda inicial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</w:t>
      </w:r>
      <w:r w:rsidDel="00000000" w:rsidR="00000000" w:rsidRPr="00000000">
        <w:rPr>
          <w:rtl w:val="0"/>
        </w:rPr>
        <w:t xml:space="preserve">el procedimiento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PasarPalabraActualAMayúsculas()</w:t>
      </w:r>
      <w:r w:rsidDel="00000000" w:rsidR="00000000" w:rsidRPr="00000000">
        <w:rPr>
          <w:rtl w:val="0"/>
        </w:rPr>
        <w:t xml:space="preserve"> que suponiendo que en la fila actual se codifica una palabra en minúsculas usando bolitas, ponga la misma palabra en mayúsculas en la fila al Norte.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letra se representan con una cantidad diferente de bolitas negras, según un código numérico llamado ASCII.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celda más al Oeste de la fila actual se codifica la cantidad de letras usando bolitas rojas.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primera letra de la palabra está en la celda lindante al Este de la que contiene la cantidad de letras.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código ASCII si las letras mayúsculas se codifican con un número N entonces  la misma letra minúscula se representa con N+32 (pej. la ‘a’ minúsculas se representa con el número 97 y la ‘A’ mayúsculas, con el 65).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cabezal se encuentra en la celda más al Oeste de una fila donde hay una palabra representada.</w:t>
      </w:r>
    </w:p>
    <w:p w:rsidR="00000000" w:rsidDel="00000000" w:rsidP="00000000" w:rsidRDefault="00000000" w:rsidRPr="00000000" w14:paraId="0000003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Ejemplo de (fragmento de) un tablero inicial posible:</w:t>
      </w:r>
    </w:p>
    <w:p w:rsidR="00000000" w:rsidDel="00000000" w:rsidP="00000000" w:rsidRDefault="00000000" w:rsidRPr="00000000" w14:paraId="0000003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4938" cy="1162977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1629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Ejemplo del (fragmento de) tablero final correspondiente al anterior:</w:t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5413" cy="1150472"/>
            <wp:effectExtent b="12700" l="12700" r="12700" t="127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1504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¿Cómo comenzar la resolución? En cada procedimiento, ¿qué parte debe escribirse primero?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rtl w:val="0"/>
        </w:rPr>
        <w:t xml:space="preserve">un procedimiento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SacarTodas_(colorASacar)</w:t>
      </w:r>
      <w:r w:rsidDel="00000000" w:rsidR="00000000" w:rsidRPr="00000000">
        <w:rPr>
          <w:rtl w:val="0"/>
        </w:rPr>
        <w:t xml:space="preserve">, que quite de la celda actual todas las bolitas del color indicado por el parámetro.</w:t>
        <w:br w:type="textWrapping"/>
      </w:r>
      <w:r w:rsidDel="00000000" w:rsidR="00000000" w:rsidRPr="00000000">
        <w:rPr>
          <w:b w:val="1"/>
          <w:rtl w:val="0"/>
        </w:rPr>
        <w:t xml:space="preserve">Ayuda:</w:t>
      </w:r>
      <w:r w:rsidDel="00000000" w:rsidR="00000000" w:rsidRPr="00000000">
        <w:rPr>
          <w:rtl w:val="0"/>
        </w:rPr>
        <w:t xml:space="preserve"> considerar utilizar el procedimiento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Sacar__Veces</w:t>
      </w:r>
      <w:r w:rsidDel="00000000" w:rsidR="00000000" w:rsidRPr="00000000">
        <w:rPr>
          <w:rtl w:val="0"/>
        </w:rPr>
        <w:t xml:space="preserve">, definido en la práctica anterior. ¿Qué argumentos se le deberían pasar?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¡A la batalla!</w:t>
      </w:r>
      <w:r w:rsidDel="00000000" w:rsidR="00000000" w:rsidRPr="00000000">
        <w:rPr>
          <w:rtl w:val="0"/>
        </w:rPr>
        <w:t xml:space="preserve">, parte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Suponiendo que se está programando un juego donde en las celdas del tablero se representan Soldados (los aliados con una bolita de color Negro y los enemigos con una bolita de color Rojo por cada soldado), escribir los siguientes procedimientos: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EnviarAliadosParaDuplicarEnemigos()</w:t>
      </w:r>
      <w:r w:rsidDel="00000000" w:rsidR="00000000" w:rsidRPr="00000000">
        <w:rPr>
          <w:rtl w:val="0"/>
        </w:rPr>
        <w:t xml:space="preserve">, que agrega soldados aliados en la celda actual en cantidad suficiente para que haya el doble de aliados que de soldados enemigos.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PelearLaBatalla()</w:t>
      </w:r>
      <w:r w:rsidDel="00000000" w:rsidR="00000000" w:rsidRPr="00000000">
        <w:rPr>
          <w:rtl w:val="0"/>
        </w:rPr>
        <w:t xml:space="preserve">, que simula una batalla, suponiendo que hay suficiente cantidad de soldados aliados como para ganar la batalla. Durante una batalla, 2 soldados enemigos pelean contra 3 soldados aliados y todos mueren. Por ejemplo, si hay 6 enemigos y 10 aliados, mueren los 6 enemigos y 9 de los aliados; si hay 11 enemigos y 21 aliados, mueren los 11 enemigos y 15 soldados aliados.</w:t>
        <w:br w:type="textWrapping"/>
      </w:r>
      <w:r w:rsidDel="00000000" w:rsidR="00000000" w:rsidRPr="00000000">
        <w:rPr>
          <w:b w:val="1"/>
          <w:rtl w:val="0"/>
        </w:rPr>
        <w:t xml:space="preserve">Ayuda:</w:t>
      </w:r>
      <w:r w:rsidDel="00000000" w:rsidR="00000000" w:rsidRPr="00000000">
        <w:rPr>
          <w:rtl w:val="0"/>
        </w:rPr>
        <w:t xml:space="preserve"> ¿qué cuenta hay que hacer para saber cuántos soldados aliados morirán?</w:t>
        <w:br w:type="textWrapping"/>
      </w:r>
      <w:r w:rsidDel="00000000" w:rsidR="00000000" w:rsidRPr="00000000">
        <w:rPr>
          <w:b w:val="1"/>
          <w:rtl w:val="0"/>
        </w:rPr>
        <w:t xml:space="preserve">Ayuda 2</w:t>
      </w:r>
      <w:r w:rsidDel="00000000" w:rsidR="00000000" w:rsidRPr="00000000">
        <w:rPr>
          <w:rtl w:val="0"/>
        </w:rPr>
        <w:t xml:space="preserve">: para la división en Gobstones se usa el operador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</w:t>
      </w:r>
      <w:r w:rsidDel="00000000" w:rsidR="00000000" w:rsidRPr="00000000">
        <w:rPr>
          <w:rtl w:val="0"/>
        </w:rPr>
        <w:t xml:space="preserve">el ejercicio “Soporte técnico” que se encuentra en el capítulo “Ejercicios de práctica” del curso online</w:t>
      </w:r>
    </w:p>
    <w:p w:rsidR="00000000" w:rsidDel="00000000" w:rsidP="00000000" w:rsidRDefault="00000000" w:rsidRPr="00000000" w14:paraId="00000048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https://gobstones.github.io/gobstones-sr/?course=gobstones/curso-InPr-UNQ&amp;github=gobstones/curso-InPr-UNQ&amp;path=Proyectos/12.Ejercicios%20de%20pr%C3%A1ctica/2.Soporte%20T%C3%A9cnico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gobstones.github.io/gobstones-sr/?course=gobstones/curso-InPr-UNQ&amp;github=gobstones/curso-InPr-UNQ&amp;path=Proyectos/12.Ejercicios%20de%20pr%C3%A1ctica/2.Soporte%20T%C3%A9cnico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