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pageBreakBefore w:val="false"/>
        <w:numPr>
          <w:ilvl w:val="0"/>
          <w:numId w:val="0"/>
        </w:numPr>
        <w:spacing w:lineRule="auto" w:line="240" w:before="0" w:after="0"/>
        <w:ind w:hanging="0" w:start="0"/>
        <w:jc w:val="center"/>
        <w:outlineLvl w:val="5"/>
        <w:rPr>
          <w:rFonts w:eastAsia="Times New Roman"/>
          <w:b/>
          <w:iCs/>
          <w:color w:val="000000"/>
          <w:sz w:val="24"/>
          <w:szCs w:val="24"/>
        </w:rPr>
      </w:pPr>
      <w:r>
        <w:rPr>
          <w:rFonts w:eastAsia="Times New Roman"/>
          <w:b/>
          <w:i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 w:start="0"/>
        <w:jc w:val="center"/>
        <w:outlineLvl w:val="5"/>
        <w:rPr>
          <w:rFonts w:eastAsia="Times New Roman"/>
          <w:b/>
          <w:iCs/>
          <w:caps/>
          <w:color w:val="000000"/>
          <w:sz w:val="24"/>
          <w:szCs w:val="24"/>
        </w:rPr>
      </w:pPr>
      <w:r>
        <w:rPr>
          <w:rFonts w:eastAsia="Times New Roman"/>
          <w:b/>
          <w:iCs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 w:start="0"/>
        <w:jc w:val="center"/>
        <w:outlineLvl w:val="5"/>
        <w:rPr>
          <w:rFonts w:eastAsia="Times New Roman"/>
          <w:b/>
          <w:iCs/>
          <w:caps/>
          <w:color w:val="000000"/>
          <w:sz w:val="24"/>
          <w:szCs w:val="24"/>
        </w:rPr>
      </w:pPr>
      <w:r>
        <w:rPr>
          <w:rFonts w:eastAsia="Times New Roman"/>
          <w:b/>
          <w:iCs/>
          <w:color w:val="000000"/>
          <w:sz w:val="24"/>
          <w:szCs w:val="24"/>
        </w:rPr>
        <w:t>высшего образования</w:t>
      </w:r>
    </w:p>
    <w:p>
      <w:pPr>
        <w:pStyle w:val="Normal"/>
        <w:spacing w:before="0" w:after="0"/>
        <w:ind w:end="-185"/>
        <w:jc w:val="center"/>
        <w:rPr>
          <w:rFonts w:eastAsia="Times New Roman"/>
          <w:b/>
          <w:caps/>
          <w:color w:val="000000"/>
          <w:sz w:val="24"/>
          <w:szCs w:val="24"/>
        </w:rPr>
      </w:pPr>
      <w:r>
        <w:rPr>
          <w:rFonts w:eastAsia="Times New Roman"/>
          <w:b/>
          <w:caps/>
          <w:color w:val="000000"/>
          <w:sz w:val="24"/>
          <w:szCs w:val="24"/>
        </w:rPr>
        <w:t xml:space="preserve">«Санкт-Петербургский государственный университет </w:t>
        <w:br/>
        <w:t>промышленных технологий и дизайна»</w:t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4"/>
          <w:szCs w:val="24"/>
          <w:lang w:eastAsia="en-US"/>
        </w:rPr>
      </w:pPr>
      <w:r>
        <w:rPr>
          <w:color w:val="000000"/>
          <w:sz w:val="24"/>
          <w:szCs w:val="24"/>
          <w:lang w:eastAsia="en-US"/>
        </w:rPr>
        <w:t xml:space="preserve">Институт – </w:t>
      </w:r>
      <w:r>
        <w:rPr>
          <w:color w:val="000000"/>
          <w:sz w:val="24"/>
          <w:szCs w:val="24"/>
          <w:u w:val="single"/>
          <w:lang w:eastAsia="en-US"/>
        </w:rPr>
        <w:t>Информационных технологий и автоматизации</w:t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4"/>
          <w:szCs w:val="24"/>
          <w:lang w:eastAsia="en-US"/>
        </w:rPr>
      </w:pPr>
      <w:r>
        <w:rPr>
          <w:color w:val="000000"/>
          <w:sz w:val="24"/>
          <w:szCs w:val="24"/>
          <w:lang w:eastAsia="en-US"/>
        </w:rPr>
        <w:t xml:space="preserve">Направление </w:t>
      </w:r>
      <w:r>
        <w:rPr>
          <w:color w:val="000000"/>
          <w:sz w:val="24"/>
          <w:szCs w:val="24"/>
          <w:u w:val="single"/>
          <w:lang w:eastAsia="en-US"/>
        </w:rPr>
        <w:t>09.03.03 – Прикладная информатика в дизайне</w:t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4"/>
          <w:szCs w:val="24"/>
          <w:lang w:eastAsia="en-US"/>
        </w:rPr>
      </w:pPr>
      <w:r>
        <w:rPr>
          <w:color w:val="000000"/>
          <w:sz w:val="24"/>
          <w:szCs w:val="24"/>
          <w:lang w:eastAsia="en-US"/>
        </w:rPr>
        <w:t xml:space="preserve">Кафедра – </w:t>
      </w:r>
      <w:r>
        <w:rPr>
          <w:color w:val="000000"/>
          <w:sz w:val="24"/>
          <w:szCs w:val="24"/>
          <w:u w:val="single"/>
          <w:lang w:eastAsia="en-US"/>
        </w:rPr>
        <w:t>Цифровых и аддитивных технологий</w:t>
      </w:r>
    </w:p>
    <w:p>
      <w:pPr>
        <w:pStyle w:val="Normal"/>
        <w:spacing w:lineRule="auto" w:line="360" w:before="0" w:after="0"/>
        <w:ind w:firstLine="85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</w:r>
    </w:p>
    <w:p>
      <w:pPr>
        <w:pStyle w:val="Normal"/>
        <w:spacing w:lineRule="auto" w:line="360" w:before="0" w:after="0"/>
        <w:jc w:val="both"/>
        <w:rPr>
          <w:color w:val="000000"/>
          <w:sz w:val="24"/>
          <w:szCs w:val="22"/>
          <w:lang w:eastAsia="en-US"/>
        </w:rPr>
      </w:pPr>
      <w:r>
        <w:rPr>
          <w:color w:val="000000"/>
          <w:sz w:val="24"/>
          <w:szCs w:val="22"/>
          <w:lang w:eastAsia="en-US"/>
        </w:rPr>
      </w:r>
    </w:p>
    <w:p>
      <w:pPr>
        <w:pStyle w:val="Normal"/>
        <w:spacing w:lineRule="auto" w:line="360" w:before="0" w:after="0"/>
        <w:ind w:firstLine="851"/>
        <w:jc w:val="both"/>
        <w:rPr>
          <w:color w:val="000000"/>
          <w:sz w:val="24"/>
          <w:szCs w:val="22"/>
          <w:lang w:eastAsia="en-US"/>
        </w:rPr>
      </w:pPr>
      <w:r>
        <w:rPr>
          <w:color w:val="000000"/>
          <w:sz w:val="24"/>
          <w:szCs w:val="22"/>
          <w:lang w:eastAsia="en-US"/>
        </w:rPr>
      </w:r>
    </w:p>
    <w:p>
      <w:pPr>
        <w:pStyle w:val="Normal"/>
        <w:spacing w:lineRule="auto" w:line="360" w:before="0" w:after="0"/>
        <w:jc w:val="center"/>
        <w:rPr>
          <w:b/>
          <w:bCs/>
          <w:color w:val="000000"/>
          <w:sz w:val="40"/>
          <w:szCs w:val="44"/>
          <w:lang w:eastAsia="en-US"/>
        </w:rPr>
      </w:pPr>
      <w:r>
        <w:rPr>
          <w:b/>
          <w:bCs/>
          <w:color w:val="000000"/>
          <w:sz w:val="40"/>
          <w:szCs w:val="44"/>
          <w:lang w:eastAsia="en-US"/>
        </w:rPr>
        <w:t>РАЗРАБОТКА ПРОЕКТА</w:t>
      </w:r>
    </w:p>
    <w:p>
      <w:pPr>
        <w:pStyle w:val="Normal"/>
        <w:spacing w:lineRule="auto" w:line="360" w:before="0" w:after="0"/>
        <w:jc w:val="center"/>
        <w:rPr>
          <w:b/>
          <w:bCs/>
          <w:color w:val="000000"/>
          <w:sz w:val="40"/>
          <w:szCs w:val="44"/>
          <w:lang w:eastAsia="en-US"/>
        </w:rPr>
      </w:pPr>
      <w:r>
        <w:rPr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b/>
          <w:bCs/>
          <w:color w:val="000000"/>
          <w:sz w:val="40"/>
          <w:szCs w:val="44"/>
          <w:lang w:val="ru-RU" w:eastAsia="en-US"/>
        </w:rPr>
        <w:t>Изенгард</w:t>
      </w:r>
      <w:r>
        <w:rPr>
          <w:b/>
          <w:bCs/>
          <w:color w:val="000000"/>
          <w:sz w:val="40"/>
          <w:szCs w:val="44"/>
          <w:lang w:eastAsia="en-US"/>
        </w:rPr>
        <w:t>»</w:t>
      </w:r>
    </w:p>
    <w:p>
      <w:pPr>
        <w:pStyle w:val="Normal"/>
        <w:spacing w:lineRule="auto" w:line="360" w:before="0" w:after="0"/>
        <w:jc w:val="center"/>
        <w:rPr>
          <w:b/>
          <w:bCs/>
          <w:color w:val="000000"/>
          <w:sz w:val="40"/>
          <w:szCs w:val="44"/>
          <w:lang w:eastAsia="en-US"/>
        </w:rPr>
      </w:pPr>
      <w:r>
        <w:rPr>
          <w:b/>
          <w:bCs/>
          <w:color w:val="000000"/>
          <w:sz w:val="40"/>
          <w:szCs w:val="44"/>
          <w:lang w:eastAsia="en-US"/>
        </w:rPr>
      </w:r>
    </w:p>
    <w:p>
      <w:pPr>
        <w:pStyle w:val="Normal"/>
        <w:spacing w:lineRule="auto" w:line="360" w:before="0" w:after="0"/>
        <w:jc w:val="center"/>
        <w:rPr>
          <w:bCs/>
          <w:color w:val="000000"/>
          <w:sz w:val="32"/>
          <w:szCs w:val="32"/>
          <w:lang w:eastAsia="en-US"/>
        </w:rPr>
      </w:pPr>
      <w:r>
        <w:rPr>
          <w:bCs/>
          <w:color w:val="000000"/>
          <w:sz w:val="32"/>
          <w:szCs w:val="32"/>
          <w:lang w:eastAsia="en-US"/>
        </w:rPr>
        <w:t>ТЕХНИЧЕСКОЕ ЗАДАНИЕ</w:t>
      </w:r>
    </w:p>
    <w:p>
      <w:pPr>
        <w:pStyle w:val="Normal"/>
        <w:spacing w:lineRule="auto" w:line="360" w:before="0" w:after="0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</w:r>
    </w:p>
    <w:p>
      <w:pPr>
        <w:pStyle w:val="Normal"/>
        <w:tabs>
          <w:tab w:val="clear" w:pos="708"/>
          <w:tab w:val="left" w:pos="6804" w:leader="none"/>
        </w:tabs>
        <w:spacing w:lineRule="auto" w:line="240" w:before="0" w:after="0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Исполнитель</w:t>
      </w:r>
      <w:r>
        <w:rPr>
          <w:b/>
          <w:color w:val="000000"/>
          <w:sz w:val="28"/>
          <w:szCs w:val="22"/>
          <w:lang w:eastAsia="en-US"/>
        </w:rPr>
        <w:t xml:space="preserve"> –</w:t>
      </w:r>
      <w:r>
        <w:rPr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color w:val="000000"/>
          <w:sz w:val="28"/>
          <w:szCs w:val="22"/>
          <w:u w:val="single"/>
          <w:lang w:eastAsia="en-US"/>
        </w:rPr>
        <w:tab/>
        <w:t>4-МВ-4</w:t>
        <w:tab/>
        <w:tab/>
      </w:r>
    </w:p>
    <w:p>
      <w:pPr>
        <w:pStyle w:val="Normal"/>
        <w:tabs>
          <w:tab w:val="clear" w:pos="708"/>
          <w:tab w:val="left" w:pos="6946" w:leader="none"/>
        </w:tabs>
        <w:spacing w:lineRule="auto" w:line="240" w:before="0" w:after="0"/>
        <w:ind w:firstLine="7088"/>
        <w:jc w:val="both"/>
        <w:rPr>
          <w:color w:val="000000"/>
          <w:lang w:eastAsia="en-US"/>
        </w:rPr>
      </w:pPr>
      <w:r>
        <w:rPr>
          <w:color w:val="000000"/>
          <w:lang w:eastAsia="en-US"/>
        </w:rPr>
        <w:t>(группа)</w:t>
      </w:r>
      <w:bookmarkEnd w:id="0"/>
    </w:p>
    <w:p>
      <w:pPr>
        <w:pStyle w:val="Normal"/>
        <w:tabs>
          <w:tab w:val="clear" w:pos="708"/>
          <w:tab w:val="left" w:pos="2552" w:leader="none"/>
          <w:tab w:val="left" w:pos="7938" w:leader="none"/>
        </w:tabs>
        <w:spacing w:lineRule="auto" w:line="240" w:before="0" w:after="0"/>
        <w:rPr>
          <w:color w:val="000000"/>
          <w:sz w:val="28"/>
          <w:szCs w:val="28"/>
          <w:u w:val="single"/>
          <w:lang w:eastAsia="en-US"/>
        </w:rPr>
      </w:pPr>
      <w:r>
        <w:rPr>
          <w:color w:val="000000"/>
          <w:u w:val="single"/>
          <w:lang w:eastAsia="en-US"/>
        </w:rPr>
        <w:tab/>
      </w:r>
      <w:r>
        <w:rPr>
          <w:color w:val="000000"/>
          <w:sz w:val="28"/>
          <w:szCs w:val="22"/>
          <w:u w:val="single"/>
          <w:lang w:eastAsia="en-US"/>
        </w:rPr>
        <w:t>Крупницкий Савва Алексеевич</w:t>
      </w:r>
      <w:r>
        <w:rPr>
          <w:color w:val="000000"/>
          <w:sz w:val="28"/>
          <w:szCs w:val="28"/>
          <w:u w:val="single"/>
          <w:lang w:eastAsia="en-US"/>
        </w:rPr>
        <w:tab/>
        <w:tab/>
        <w:tab/>
      </w:r>
    </w:p>
    <w:p>
      <w:pPr>
        <w:pStyle w:val="Normal"/>
        <w:tabs>
          <w:tab w:val="clear" w:pos="708"/>
          <w:tab w:val="left" w:pos="2552" w:leader="none"/>
          <w:tab w:val="left" w:pos="7938" w:leader="none"/>
        </w:tabs>
        <w:spacing w:lineRule="auto" w:line="240" w:before="0" w:after="0"/>
        <w:ind w:firstLine="851"/>
        <w:rPr>
          <w:color w:val="000000"/>
          <w:lang w:eastAsia="en-US"/>
        </w:rPr>
      </w:pPr>
      <w:r>
        <w:rPr>
          <w:color w:val="000000"/>
          <w:lang w:eastAsia="en-US"/>
        </w:rPr>
        <w:tab/>
        <w:t>(фамилия, имя, отчество)</w:t>
      </w:r>
    </w:p>
    <w:p>
      <w:pPr>
        <w:pStyle w:val="Normal"/>
        <w:tabs>
          <w:tab w:val="clear" w:pos="708"/>
          <w:tab w:val="left" w:pos="2552" w:leader="none"/>
          <w:tab w:val="left" w:pos="7938" w:leader="none"/>
        </w:tabs>
        <w:spacing w:lineRule="auto" w:line="240" w:before="0" w:after="0"/>
        <w:ind w:firstLine="851"/>
        <w:rPr>
          <w:color w:val="000000"/>
          <w:lang w:eastAsia="en-US"/>
        </w:rPr>
      </w:pPr>
      <w:r>
        <w:rPr>
          <w:color w:val="000000"/>
          <w:lang w:eastAsia="en-US"/>
        </w:rPr>
      </w:r>
    </w:p>
    <w:p>
      <w:pPr>
        <w:pStyle w:val="Normal"/>
        <w:tabs>
          <w:tab w:val="clear" w:pos="708"/>
          <w:tab w:val="left" w:pos="9354" w:leader="none"/>
        </w:tabs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  <w:lang w:eastAsia="en-US"/>
        </w:rPr>
        <w:t xml:space="preserve"> </w:t>
      </w:r>
    </w:p>
    <w:p>
      <w:pPr>
        <w:pStyle w:val="Normal"/>
        <w:tabs>
          <w:tab w:val="clear" w:pos="708"/>
          <w:tab w:val="left" w:pos="9354" w:leader="none"/>
        </w:tabs>
        <w:spacing w:lineRule="auto" w:line="360" w:before="0" w:after="0"/>
        <w:rPr>
          <w:sz w:val="28"/>
          <w:szCs w:val="28"/>
          <w:u w:val="single"/>
          <w:lang w:eastAsia="en-US"/>
        </w:rPr>
      </w:pPr>
      <w:r>
        <w:rPr>
          <w:sz w:val="28"/>
          <w:szCs w:val="28"/>
          <w:lang w:eastAsia="en-US"/>
        </w:rPr>
        <w:t xml:space="preserve">Ссылка на макет в </w:t>
      </w:r>
      <w:r>
        <w:rPr>
          <w:sz w:val="28"/>
          <w:szCs w:val="28"/>
          <w:lang w:val="en-US" w:eastAsia="en-US"/>
        </w:rPr>
        <w:t>Figma</w:t>
      </w:r>
      <w:r>
        <w:rPr>
          <w:sz w:val="28"/>
          <w:szCs w:val="28"/>
          <w:lang w:eastAsia="en-US"/>
        </w:rPr>
        <w:t xml:space="preserve"> / </w:t>
      </w:r>
      <w:r>
        <w:rPr>
          <w:sz w:val="28"/>
          <w:szCs w:val="28"/>
          <w:lang w:val="en-US" w:eastAsia="en-US"/>
        </w:rPr>
        <w:t>URL</w:t>
      </w:r>
      <w:r>
        <w:rPr>
          <w:sz w:val="28"/>
          <w:szCs w:val="28"/>
          <w:lang w:eastAsia="en-US"/>
        </w:rPr>
        <w:t>:</w:t>
      </w:r>
      <w:r>
        <w:rPr>
          <w:sz w:val="28"/>
          <w:szCs w:val="28"/>
          <w:u w:val="single"/>
          <w:lang w:eastAsia="en-US"/>
        </w:rPr>
        <w:t xml:space="preserve"> </w:t>
      </w:r>
    </w:p>
    <w:p>
      <w:pPr>
        <w:pStyle w:val="Normal"/>
        <w:tabs>
          <w:tab w:val="clear" w:pos="708"/>
          <w:tab w:val="left" w:pos="9354" w:leader="none"/>
        </w:tabs>
        <w:spacing w:lineRule="auto" w:line="360" w:before="0" w:after="0"/>
        <w:rPr/>
      </w:pPr>
      <w:r>
        <w:rPr>
          <w:rStyle w:val="Hyperlink"/>
          <w:sz w:val="28"/>
          <w:szCs w:val="28"/>
        </w:rPr>
        <w:t>https://www.figma.com/design/Lk1Oq2P3bysH741uaW5GCq/</w:t>
      </w:r>
      <w:hyperlink r:id="rId2">
        <w:r>
          <w:rPr>
            <w:rStyle w:val="Hyperlink"/>
            <w:sz w:val="28"/>
            <w:szCs w:val="28"/>
          </w:rPr>
          <w:t>Изенгард-2</w:t>
        </w:r>
      </w:hyperlink>
    </w:p>
    <w:p>
      <w:pPr>
        <w:pStyle w:val="Normal"/>
        <w:tabs>
          <w:tab w:val="clear" w:pos="708"/>
          <w:tab w:val="left" w:pos="9354" w:leader="none"/>
        </w:tabs>
        <w:spacing w:lineRule="auto" w:line="360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 xml:space="preserve">Ссылка на итоговый сайт / </w:t>
      </w:r>
      <w:r>
        <w:rPr>
          <w:rFonts w:eastAsia="Calibri"/>
          <w:color w:val="000000"/>
          <w:szCs w:val="22"/>
          <w:lang w:val="en-US" w:eastAsia="en-US"/>
        </w:rPr>
        <w:t>URL</w:t>
      </w:r>
      <w:r>
        <w:rPr>
          <w:rFonts w:eastAsia="Calibri"/>
          <w:color w:val="000000"/>
          <w:szCs w:val="22"/>
          <w:lang w:eastAsia="en-US"/>
        </w:rPr>
        <w:t>:</w:t>
        <w:br/>
      </w:r>
      <w:hyperlink r:id="rId3">
        <w:r>
          <w:rPr>
            <w:rStyle w:val="Hyperlink"/>
            <w:rFonts w:eastAsia="Calibri"/>
            <w:color w:val="000000"/>
            <w:sz w:val="28"/>
            <w:szCs w:val="28"/>
            <w:lang w:eastAsia="en-US"/>
          </w:rPr>
          <w:t>https://web-design-group.github.io/final-site-Ixniyevonn/index.html</w:t>
        </w:r>
      </w:hyperlink>
    </w:p>
    <w:p>
      <w:pPr>
        <w:pStyle w:val="Normal"/>
        <w:tabs>
          <w:tab w:val="clear" w:pos="708"/>
          <w:tab w:val="left" w:pos="9354" w:leader="none"/>
        </w:tabs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9354" w:leader="none"/>
        </w:tabs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9354" w:leader="none"/>
        </w:tabs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color w:val="000000"/>
          <w:sz w:val="24"/>
          <w:szCs w:val="28"/>
          <w:lang w:eastAsia="en-US"/>
        </w:rPr>
      </w:pPr>
      <w:r>
        <w:rPr>
          <w:color w:val="000000"/>
          <w:sz w:val="24"/>
          <w:szCs w:val="28"/>
          <w:lang w:eastAsia="en-US"/>
        </w:rPr>
        <w:t>Санкт-Петербург</w:t>
      </w:r>
    </w:p>
    <w:p>
      <w:pPr>
        <w:pStyle w:val="Normal"/>
        <w:spacing w:lineRule="auto" w:line="360" w:before="0" w:after="0"/>
        <w:jc w:val="center"/>
        <w:rPr>
          <w:sz w:val="32"/>
          <w:szCs w:val="32"/>
        </w:rPr>
      </w:pPr>
      <w:bookmarkStart w:id="1" w:name="_Hlk184607020"/>
      <w:r>
        <w:rPr>
          <w:sz w:val="24"/>
          <w:szCs w:val="28"/>
          <w:lang w:eastAsia="en-US"/>
        </w:rPr>
        <w:t>202</w:t>
      </w:r>
      <w:bookmarkEnd w:id="1"/>
      <w:r>
        <w:rPr>
          <w:sz w:val="24"/>
          <w:szCs w:val="28"/>
          <w:lang w:eastAsia="en-US"/>
        </w:rPr>
        <w:t>5</w:t>
      </w:r>
      <w:r>
        <w:br w:type="page"/>
      </w:r>
    </w:p>
    <w:p>
      <w:pPr>
        <w:pStyle w:val="13"/>
        <w:spacing w:before="0" w:after="0"/>
        <w:rPr/>
      </w:pPr>
      <w:r>
        <w:rPr/>
        <w:t>СОДЕРЖАНИЕ</w:t>
      </w:r>
    </w:p>
    <w:p>
      <w:pPr>
        <w:pStyle w:val="Style16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7"/>
              <w:tab w:val="right" w:pos="935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1613_2423909492">
            <w:r>
              <w:rPr>
                <w:rStyle w:val="IndexLink"/>
              </w:rPr>
              <w:t>ВВЕДЕНИЕ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347"/>
              <w:tab w:val="right" w:pos="9353" w:leader="dot"/>
            </w:tabs>
            <w:rPr/>
          </w:pPr>
          <w:hyperlink w:anchor="__RefHeading___Toc11615_2423909492">
            <w:r>
              <w:rPr>
                <w:rStyle w:val="IndexLink"/>
              </w:rPr>
              <w:t>1 МУДБОРД</w:t>
              <w:tab/>
              <w:t>5</w:t>
            </w:r>
          </w:hyperlink>
        </w:p>
        <w:p>
          <w:pPr>
            <w:pStyle w:val="TOC1"/>
            <w:tabs>
              <w:tab w:val="clear" w:pos="9347"/>
              <w:tab w:val="right" w:pos="9353" w:leader="dot"/>
            </w:tabs>
            <w:rPr/>
          </w:pPr>
          <w:hyperlink w:anchor="__RefHeading___Toc11617_2423909492">
            <w:r>
              <w:rPr>
                <w:rStyle w:val="IndexLink"/>
              </w:rPr>
              <w:t>2 ОБЩАЯ СТРУКТУРА САЙТА</w:t>
              <w:tab/>
              <w:t>7</w:t>
            </w:r>
          </w:hyperlink>
        </w:p>
        <w:p>
          <w:pPr>
            <w:pStyle w:val="TOC1"/>
            <w:tabs>
              <w:tab w:val="clear" w:pos="9347"/>
              <w:tab w:val="right" w:pos="9353" w:leader="dot"/>
            </w:tabs>
            <w:rPr/>
          </w:pPr>
          <w:hyperlink w:anchor="__RefHeading___Toc11619_2423909492">
            <w:r>
              <w:rPr>
                <w:rStyle w:val="IndexLink"/>
              </w:rPr>
              <w:t>3 ОПИСАНИЕ СТРАНИЦ САЙТА</w:t>
              <w:tab/>
              <w:t>8</w:t>
            </w:r>
          </w:hyperlink>
        </w:p>
        <w:p>
          <w:pPr>
            <w:pStyle w:val="TOC2"/>
            <w:tabs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2_3668578999">
            <w:r>
              <w:rPr>
                <w:rStyle w:val="IndexLink"/>
              </w:rPr>
              <w:t>3.1 Страница «Главная»</w:t>
              <w:tab/>
              <w:t>8</w:t>
            </w:r>
          </w:hyperlink>
        </w:p>
        <w:p>
          <w:pPr>
            <w:pStyle w:val="TOC2"/>
            <w:tabs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">
            <w:r>
              <w:rPr>
                <w:rStyle w:val="IndexLink"/>
              </w:rPr>
              <w:t>3.2 Страница «Экспертиза»</w:t>
              <w:tab/>
              <w:t>8</w:t>
            </w:r>
          </w:hyperlink>
        </w:p>
        <w:p>
          <w:pPr>
            <w:pStyle w:val="TOC2"/>
            <w:tabs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1">
            <w:r>
              <w:rPr>
                <w:rStyle w:val="IndexLink"/>
              </w:rPr>
              <w:t>3.3 Страница «Услуги»</w:t>
              <w:tab/>
              <w:t>9</w:t>
            </w:r>
          </w:hyperlink>
        </w:p>
        <w:p>
          <w:pPr>
            <w:pStyle w:val="TOC2"/>
            <w:tabs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2">
            <w:r>
              <w:rPr>
                <w:rStyle w:val="IndexLink"/>
              </w:rPr>
              <w:t>3.4 Страница «Инициация»</w:t>
              <w:tab/>
              <w:t>11</w:t>
            </w:r>
          </w:hyperlink>
        </w:p>
        <w:p>
          <w:pPr>
            <w:pStyle w:val="TOC2"/>
            <w:tabs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3">
            <w:r>
              <w:rPr>
                <w:rStyle w:val="IndexLink"/>
              </w:rPr>
              <w:t>3.5 Страница «Авторизация»</w:t>
              <w:tab/>
              <w:t>11</w:t>
            </w:r>
          </w:hyperlink>
        </w:p>
        <w:p>
          <w:pPr>
            <w:pStyle w:val="TOC2"/>
            <w:tabs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4">
            <w:r>
              <w:rPr>
                <w:rStyle w:val="IndexLink"/>
              </w:rPr>
              <w:t>3.6 Страница «Личный кабинет»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footerReference w:type="even" r:id="rId4"/>
              <w:footerReference w:type="default" r:id="rId5"/>
              <w:footerReference w:type="first" r:id="rId6"/>
              <w:type w:val="nextPage"/>
              <w:pgSz w:w="11906" w:h="16838"/>
              <w:pgMar w:left="1701" w:right="851" w:gutter="0" w:header="0" w:top="1134" w:footer="720" w:bottom="1134"/>
              <w:pgNumType w:start="1" w:fmt="decimal"/>
              <w:formProt w:val="false"/>
              <w:titlePg/>
              <w:textDirection w:val="lrTb"/>
              <w:docGrid w:type="default" w:linePitch="299" w:charSpace="0"/>
            </w:sectPr>
          </w:pPr>
        </w:p>
      </w:sdtContent>
    </w:sdt>
    <w:p>
      <w:pPr>
        <w:pStyle w:val="13"/>
        <w:numPr>
          <w:ilvl w:val="0"/>
          <w:numId w:val="1"/>
        </w:numPr>
        <w:ind w:hanging="0"/>
        <w:outlineLvl w:val="0"/>
        <w:rPr>
          <w:lang w:val="ru-RU"/>
        </w:rPr>
      </w:pPr>
      <w:bookmarkStart w:id="4" w:name="__RefHeading___Toc11613_2423909492"/>
      <w:bookmarkStart w:id="5" w:name="_Toc182513252"/>
      <w:bookmarkEnd w:id="4"/>
      <w:r>
        <w:rPr>
          <w:lang w:val="ru-RU"/>
        </w:rPr>
        <w:t>ВВЕДЕНИЕ</w:t>
      </w:r>
      <w:bookmarkEnd w:id="5"/>
    </w:p>
    <w:p>
      <w:pPr>
        <w:pStyle w:val="Normal"/>
        <w:rPr/>
      </w:pPr>
      <w:r>
        <w:rPr/>
      </w:r>
    </w:p>
    <w:p>
      <w:pPr>
        <w:pStyle w:val="Style16"/>
        <w:rPr/>
      </w:pPr>
      <w:r>
        <w:rPr/>
        <w:t>«Изенград» – консалтинг по вопросам конспирации проектов государственных и планетарных масштабов.</w:t>
      </w:r>
    </w:p>
    <w:p>
      <w:pPr>
        <w:pStyle w:val="Style16"/>
        <w:rPr/>
      </w:pPr>
      <w:r>
        <w:rPr/>
        <w:t>Компания предоставляет следующие услуги:</w:t>
      </w:r>
    </w:p>
    <w:p>
      <w:pPr>
        <w:pStyle w:val="Style19"/>
        <w:widowControl/>
        <w:numPr>
          <w:ilvl w:val="0"/>
          <w:numId w:val="2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Хранение и предоставление контактов подрядчиков разных видов работ и разной степени тяжести;</w:t>
      </w:r>
    </w:p>
    <w:p>
      <w:pPr>
        <w:pStyle w:val="Style19"/>
        <w:widowControl/>
        <w:numPr>
          <w:ilvl w:val="0"/>
          <w:numId w:val="2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Индивидуальная разработка многоуровневых стратегий исполнения операций в зависимости от степени сложности;</w:t>
      </w:r>
    </w:p>
    <w:p>
      <w:pPr>
        <w:pStyle w:val="Style19"/>
        <w:widowControl/>
        <w:numPr>
          <w:ilvl w:val="0"/>
          <w:numId w:val="2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Аудит уязвимостей существующих проектов, систем безопасности, рекомендации по устранению;</w:t>
      </w:r>
    </w:p>
    <w:p>
      <w:pPr>
        <w:pStyle w:val="Style19"/>
        <w:widowControl/>
        <w:numPr>
          <w:ilvl w:val="0"/>
          <w:numId w:val="2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Обучение и консультация ключевого персонала, включая психологическую подготовку и криптографическую, обучение мониторингу и управлению медиа, превентивным методам против журналистской деятельности, подготовка методам пропаганды и контрпропаганды.</w:t>
      </w:r>
    </w:p>
    <w:p>
      <w:pPr>
        <w:pStyle w:val="Style19"/>
        <w:widowControl/>
        <w:bidi w:val="0"/>
        <w:spacing w:lineRule="auto" w:line="360" w:before="0" w:after="0"/>
        <w:ind w:firstLine="737" w:start="0" w:end="0"/>
        <w:jc w:val="both"/>
        <w:rPr/>
      </w:pPr>
      <w:r>
        <w:rPr/>
        <w:t>Целевая аудитория компании:</w:t>
      </w:r>
    </w:p>
    <w:p>
      <w:pPr>
        <w:pStyle w:val="Style19"/>
        <w:widowControl/>
        <w:numPr>
          <w:ilvl w:val="0"/>
          <w:numId w:val="3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Демография: мужчины и женщины 45-70 лет;</w:t>
      </w:r>
    </w:p>
    <w:p>
      <w:pPr>
        <w:pStyle w:val="Style19"/>
        <w:widowControl/>
        <w:numPr>
          <w:ilvl w:val="0"/>
          <w:numId w:val="3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Социальный статус: владельцы, директора и акционеры крупного бизнеса, уполномоченные официальные представители государств;</w:t>
      </w:r>
    </w:p>
    <w:p>
      <w:pPr>
        <w:pStyle w:val="Style19"/>
        <w:widowControl/>
        <w:numPr>
          <w:ilvl w:val="0"/>
          <w:numId w:val="3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География: Америка, Европа и Азия, мировые океаны, внутренняя область Солнечной системы;</w:t>
      </w:r>
    </w:p>
    <w:p>
      <w:pPr>
        <w:pStyle w:val="Style19"/>
        <w:widowControl/>
        <w:numPr>
          <w:ilvl w:val="0"/>
          <w:numId w:val="3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Жизненная позиция: люди, заинтересованные в сохранении образа своей организации и/или минимизации репутационных потерь в процессе ее деятельности, заинтересованные в защите от промышленного и государственного шпионажа, а также в защите от журналистской деятельности;</w:t>
      </w:r>
    </w:p>
    <w:p>
      <w:pPr>
        <w:pStyle w:val="Style19"/>
        <w:widowControl/>
        <w:numPr>
          <w:ilvl w:val="0"/>
          <w:numId w:val="3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Психографический профиль: прагматики, ориентированные на долгосрочную устойчивость.</w:t>
      </w:r>
    </w:p>
    <w:p>
      <w:pPr>
        <w:pStyle w:val="Style19"/>
        <w:widowControl/>
        <w:bidi w:val="0"/>
        <w:spacing w:lineRule="auto" w:line="360" w:before="0" w:after="0"/>
        <w:ind w:firstLine="737" w:start="0" w:end="0"/>
        <w:jc w:val="both"/>
        <w:rPr/>
      </w:pPr>
      <w:r>
        <w:rPr/>
        <w:t>Ключевые слова: конфиденциальность, контрпропаганда, репутация, дезинформация, шпионаж, медиа, бизнес операции, государственные операции.</w:t>
      </w:r>
    </w:p>
    <w:p>
      <w:pPr>
        <w:pStyle w:val="Style19"/>
        <w:widowControl/>
        <w:bidi w:val="0"/>
        <w:spacing w:lineRule="auto" w:line="360" w:before="0" w:after="0"/>
        <w:ind w:firstLine="737" w:start="0" w:end="0"/>
        <w:jc w:val="both"/>
        <w:rPr/>
      </w:pPr>
      <w:r>
        <w:rPr/>
        <w:t>Алгоритм действия пользователя для того чтобы воспользоваться услугами компании:</w:t>
      </w:r>
    </w:p>
    <w:p>
      <w:pPr>
        <w:pStyle w:val="Style19"/>
        <w:widowControl/>
        <w:numPr>
          <w:ilvl w:val="0"/>
          <w:numId w:val="4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Подать заявку на создание личного кабинета через собеседование с предоставлением документов необходимых для подтверждения статуса и верификации;</w:t>
      </w:r>
    </w:p>
    <w:p>
      <w:pPr>
        <w:pStyle w:val="Style19"/>
        <w:widowControl/>
        <w:numPr>
          <w:ilvl w:val="0"/>
          <w:numId w:val="4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Оплатить символический аванс через зашифрованный платежный шлюз;</w:t>
      </w:r>
    </w:p>
    <w:p>
      <w:pPr>
        <w:pStyle w:val="Style19"/>
        <w:widowControl/>
        <w:numPr>
          <w:ilvl w:val="0"/>
          <w:numId w:val="4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Выбрать услугу в личном кабинете, получить доступ к одноразовому конфиденциальному зашифрованному каналу связи;</w:t>
      </w:r>
    </w:p>
    <w:p>
      <w:pPr>
        <w:pStyle w:val="Style19"/>
        <w:widowControl/>
        <w:numPr>
          <w:ilvl w:val="0"/>
          <w:numId w:val="4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В канале связи описать бриф с деталями проекта (масштаб, риски, цели) или проблемы (специфика, масштаб, текущие потери и имеющиеся ресурсы);</w:t>
      </w:r>
    </w:p>
    <w:p>
      <w:pPr>
        <w:pStyle w:val="Style19"/>
        <w:widowControl/>
        <w:numPr>
          <w:ilvl w:val="0"/>
          <w:numId w:val="4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Ожидать срочной первичной консультации, получения доступа к релевантным контактам или стратегии действий;</w:t>
      </w:r>
    </w:p>
    <w:p>
      <w:pPr>
        <w:pStyle w:val="Style19"/>
        <w:widowControl/>
        <w:numPr>
          <w:ilvl w:val="0"/>
          <w:numId w:val="4"/>
        </w:numPr>
        <w:bidi w:val="0"/>
        <w:spacing w:lineRule="auto" w:line="360" w:before="0" w:after="0"/>
        <w:ind w:firstLine="737" w:start="0" w:end="0"/>
        <w:jc w:val="both"/>
        <w:rPr/>
      </w:pPr>
      <w:r>
        <w:rPr/>
        <w:t>После обсуждения деталей и внесения корректировок, ожидать полного отчёта с контактами, стратегией и рекомендациями с опцией ограниченной обратной связи для корректировок перед закрытием канала связи.</w:t>
      </w:r>
      <w:r>
        <w:br w:type="page"/>
      </w:r>
    </w:p>
    <w:p>
      <w:pPr>
        <w:pStyle w:val="14"/>
        <w:spacing w:before="0" w:after="0"/>
        <w:ind w:firstLine="709" w:start="0"/>
        <w:rPr>
          <w:lang w:val="ru-RU"/>
        </w:rPr>
      </w:pPr>
      <w:bookmarkStart w:id="6" w:name="__RefHeading___Toc11615_2423909492"/>
      <w:bookmarkStart w:id="7" w:name="_Toc182513253"/>
      <w:bookmarkEnd w:id="6"/>
      <w:r>
        <w:rPr/>
        <w:t xml:space="preserve">1 </w:t>
      </w:r>
      <w:bookmarkEnd w:id="7"/>
      <w:r>
        <w:rPr/>
        <w:t>МУДБОРД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На рисунке </w:t>
      </w:r>
      <w:r>
        <w:rPr/>
        <w:fldChar w:fldCharType="begin"/>
      </w:r>
      <w:r>
        <w:rPr/>
        <w:instrText xml:space="preserve"> REF Ref_Рисунок0_number_only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представлен мудборд сайта компании «Изенгард».</w:t>
      </w:r>
    </w:p>
    <w:p>
      <w:pPr>
        <w:pStyle w:val="Style16"/>
        <w:rPr/>
      </w:pPr>
      <w:r>
        <w:rPr/>
      </w:r>
    </w:p>
    <w:p>
      <w:pPr>
        <w:pStyle w:val="Style16"/>
        <w:ind w:hanging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075555" cy="773430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5640" cy="773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973955" cy="7427595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73955" cy="7427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8" w:name="Ref_Рисунок0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8"/>
                            <w:r>
                              <w:rPr>
                                <w:color w:val="000000"/>
                              </w:rPr>
                              <w:t xml:space="preserve"> – Мудборд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30.45pt;margin-top:0.05pt;width:399.6pt;height:608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973955" cy="7427595"/>
                            <wp:effectExtent l="0" t="0" r="0" b="0"/>
                            <wp:docPr id="4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73955" cy="7427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9" w:name="Ref_Рисунок0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9"/>
                      <w:r>
                        <w:rPr>
                          <w:color w:val="000000"/>
                        </w:rPr>
                        <w:t xml:space="preserve"> – Мудборд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16"/>
        <w:rPr/>
      </w:pPr>
      <w:r>
        <w:rPr/>
        <w:t xml:space="preserve">Исходя из мудборда в палитру желательных цветов проекта  (рисунок </w:t>
      </w:r>
      <w:r>
        <w:rPr/>
        <w:fldChar w:fldCharType="begin"/>
      </w:r>
      <w:r>
        <w:rPr/>
        <w:instrText xml:space="preserve"> REF Ref_Рисунок1_number_only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)  входят монохромные оттенки с парой акцентных цветов. </w:t>
      </w:r>
    </w:p>
    <w:p>
      <w:pPr>
        <w:pStyle w:val="Style16"/>
        <w:rPr/>
      </w:pPr>
      <w:r>
        <w:rPr/>
        <w:t xml:space="preserve">В список нежелательных цветов (рисунок </w:t>
      </w:r>
      <w:r>
        <w:rPr/>
        <w:fldChar w:fldCharType="begin"/>
      </w:r>
      <w:r>
        <w:rPr/>
        <w:instrText xml:space="preserve"> REF Ref_Рисунок2_number_only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141595" cy="3505200"/>
                <wp:effectExtent l="0" t="0" r="0" b="0"/>
                <wp:wrapSquare wrapText="largest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1520" cy="350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141595" cy="2891790"/>
                                  <wp:effectExtent l="0" t="0" r="0" b="0"/>
                                  <wp:docPr id="4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1595" cy="2891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10" w:name="Ref_Рисунок1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10"/>
                            <w:r>
                              <w:rPr>
                                <w:color w:val="000000"/>
                              </w:rPr>
                              <w:t xml:space="preserve"> – Палитра желательных цветов</w:t>
                            </w:r>
                          </w:p>
                          <w:p>
                            <w:pPr>
                              <w:pStyle w:val="Style1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27.85pt;margin-top:0.05pt;width:404.8pt;height:275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141595" cy="2891790"/>
                            <wp:effectExtent l="0" t="0" r="0" b="0"/>
                            <wp:docPr id="5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1595" cy="2891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11" w:name="Ref_Рисунок1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11"/>
                      <w:r>
                        <w:rPr>
                          <w:color w:val="000000"/>
                        </w:rPr>
                        <w:t xml:space="preserve"> – Палитра желательных цветов</w:t>
                      </w:r>
                    </w:p>
                    <w:p>
                      <w:pPr>
                        <w:pStyle w:val="Style1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149860</wp:posOffset>
                </wp:positionH>
                <wp:positionV relativeFrom="paragraph">
                  <wp:posOffset>5231765</wp:posOffset>
                </wp:positionV>
                <wp:extent cx="5815965" cy="2887345"/>
                <wp:effectExtent l="0" t="0" r="0" b="0"/>
                <wp:wrapSquare wrapText="largest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5800" cy="288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520565" cy="2270760"/>
                                  <wp:effectExtent l="0" t="0" r="0" b="0"/>
                                  <wp:docPr id="5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0" t="0" r="-11946" b="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20565" cy="2270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br/>
                              <w:t xml:space="preserve">Рисунок </w:t>
                            </w:r>
                            <w:bookmarkStart w:id="12" w:name="Ref_Рисунок2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12"/>
                            <w:r>
                              <w:rPr>
                                <w:color w:val="000000"/>
                              </w:rPr>
                              <w:t xml:space="preserve"> – Нежелательные цвета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11.8pt;margin-top:411.95pt;width:457.9pt;height:227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520565" cy="2270760"/>
                            <wp:effectExtent l="0" t="0" r="0" b="0"/>
                            <wp:docPr id="6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0" t="0" r="-11946" b="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20565" cy="2270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br/>
                        <w:t xml:space="preserve">Рисунок </w:t>
                      </w:r>
                      <w:bookmarkStart w:id="13" w:name="Ref_Рисунок2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13"/>
                      <w:r>
                        <w:rPr>
                          <w:color w:val="000000"/>
                        </w:rPr>
                        <w:t xml:space="preserve"> – Нежелательные цвета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) включены оттенки нежелательные как по стилистическим причинам, так и по идеологическим. Например, бордовый цвет недопустим ввиду нежелания ассоциаций образа компании с кровью.</w: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14"/>
        <w:ind w:firstLine="709" w:start="0"/>
        <w:rPr>
          <w:lang w:val="ru-RU"/>
        </w:rPr>
      </w:pPr>
      <w:bookmarkStart w:id="14" w:name="__RefHeading___Toc11617_2423909492"/>
      <w:bookmarkStart w:id="15" w:name="_Toc182513254"/>
      <w:bookmarkEnd w:id="14"/>
      <w:r>
        <w:rPr/>
        <w:t xml:space="preserve">2 </w:t>
      </w:r>
      <w:bookmarkEnd w:id="15"/>
      <w:r>
        <w:rPr/>
        <w:t>ОБЩАЯ СТРУКТУРА САЙТА</w:t>
      </w:r>
    </w:p>
    <w:p>
      <w:pPr>
        <w:pStyle w:val="Style16"/>
        <w:rPr/>
      </w:pPr>
      <w:r>
        <w:rPr/>
      </w:r>
    </w:p>
    <w:p>
      <w:pPr>
        <w:pStyle w:val="Style16"/>
        <w:widowControl/>
        <w:numPr>
          <w:ilvl w:val="0"/>
          <w:numId w:val="5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/>
        <w:t>Главная – общий обзор услуг и сферы деятельности;</w:t>
      </w:r>
    </w:p>
    <w:p>
      <w:pPr>
        <w:pStyle w:val="Style16"/>
        <w:widowControl/>
        <w:numPr>
          <w:ilvl w:val="0"/>
          <w:numId w:val="5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/>
        <w:t>Услуги – подробный обзор всех предлагаемых услуг;</w:t>
      </w:r>
    </w:p>
    <w:p>
      <w:pPr>
        <w:pStyle w:val="Style16"/>
        <w:widowControl/>
        <w:numPr>
          <w:ilvl w:val="0"/>
          <w:numId w:val="5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/>
        <w:t>Экспертиза – общие сведения о компетенциях;</w:t>
      </w:r>
    </w:p>
    <w:p>
      <w:pPr>
        <w:pStyle w:val="Style16"/>
        <w:widowControl/>
        <w:numPr>
          <w:ilvl w:val="0"/>
          <w:numId w:val="5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/>
        <w:t>Инициация – механизмы подачи конфиденциальных запросов;</w:t>
      </w:r>
    </w:p>
    <w:p>
      <w:pPr>
        <w:pStyle w:val="Style16"/>
        <w:widowControl/>
        <w:numPr>
          <w:ilvl w:val="0"/>
          <w:numId w:val="5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/>
        <w:t>Авторизация – форма входа в личный кабинет;</w:t>
      </w:r>
    </w:p>
    <w:p>
      <w:pPr>
        <w:pStyle w:val="Style16"/>
        <w:widowControl/>
        <w:numPr>
          <w:ilvl w:val="0"/>
          <w:numId w:val="5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/>
        <w:t>Личный кабинет - активные стратегии, отчёты, профиль, экстренные контакты.</w:t>
      </w:r>
    </w:p>
    <w:p>
      <w:pPr>
        <w:pStyle w:val="Style16"/>
        <w:widowControl/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/>
        <w:t xml:space="preserve">Схема переходов между страницами сайта предоставлена на рисунке </w:t>
      </w:r>
      <w:r>
        <w:rPr/>
        <w:fldChar w:fldCharType="begin"/>
      </w:r>
      <w:r>
        <w:rPr/>
        <w:instrText xml:space="preserve"> REF Ref_Рисунок3_number_only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-52070</wp:posOffset>
                </wp:positionH>
                <wp:positionV relativeFrom="paragraph">
                  <wp:posOffset>76200</wp:posOffset>
                </wp:positionV>
                <wp:extent cx="5815965" cy="4624705"/>
                <wp:effectExtent l="0" t="0" r="0" b="0"/>
                <wp:wrapSquare wrapText="largest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5800" cy="46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469640" cy="3395345"/>
                                  <wp:effectExtent l="0" t="0" r="0" b="0"/>
                                  <wp:docPr id="6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 l="11783" t="13075" r="14144" b="1308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69640" cy="3395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br/>
                              <w:t xml:space="preserve">Рисунок </w:t>
                            </w:r>
                            <w:bookmarkStart w:id="16" w:name="Ref_Рисунок3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16"/>
                            <w:r>
                              <w:rPr>
                                <w:color w:val="000000"/>
                              </w:rPr>
                              <w:t xml:space="preserve"> – Схема сайта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-4.1pt;margin-top:6pt;width:457.9pt;height:364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469640" cy="3395345"/>
                            <wp:effectExtent l="0" t="0" r="0" b="0"/>
                            <wp:docPr id="7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 l="11783" t="13075" r="14144" b="1308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69640" cy="3395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br/>
                        <w:t xml:space="preserve">Рисунок </w:t>
                      </w:r>
                      <w:bookmarkStart w:id="17" w:name="Ref_Рисунок3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17"/>
                      <w:r>
                        <w:rPr>
                          <w:color w:val="000000"/>
                        </w:rPr>
                        <w:t xml:space="preserve"> – Схема сайта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14"/>
        <w:spacing w:before="0" w:after="0"/>
        <w:ind w:firstLine="709" w:start="0"/>
        <w:rPr>
          <w:vanish/>
          <w:specVanish/>
        </w:rPr>
      </w:pPr>
      <w:bookmarkStart w:id="18" w:name="__RefHeading___Toc11619_2423909492"/>
      <w:bookmarkStart w:id="19" w:name="_Toc182513255"/>
      <w:bookmarkEnd w:id="18"/>
      <w:r>
        <w:rPr/>
        <w:t xml:space="preserve">3 </w:t>
      </w:r>
      <w:bookmarkEnd w:id="19"/>
      <w:r>
        <w:rPr>
          <w:lang w:val="ru-RU"/>
        </w:rPr>
        <w:t>ОПИСАНИЕ СТРАНИЦ САЙТА</w:t>
      </w:r>
    </w:p>
    <w:p>
      <w:pPr>
        <w:pStyle w:val="Normal"/>
        <w:rPr/>
      </w:pPr>
      <w:r/>
      <w:r>
        <w:rPr/>
      </w:r>
      <w:bookmarkStart w:id="20" w:name="__RefHeading___Toc11619_2423909492COPY_I"/>
      <w:bookmarkEnd w:id="20"/>
      <w:r>
        <w:rPr/>
        <w:br/>
      </w:r>
    </w:p>
    <w:p>
      <w:pPr>
        <w:pStyle w:val="22"/>
        <w:ind w:hanging="0" w:start="0"/>
        <w:rPr/>
      </w:pPr>
      <w:bookmarkStart w:id="21" w:name="__RefHeading___Toc6152_3668578999"/>
      <w:bookmarkEnd w:id="21"/>
      <w:r>
        <w:rPr/>
        <w:t>3.1 Страница «Главная»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16"/>
        <w:rPr>
          <w:lang w:val="ru-RU"/>
        </w:rPr>
      </w:pPr>
      <w:r>
        <w:rPr>
          <w:lang w:val="ru-RU"/>
        </w:rPr>
        <w:t>Главная страница сайта представляет собой шапку, в которой находится меню сайта – в нём логотип, кнопки страниц «Услуги» и «Экспертиза», а также акцентированная кнопка «Инициация», являющаяся первым шагом на пути к использованию услуг компании. Это меню в дальнейшем присутствует на всех остальных страницах в неизменном виде.</w:t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Большую часть экрана занимает слоган компании «консалтинг </w:t>
      </w:r>
      <w:r>
        <w:rPr>
          <w:b/>
          <w:bCs/>
          <w:lang w:val="ru-RU"/>
        </w:rPr>
        <w:t>масштабных</w:t>
      </w:r>
      <w:r>
        <w:rPr>
          <w:lang w:val="ru-RU"/>
        </w:rPr>
        <w:t xml:space="preserve"> операций», на заднем плане которого затененное промо-видео.</w:t>
      </w:r>
    </w:p>
    <w:p>
      <w:pPr>
        <w:pStyle w:val="Style16"/>
        <w:rPr>
          <w:lang w:val="ru-RU"/>
        </w:rPr>
      </w:pPr>
      <w:r>
        <w:rPr>
          <w:lang w:val="ru-RU"/>
        </w:rPr>
        <w:t>Если прокрутить страницу вниз, пользователю будет продемонстрирован графический список «Операции» с кратким описанием возможностей компании, словами ассоциирующимися с этими услугами, а также небольшая видео-демонстрация.</w:t>
      </w:r>
    </w:p>
    <w:p>
      <w:pPr>
        <w:pStyle w:val="Style16"/>
        <w:rPr>
          <w:lang w:val="ru-RU"/>
        </w:rPr>
      </w:pPr>
      <w:r>
        <w:rPr>
          <w:lang w:val="ru-RU"/>
        </w:rPr>
        <w:t>В списке присутствуют следующие элементы: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>
          <w:b/>
          <w:bCs/>
          <w:lang w:val="ru-RU"/>
        </w:rPr>
      </w:pPr>
      <w:r>
        <w:rPr>
          <w:b w:val="false"/>
          <w:bCs w:val="false"/>
          <w:lang w:val="ru-RU"/>
        </w:rPr>
        <w:t>НАРРАТИВ:</w:t>
      </w:r>
      <w:r>
        <w:rPr>
          <w:b/>
          <w:bCs/>
          <w:lang w:val="ru-RU"/>
        </w:rPr>
        <w:t xml:space="preserve"> </w:t>
      </w:r>
      <w:r>
        <w:rPr>
          <w:b w:val="false"/>
          <w:bCs w:val="false"/>
          <w:lang w:val="ru-RU"/>
        </w:rPr>
        <w:t>«Формирование линий повествования для защиты и процветания ваших активов»;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 w:val="false"/>
          <w:bCs w:val="false"/>
          <w:lang w:val="ru-RU"/>
        </w:rPr>
        <w:t>РЕАГИРОВАНИЕ: «П</w:t>
      </w:r>
      <w:r>
        <w:rPr/>
        <w:t>ротоколы ликвидации внешних вторжений и внутренних угроз, превентивные меры</w:t>
      </w:r>
      <w:r>
        <w:rPr>
          <w:b w:val="false"/>
          <w:bCs w:val="false"/>
          <w:lang w:val="ru-RU"/>
        </w:rPr>
        <w:t>»;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 w:val="false"/>
          <w:bCs w:val="false"/>
          <w:lang w:val="ru-RU"/>
        </w:rPr>
        <w:t>МОНИТОРИНГ: «Н</w:t>
      </w:r>
      <w:r>
        <w:rPr/>
        <w:t>аблюдение за целевыми потоками информации, предиктивный анализ</w:t>
      </w:r>
      <w:r>
        <w:rPr>
          <w:b w:val="false"/>
          <w:bCs w:val="false"/>
          <w:lang w:val="ru-RU"/>
        </w:rPr>
        <w:t>»;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 w:val="false"/>
          <w:bCs w:val="false"/>
          <w:lang w:val="ru-RU"/>
        </w:rPr>
        <w:t>ПОДГОТОВКА: «М</w:t>
      </w:r>
      <w:r>
        <w:rPr/>
        <w:t>еры по консолидации и защите ключевых элементов внутренних структур и систем»</w:t>
      </w:r>
      <w:r>
        <w:rPr>
          <w:b w:val="false"/>
          <w:bCs w:val="false"/>
          <w:lang w:val="ru-RU"/>
        </w:rPr>
        <w:t>;</w:t>
      </w:r>
    </w:p>
    <w:p>
      <w:pPr>
        <w:pStyle w:val="Style16"/>
        <w:rPr>
          <w:lang w:val="ru-RU"/>
        </w:rPr>
      </w:pPr>
      <w:r>
        <w:rPr>
          <w:lang w:val="ru-RU"/>
        </w:rPr>
        <w:t>Ниже списка – секция с промо-изображением и кнопкой предлагающей начать «Инициацию».</w:t>
      </w:r>
    </w:p>
    <w:p>
      <w:pPr>
        <w:pStyle w:val="Style16"/>
        <w:rPr>
          <w:lang w:val="ru-RU"/>
        </w:rPr>
      </w:pPr>
      <w:r>
        <w:rPr>
          <w:lang w:val="ru-RU"/>
        </w:rPr>
        <w:t>В заключении страницы футер с указателем принадлежности интеллектуальной собственности и возможностью изменить язык сайта. Футер присутствует на всех остальных страницах в неизменном виде.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22"/>
        <w:ind w:hanging="0" w:start="0"/>
        <w:rPr/>
      </w:pPr>
      <w:bookmarkStart w:id="22" w:name="__RefHeading___Toc6154_3668578999"/>
      <w:bookmarkEnd w:id="22"/>
      <w:r>
        <w:rPr/>
        <w:t>3.2 Страница «Экспертиза»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Страница «Экспертиза» представляет собой промо-материалы подтверждающие компетенцию компании в сфере предоставляемых ей услуг. Материалы сугубо символические, больше требуемые стандартами корпоративных веб-сайтов, так как целевая аудитория пользуется услугами преимущественно по рекомендации авторитетных лиц и не нуждается в доказательстве компанией ее компетенций.</w:t>
      </w:r>
    </w:p>
    <w:p>
      <w:pPr>
        <w:pStyle w:val="Style16"/>
        <w:rPr/>
      </w:pPr>
      <w:r>
        <w:rPr/>
        <w:t>На странице присутствуют два пункта с</w:t>
      </w:r>
      <w:r>
        <w:rPr>
          <w:lang w:val="ru-RU"/>
        </w:rPr>
        <w:t xml:space="preserve"> соответствующими </w:t>
      </w:r>
      <w:r>
        <w:rPr/>
        <w:t>промо-изображениями: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/>
          <w:bCs/>
          <w:lang w:val="ru-RU"/>
        </w:rPr>
        <w:t xml:space="preserve">Десятилетия опыта разработки глобальных стратегий: </w:t>
      </w:r>
      <w:r>
        <w:rPr>
          <w:b w:val="false"/>
          <w:bCs w:val="false"/>
          <w:lang w:val="ru-RU"/>
        </w:rPr>
        <w:t>«</w:t>
      </w:r>
      <w:r>
        <w:rPr/>
        <w:t>Наша команда накопила обширный опыт в создании многоуровневых схем для операций государственного и планетарного масштаба, включая интеграцию подрядчиков различных специализаций, что позволяет в реальном времени адаптировать подходы к посчитанным рискам и обеспечивать устойчивость проектов без компрометации конфиденциальности операции</w:t>
      </w:r>
      <w:r>
        <w:rPr>
          <w:b w:val="false"/>
          <w:bCs w:val="false"/>
          <w:lang w:val="ru-RU"/>
        </w:rPr>
        <w:t>»;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/>
          <w:bCs/>
          <w:lang w:val="ru-RU"/>
        </w:rPr>
        <w:t>Принципы нулевой толерантности</w:t>
      </w:r>
      <w:r>
        <w:rPr>
          <w:b w:val="false"/>
          <w:bCs w:val="false"/>
          <w:lang w:val="ru-RU"/>
        </w:rPr>
        <w:t>: «Мы строго придерживаемся всех протоколов, исключая любые следы взаимодействия, с фокусом на криптографическую защиту и психологическую подготовку персонала, что минимизирует уязвимости от шпионажа и медиа-вмешательства, гарантируя полную анонимность и сохранность данных на всех этапах консалтинга».</w:t>
      </w:r>
    </w:p>
    <w:p>
      <w:pPr>
        <w:pStyle w:val="Style16"/>
        <w:widowControl/>
        <w:numPr>
          <w:ilvl w:val="0"/>
          <w:numId w:val="0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hanging="0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22"/>
        <w:ind w:hanging="0" w:start="0"/>
        <w:rPr/>
      </w:pPr>
      <w:bookmarkStart w:id="23" w:name="__RefHeading___Toc6154_3668578999_Copy_1"/>
      <w:bookmarkEnd w:id="23"/>
      <w:r>
        <w:rPr/>
        <w:t>3.3 Страница «Услуги»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Страница «Услуги» предоставляет клиенту полный список и более исчерпывающее описание каждой услуги. Встречает страница заголовком «Операции» и текстом-интродукцией: «Изенгард предлагает комплексные решения для обеспечения конфиденциальности и устойчивости ваших масштабных систем и проектов, включая разработку стратегий, аудит рисков, погодотвку персонала, а также предоставляя доступ к массивной базе данных специализированных подрядчиков».</w:t>
      </w:r>
    </w:p>
    <w:p>
      <w:pPr>
        <w:pStyle w:val="Style16"/>
        <w:rPr/>
      </w:pPr>
      <w:r>
        <w:rPr/>
        <w:t>Затем идёт список «операций»: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/>
          <w:bCs/>
          <w:lang w:val="ru-RU"/>
        </w:rPr>
        <w:t xml:space="preserve">Управляйте нарративами повествования своих сценариев: </w:t>
      </w:r>
      <w:r>
        <w:rPr>
          <w:b w:val="false"/>
          <w:bCs w:val="false"/>
          <w:lang w:val="ru-RU"/>
        </w:rPr>
        <w:t>«</w:t>
      </w:r>
      <w:r>
        <w:rPr/>
        <w:t>В рамках услуги по индивидуальной разработке многоуровневых стратегий мы помогает создавать контроллируемые нарративы, чтобы максировать нежелательную информацию, распространить предпочитаемый шум и укрепить репутацию организации минимизируя риски ваших операций</w:t>
      </w:r>
      <w:r>
        <w:rPr>
          <w:b w:val="false"/>
          <w:bCs w:val="false"/>
          <w:lang w:val="ru-RU"/>
        </w:rPr>
        <w:t>»;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/>
          <w:bCs/>
          <w:lang w:val="ru-RU"/>
        </w:rPr>
        <w:t>Протоколы ликвидации вторжений и внутренних угроз:</w:t>
      </w:r>
      <w:r>
        <w:rPr>
          <w:b w:val="false"/>
          <w:bCs w:val="false"/>
          <w:lang w:val="ru-RU"/>
        </w:rPr>
        <w:t xml:space="preserve"> «</w:t>
      </w:r>
      <w:r>
        <w:rPr/>
        <w:t>Через аудит уязвимостей существующих проектов и систем безопасности мы выявляем слабые места, точки отказа, предлагаем рекомендации по их устранению и разрабатываем реактивные протоколы, такие как превентивные методы противодействия журналистской деятельности и шпионажа, обеспечивая оперативную нейтрализацию угроз не оставляя следов</w:t>
      </w:r>
      <w:r>
        <w:rPr>
          <w:b w:val="false"/>
          <w:bCs w:val="false"/>
          <w:lang w:val="ru-RU"/>
        </w:rPr>
        <w:t>»;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/>
          <w:bCs/>
          <w:lang w:val="ru-RU"/>
        </w:rPr>
        <w:t>Наблюдение за потоками информации и целями:</w:t>
      </w:r>
      <w:r>
        <w:rPr>
          <w:b w:val="false"/>
          <w:bCs w:val="false"/>
          <w:lang w:val="ru-RU"/>
        </w:rPr>
        <w:t xml:space="preserve"> «Наша услуга по обучению мониторингу и управлению медиа включает настройку систем слежения за информационным полем, анализ потенциальных утечек информации, а также предиктивные модели для прогнозирования рисков, для коррекции стратегии и сохранения конфиденциальности операций»;</w:t>
      </w:r>
    </w:p>
    <w:p>
      <w:pPr>
        <w:pStyle w:val="Style16"/>
        <w:widowControl/>
        <w:numPr>
          <w:ilvl w:val="0"/>
          <w:numId w:val="6"/>
        </w:numPr>
        <w:tabs>
          <w:tab w:val="clear" w:pos="708"/>
          <w:tab w:val="left" w:pos="1129" w:leader="none"/>
        </w:tabs>
        <w:bidi w:val="0"/>
        <w:spacing w:lineRule="auto" w:line="360" w:before="0" w:after="0"/>
        <w:ind w:firstLine="737" w:start="0" w:end="0"/>
        <w:jc w:val="both"/>
        <w:rPr/>
      </w:pPr>
      <w:r>
        <w:rPr>
          <w:b/>
          <w:bCs/>
          <w:lang w:val="ru-RU"/>
        </w:rPr>
        <w:t>Укрепление внутренней структуры базовыми мерами и ресурсами:</w:t>
      </w:r>
      <w:r>
        <w:rPr>
          <w:b w:val="false"/>
          <w:bCs w:val="false"/>
          <w:lang w:val="ru-RU"/>
        </w:rPr>
        <w:t xml:space="preserve"> «</w:t>
      </w:r>
      <w:r>
        <w:rPr/>
        <w:t>Мы предоставляем хранение и доступ к контактам подрядчиков различной специализации, а также обучение ключевого персонала, включая психологическую, криптографическую подогтовку и не только, для создания устойчивых внутренних структур, минимизации репутационных и финансовых потерь, и обеспечения долгосрочной защиты от внешних вмешательств»</w:t>
      </w:r>
      <w:r>
        <w:rPr>
          <w:b w:val="false"/>
          <w:bCs w:val="false"/>
          <w:lang w:val="ru-RU"/>
        </w:rPr>
        <w:t>;</w:t>
      </w:r>
    </w:p>
    <w:p>
      <w:pPr>
        <w:pStyle w:val="231"/>
        <w:numPr>
          <w:ilvl w:val="0"/>
          <w:numId w:val="0"/>
        </w:numPr>
        <w:ind w:hanging="0" w:start="737"/>
        <w:jc w:val="start"/>
        <w:rPr/>
      </w:pPr>
      <w:r>
        <w:rPr/>
      </w:r>
      <w:r>
        <w:br w:type="page"/>
      </w:r>
    </w:p>
    <w:p>
      <w:pPr>
        <w:pStyle w:val="22"/>
        <w:spacing w:before="0" w:after="0"/>
        <w:ind w:hanging="0" w:start="0"/>
        <w:rPr/>
      </w:pPr>
      <w:bookmarkStart w:id="24" w:name="__RefHeading___Toc6154_3668578999_Copy_2"/>
      <w:bookmarkEnd w:id="24"/>
      <w:r>
        <w:rPr/>
        <w:t>3.4 Страница «Инициация»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Страница «Инициация» является основным инструментом общения клиента со специалистами компании. Страница представляет собой высокотехнологичный зашифрованный канал связи в форме чата. Протоколы шифрования проходят проверки всех международных стандартов и внутренних корпоративных. Чат состоит из двух блоков: прокручиваемая история сообщений (актуальная только на момент текущей сессии) и текст-бокс для ввода сообщений. </w:t>
      </w:r>
    </w:p>
    <w:p>
      <w:pPr>
        <w:pStyle w:val="Style16"/>
        <w:rPr/>
      </w:pPr>
      <w:r>
        <w:rPr/>
        <w:t>В процессе общения со специалистом компании с клиентом обсуждаются все необходимые операции и услуги, затем ему передается ключ авторизации, который будет необходим на странице «Авторизация», где клиент сможет отслеживать успех и состояние своих операций, а также получать все необходимые отчеты.</w:t>
      </w:r>
    </w:p>
    <w:p>
      <w:pPr>
        <w:pStyle w:val="Style16"/>
        <w:ind w:hanging="0" w:start="737"/>
        <w:rPr/>
      </w:pPr>
      <w:r>
        <w:rPr/>
      </w:r>
    </w:p>
    <w:p>
      <w:pPr>
        <w:pStyle w:val="22"/>
        <w:ind w:hanging="0" w:start="0"/>
        <w:rPr/>
      </w:pPr>
      <w:bookmarkStart w:id="25" w:name="__RefHeading___Toc6154_3668578999_Copy_3"/>
      <w:bookmarkEnd w:id="25"/>
      <w:r>
        <w:rPr/>
        <w:t>3.5 Страница «Авторизация»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Страница «Авторизация» является последним шагом клиента на пути к его личному кабинету. Здесь клиенту предлагается форма для ввода его ключа доступа состоящего из 24 слов, либо перейти на страницу «Инициация» для получения собственного ключа.</w:t>
      </w:r>
    </w:p>
    <w:p>
      <w:pPr>
        <w:pStyle w:val="Style16"/>
        <w:ind w:hanging="0" w:start="737"/>
        <w:rPr/>
      </w:pPr>
      <w:r>
        <w:rPr/>
      </w:r>
    </w:p>
    <w:p>
      <w:pPr>
        <w:pStyle w:val="22"/>
        <w:ind w:hanging="0" w:start="0"/>
        <w:rPr/>
      </w:pPr>
      <w:bookmarkStart w:id="26" w:name="__RefHeading___Toc6154_3668578999_Copy_4"/>
      <w:bookmarkEnd w:id="26"/>
      <w:r>
        <w:rPr/>
        <w:t>3.6 Страница «Личный кабинет»</w:t>
      </w:r>
    </w:p>
    <w:p>
      <w:pPr>
        <w:pStyle w:val="Style16"/>
        <w:ind w:hanging="0" w:start="737"/>
        <w:rPr/>
      </w:pPr>
      <w:r>
        <w:rPr/>
      </w:r>
    </w:p>
    <w:p>
      <w:pPr>
        <w:pStyle w:val="Style16"/>
        <w:rPr/>
      </w:pPr>
      <w:r>
        <w:rPr/>
        <w:t xml:space="preserve">На странице «Личный кабинет» пользователем осуществляется использование предоставляемых ему услуг. </w:t>
      </w:r>
    </w:p>
    <w:p>
      <w:pPr>
        <w:pStyle w:val="Style16"/>
        <w:rPr/>
      </w:pPr>
      <w:r>
        <w:rPr/>
        <w:t>Здесь клиент может ознакомиться с действующими (активными) стратегиями, реализуемыми компанией «Изенгард» и ее подрядчиками, просмотреть все необходимые ему отчёты, перейти в свой профиль, чтобы ознакомиться со своими данными – всё это присутствует на первой панели страницы.</w:t>
      </w:r>
    </w:p>
    <w:p>
      <w:pPr>
        <w:pStyle w:val="Style16"/>
        <w:rPr/>
      </w:pPr>
      <w:r>
        <w:rPr/>
        <w:t>Следующая панель – номер сессии, необходимый для подтверждения статуса зашифрованного соединения, а справа от него – кнопка для перехода на страницу «Инициация» в зашифрованный канал связи для обсуждения предоставляемых услуг или их оплаты.</w:t>
      </w:r>
    </w:p>
    <w:p>
      <w:pPr>
        <w:pStyle w:val="Style16"/>
        <w:rPr/>
      </w:pPr>
      <w:r>
        <w:rPr/>
        <w:t xml:space="preserve">Ниже – большая таблица «Экстренные контакты», состоящая из трёх столбцов: специализация, название организации и контакт связи (это может быть как телефон, так и </w:t>
      </w:r>
      <w:r>
        <w:rPr>
          <w:lang w:val="ru-RU"/>
        </w:rPr>
        <w:t xml:space="preserve">индивидуальный интернет-адрес </w:t>
      </w:r>
      <w:r>
        <w:rPr>
          <w:lang w:val="en-US"/>
        </w:rPr>
        <w:t>IP</w:t>
      </w:r>
      <w:r>
        <w:rPr>
          <w:lang w:val="ru-RU"/>
        </w:rPr>
        <w:t>)</w:t>
      </w:r>
      <w:r>
        <w:rPr/>
        <w:t>. Контакты находящиеся в таблице являются актуальными непосредственно с клиентом: являются исполнителями задач его стратегий или числятся в списке компаний, которые могут потребоваться в кризисных ситуациях, согласно предиктивному анализу компании «Изенгард».</w:t>
      </w:r>
    </w:p>
    <w:p>
      <w:pPr>
        <w:pStyle w:val="Style16"/>
        <w:rPr/>
      </w:pPr>
      <w:r>
        <w:rPr/>
        <w:t>Если контакт организации не является персональным, клиенту предоставляется услуга «проксированного обращения», позволяющая воспользоваться публичными контактами связи не дискредитируя собственную анонимность. Для этого необходимо выбрать соответствующую организацию в таблице и нажать кнопку «Проксированное обращение» ниже таблицы.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843" w:right="850" w:gutter="0" w:header="708" w:top="1134" w:footer="708" w:bottom="1134"/>
      <w:pgNumType w:start="3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bookmarkStart w:id="2" w:name="PageNumWizard_FOOTER_Default_Page_Style4"/>
    <w:bookmarkStart w:id="3" w:name="PageNumWizard_FOOTER_Default_Page_Style4"/>
    <w:bookmarkEnd w:id="3"/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/>
        <w:sz w:val="28"/>
        <w:szCs w:val="28"/>
      </w:rPr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27" w:name="PageNumWizard_FOOTER_Footer6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27"/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mbria" w:hAnsi="Cambria" w:eastAsia="Calibri" w:cs="Tahoma"/>
      <w:color w:themeColor="accent1" w:themeShade="bf" w:val="365F91"/>
      <w:sz w:val="32"/>
      <w:szCs w:val="32"/>
    </w:rPr>
  </w:style>
  <w:style w:type="character" w:styleId="DefaultParagraphFont">
    <w:name w:val="Default Paragraph Font"/>
    <w:qFormat/>
    <w:rPr/>
  </w:style>
  <w:style w:type="character" w:styleId="Style13">
    <w:name w:val="Нижний колонтитул Знак"/>
    <w:basedOn w:val="DefaultParagraphFont"/>
    <w:link w:val="Footer"/>
    <w:qFormat/>
    <w:rPr>
      <w:rFonts w:ascii="Arial" w:hAnsi="Arial" w:eastAsia="Arial" w:cs="Arial"/>
      <w:lang w:val="ru-RU" w:eastAsia="ru-RU"/>
    </w:rPr>
  </w:style>
  <w:style w:type="character" w:styleId="1">
    <w:name w:val="Заголовок 1 уровня Знак"/>
    <w:basedOn w:val="DefaultParagraphFont"/>
    <w:link w:val="13"/>
    <w:qFormat/>
    <w:rPr>
      <w:rFonts w:ascii="Times New Roman" w:hAnsi="Times New Roman" w:eastAsia="Times New Roman" w:cs="Times New Roman"/>
      <w:b/>
      <w:sz w:val="28"/>
      <w:szCs w:val="28"/>
      <w:lang w:val="ru-RU" w:eastAsia="ru-RU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23">
    <w:name w:val="Подзаголовки 2 и 3 Знак"/>
    <w:basedOn w:val="1"/>
    <w:link w:val="231"/>
    <w:qFormat/>
    <w:rPr>
      <w:rFonts w:ascii="Times New Roman" w:hAnsi="Times New Roman" w:eastAsia="Times New Roman" w:cs="Times New Roman"/>
      <w:b/>
      <w:spacing w:val="60"/>
      <w:sz w:val="28"/>
      <w:szCs w:val="28"/>
      <w:lang w:val="ru-RU" w:eastAsia="ru-RU"/>
    </w:rPr>
  </w:style>
  <w:style w:type="character" w:styleId="11">
    <w:name w:val="Заголовок 1 Знак"/>
    <w:basedOn w:val="DefaultParagraphFont"/>
    <w:link w:val="Heading1"/>
    <w:qFormat/>
    <w:rPr>
      <w:rFonts w:ascii="Cambria" w:hAnsi="Cambria" w:eastAsia="Calibri" w:cs="Tahoma"/>
      <w:color w:themeColor="accent1" w:themeShade="bf" w:val="365F91"/>
      <w:sz w:val="32"/>
      <w:szCs w:val="32"/>
      <w:lang w:eastAsia="ru-RU"/>
    </w:rPr>
  </w:style>
  <w:style w:type="character" w:styleId="Style14">
    <w:name w:val="Текст основной Знак"/>
    <w:basedOn w:val="DefaultParagraphFont"/>
    <w:link w:val="Style16"/>
    <w:qFormat/>
    <w:rPr>
      <w:rFonts w:ascii="Times New Roman" w:hAnsi="Times New Roman" w:eastAsia="Times New Roman" w:cs="Times New Roman"/>
      <w:sz w:val="28"/>
      <w:szCs w:val="28"/>
      <w:lang w:val="ru-RU" w:eastAsia="ru-RU"/>
    </w:rPr>
  </w:style>
  <w:style w:type="character" w:styleId="12">
    <w:name w:val="1 уровень Знак"/>
    <w:basedOn w:val="1"/>
    <w:qFormat/>
    <w:rPr>
      <w:rFonts w:ascii="Times New Roman" w:hAnsi="Times New Roman" w:eastAsia="Times New Roman" w:cs="Times New Roman"/>
      <w:b/>
      <w:sz w:val="28"/>
      <w:szCs w:val="28"/>
      <w:lang w:val="ru-RU" w:eastAsia="ru-RU"/>
    </w:rPr>
  </w:style>
  <w:style w:type="character" w:styleId="2">
    <w:name w:val="Стиль2 Знак"/>
    <w:basedOn w:val="DefaultParagraphFont"/>
    <w:link w:val="21"/>
    <w:qFormat/>
    <w:rPr>
      <w:rFonts w:ascii="Times New Roman" w:hAnsi="Times New Roman" w:cs="Times New Roman"/>
      <w:sz w:val="28"/>
    </w:rPr>
  </w:style>
  <w:style w:type="character" w:styleId="Style15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ind w:firstLine="709"/>
      <w:jc w:val="both"/>
    </w:pPr>
    <w:rPr>
      <w:rFonts w:ascii="Times New Roman" w:hAnsi="Times New Roman" w:eastAsia="Arial" w:cs="Arial"/>
      <w:sz w:val="22"/>
      <w:szCs w:val="22"/>
      <w:lang w:val="ru-RU"/>
    </w:rPr>
  </w:style>
  <w:style w:type="paragraph" w:styleId="13">
    <w:name w:val="Заголовок 1 уровня"/>
    <w:basedOn w:val="Normal"/>
    <w:link w:val="1"/>
    <w:qFormat/>
    <w:pPr>
      <w:spacing w:lineRule="auto" w:line="360"/>
      <w:ind w:firstLine="709"/>
      <w:jc w:val="center"/>
    </w:pPr>
    <w:rPr>
      <w:b/>
      <w:sz w:val="28"/>
      <w:szCs w:val="28"/>
      <w:lang w:val="ru-RU"/>
    </w:rPr>
  </w:style>
  <w:style w:type="paragraph" w:styleId="231">
    <w:name w:val="Подзаголовки 2 и 3"/>
    <w:basedOn w:val="13"/>
    <w:link w:val="23"/>
    <w:qFormat/>
    <w:pPr>
      <w:numPr>
        <w:ilvl w:val="0"/>
        <w:numId w:val="0"/>
      </w:numPr>
      <w:tabs>
        <w:tab w:val="clear" w:pos="708"/>
      </w:tabs>
      <w:ind w:firstLine="709"/>
      <w:jc w:val="both"/>
      <w:outlineLvl w:val="1"/>
    </w:pPr>
    <w:rPr>
      <w:spacing w:val="6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ind w:firstLine="709"/>
      <w:jc w:val="both"/>
      <w:outlineLvl w:val="9"/>
    </w:pPr>
    <w:rPr/>
  </w:style>
  <w:style w:type="paragraph" w:styleId="TOC2">
    <w:name w:val="toc 2"/>
    <w:basedOn w:val="Normal"/>
    <w:next w:val="Normal"/>
    <w:autoRedefine/>
    <w:pPr>
      <w:widowControl/>
      <w:tabs>
        <w:tab w:val="clear" w:pos="708"/>
        <w:tab w:val="left" w:pos="1100" w:leader="none"/>
        <w:tab w:val="right" w:pos="9072" w:leader="dot"/>
      </w:tabs>
      <w:bidi w:val="0"/>
      <w:spacing w:lineRule="auto" w:line="360" w:before="0" w:after="0"/>
      <w:ind w:hanging="709" w:start="993"/>
      <w:jc w:val="start"/>
    </w:pPr>
    <w:rPr>
      <w:rFonts w:ascii="Times New Roman" w:hAnsi="Times New Roman" w:eastAsia="Calibri"/>
      <w:sz w:val="28"/>
      <w:szCs w:val="28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7" w:leader="dot"/>
      </w:tabs>
      <w:spacing w:lineRule="auto" w:line="360"/>
    </w:pPr>
    <w:rPr>
      <w:rFonts w:eastAsia="Calibri"/>
      <w:sz w:val="28"/>
      <w:szCs w:val="28"/>
    </w:rPr>
  </w:style>
  <w:style w:type="paragraph" w:styleId="Style16">
    <w:name w:val="Текст основной"/>
    <w:basedOn w:val="Normal"/>
    <w:link w:val="Style14"/>
    <w:qFormat/>
    <w:pPr>
      <w:spacing w:lineRule="auto" w:line="360"/>
      <w:ind w:firstLine="709"/>
      <w:jc w:val="both"/>
    </w:pPr>
    <w:rPr>
      <w:sz w:val="28"/>
      <w:szCs w:val="28"/>
      <w:lang w:val="ru-RU"/>
    </w:rPr>
  </w:style>
  <w:style w:type="paragraph" w:styleId="21">
    <w:name w:val="Стиль2"/>
    <w:basedOn w:val="Normal"/>
    <w:link w:val="2"/>
    <w:qFormat/>
    <w:pPr>
      <w:spacing w:lineRule="auto" w:line="360"/>
      <w:ind w:firstLine="709"/>
      <w:jc w:val="both"/>
    </w:pPr>
    <w:rPr>
      <w:rFonts w:eastAsia="Calibri"/>
      <w:sz w:val="28"/>
      <w:szCs w:val="22"/>
      <w:lang w:eastAsia="en-US"/>
    </w:rPr>
  </w:style>
  <w:style w:type="paragraph" w:styleId="Header">
    <w:name w:val="header"/>
    <w:basedOn w:val="Normal"/>
    <w:link w:val="Style1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OC3">
    <w:name w:val="toc 3"/>
    <w:basedOn w:val="IndexHeading"/>
    <w:pPr>
      <w:keepNext w:val="true"/>
      <w:suppressLineNumbers/>
      <w:tabs>
        <w:tab w:val="clear" w:pos="708"/>
        <w:tab w:val="right" w:pos="8788" w:leader="dot"/>
      </w:tabs>
      <w:suppressAutoHyphens w:val="true"/>
      <w:spacing w:lineRule="auto" w:line="276" w:before="240" w:after="120"/>
      <w:ind w:hanging="0" w:start="567"/>
      <w:jc w:val="start"/>
    </w:pPr>
    <w:rPr>
      <w:rFonts w:ascii="Liberation Sans" w:hAnsi="Liberation Sans" w:eastAsia="Microsoft YaHei" w:cs="Lucida Sans"/>
      <w:color w:val="auto"/>
      <w:sz w:val="32"/>
      <w:szCs w:val="32"/>
      <w:lang w:eastAsia="en-US"/>
    </w:rPr>
  </w:style>
  <w:style w:type="paragraph" w:styleId="TableofAuthorities">
    <w:name w:val="table of authorities"/>
    <w:basedOn w:val="IndexHeading"/>
    <w:pPr>
      <w:suppressLineNumbers/>
      <w:ind w:hanging="0" w:star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708"/>
        <w:tab w:val="right" w:pos="9354" w:leader="dot"/>
      </w:tabs>
      <w:ind w:hanging="0" w:start="0"/>
    </w:pPr>
    <w:rPr/>
  </w:style>
  <w:style w:type="paragraph" w:styleId="Style17">
    <w:name w:val="ГОСТ Источники Заголовок"/>
    <w:basedOn w:val="14"/>
    <w:qFormat/>
    <w:pPr>
      <w:tabs>
        <w:tab w:val="clear" w:pos="708"/>
      </w:tabs>
      <w:spacing w:before="0" w:after="227"/>
      <w:ind w:end="0"/>
      <w:outlineLvl w:val="9"/>
    </w:pPr>
    <w:rPr/>
  </w:style>
  <w:style w:type="paragraph" w:styleId="14">
    <w:name w:val="1 уровень"/>
    <w:basedOn w:val="13"/>
    <w:qFormat/>
    <w:pPr>
      <w:numPr>
        <w:ilvl w:val="0"/>
        <w:numId w:val="0"/>
      </w:numPr>
      <w:spacing w:before="0" w:after="0"/>
      <w:ind w:firstLine="709"/>
      <w:jc w:val="start"/>
      <w:outlineLvl w:val="0"/>
    </w:pPr>
    <w:rPr/>
  </w:style>
  <w:style w:type="paragraph" w:styleId="Style18">
    <w:name w:val="Текст основной (влево)"/>
    <w:basedOn w:val="Style16"/>
    <w:qFormat/>
    <w:pPr>
      <w:numPr>
        <w:ilvl w:val="0"/>
        <w:numId w:val="0"/>
      </w:numPr>
      <w:suppressLineNumbers/>
      <w:snapToGrid w:val="true"/>
      <w:spacing w:lineRule="auto" w:line="360" w:before="0" w:after="0"/>
      <w:ind w:firstLine="709"/>
      <w:jc w:val="start"/>
      <w:textAlignment w:val="baseline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15">
    <w:name w:val="1"/>
    <w:basedOn w:val="NormalWeb"/>
    <w:qFormat/>
    <w:pPr>
      <w:shd w:val="clear" w:fill="FFFFFF"/>
      <w:spacing w:lineRule="auto" w:line="360"/>
      <w:ind w:firstLine="708"/>
      <w:jc w:val="both"/>
    </w:pPr>
    <w:rPr>
      <w:color w:val="111111"/>
      <w:sz w:val="28"/>
      <w:szCs w:val="28"/>
    </w:rPr>
  </w:style>
  <w:style w:type="paragraph" w:styleId="Bibliography">
    <w:name w:val="Bibliography"/>
    <w:basedOn w:val="Style16"/>
    <w:qFormat/>
    <w:pPr>
      <w:keepLines w:val="false"/>
      <w:pageBreakBefore w:val="false"/>
      <w:numPr>
        <w:ilvl w:val="0"/>
        <w:numId w:val="0"/>
      </w:numPr>
      <w:tabs>
        <w:tab w:val="clear" w:pos="708"/>
        <w:tab w:val="left" w:pos="567" w:leader="none"/>
        <w:tab w:val="left" w:pos="1134" w:leader="none"/>
      </w:tabs>
      <w:suppressAutoHyphens w:val="true"/>
      <w:bidi w:val="0"/>
      <w:snapToGrid w:val="true"/>
      <w:spacing w:before="0" w:after="0"/>
      <w:ind w:firstLine="709" w:start="0" w:end="0"/>
      <w:jc w:val="start"/>
      <w:textAlignment w:val="auto"/>
    </w:pPr>
    <w:rPr/>
  </w:style>
  <w:style w:type="paragraph" w:styleId="ListContents">
    <w:name w:val="List Contents"/>
    <w:basedOn w:val="Normal"/>
    <w:qFormat/>
    <w:pPr>
      <w:ind w:start="567"/>
    </w:pPr>
    <w:rPr/>
  </w:style>
  <w:style w:type="paragraph" w:styleId="Style19">
    <w:name w:val="Список"/>
    <w:basedOn w:val="Style16"/>
    <w:qFormat/>
    <w:pPr>
      <w:widowControl/>
      <w:tabs>
        <w:tab w:val="clear" w:pos="708"/>
        <w:tab w:val="left" w:pos="1140" w:leader="none"/>
      </w:tabs>
      <w:bidi w:val="0"/>
      <w:spacing w:lineRule="auto" w:line="360" w:before="0" w:after="0"/>
      <w:ind w:firstLine="737" w:start="0" w:end="0"/>
      <w:jc w:val="both"/>
    </w:pPr>
    <w:rPr>
      <w:i w:val="false"/>
      <w:iCs w:val="false"/>
    </w:rPr>
  </w:style>
  <w:style w:type="paragraph" w:styleId="Style20">
    <w:name w:val="Рисунок"/>
    <w:basedOn w:val="Caption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22">
    <w:name w:val="2 уровень"/>
    <w:basedOn w:val="14"/>
    <w:qFormat/>
    <w:pPr>
      <w:ind w:firstLine="709" w:start="0"/>
      <w:jc w:val="start"/>
      <w:outlineLvl w:val="1"/>
    </w:pPr>
    <w:rPr>
      <w:spacing w:val="60"/>
    </w:rPr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NumberingABC">
    <w:name w:val="Numbering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igma.com/design/Lk1Oq2P3bysH741uaW5GCq/&#1048;&#1079;&#1077;&#1085;&#1075;&#1072;&#1088;&#1076;-2" TargetMode="External"/><Relationship Id="rId3" Type="http://schemas.openxmlformats.org/officeDocument/2006/relationships/hyperlink" Target="https://web-design-group.github.io/final-site-Ixniyevonn/index.html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Application>LibreOffice/25.2.3.2$Windows_X86_64 LibreOffice_project/bbb074479178df812d175f709636b368952c2ce3</Application>
  <AppVersion>15.0000</AppVersion>
  <Pages>12</Pages>
  <Words>1347</Words>
  <Characters>9935</Characters>
  <CharactersWithSpaces>11186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2024-10-16T13:19:00Z</dcterms:created>
  <dc:creator>User</dc:creator>
  <dc:description/>
  <dc:language>ru-RU</dc:language>
  <cp:lastModifiedBy/>
  <cp:lastPrinted>2025-10-15T17:39:55Z</cp:lastPrinted>
  <dcterms:modified xsi:type="dcterms:W3CDTF">2026-04-08T17:45:19Z</dcterms:modified>
  <cp:revision>368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