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38"/>
        <w:widowControl w:val="false"/>
        <w:pBdr/>
        <w:spacing/>
        <w:ind w:right="0" w:left="154"/>
        <w:jc w:val="center"/>
        <w:rPr>
          <w:b/>
          <w:color w:val="ff0000"/>
        </w:rPr>
      </w:pPr>
      <w:r>
        <mc:AlternateContent>
          <mc:Choice Requires="wpg">
            <w:drawing>
              <wp:anchor xmlns:wp="http://schemas.openxmlformats.org/drawingml/2006/wordprocessingDrawing" xmlns:wp14="http://schemas.microsoft.com/office/word/2010/wordprocessingDrawing" distT="31750" distB="31750" distL="32385" distR="31115" simplePos="0" relativeHeight="53" behindDoc="1" locked="0" layoutInCell="1" allowOverlap="1">
                <wp:simplePos x="0" y="0"/>
                <wp:positionH relativeFrom="column">
                  <wp:posOffset>-129540</wp:posOffset>
                </wp:positionH>
                <wp:positionV relativeFrom="paragraph">
                  <wp:posOffset>-297180</wp:posOffset>
                </wp:positionV>
                <wp:extent cx="6558915" cy="9823450"/>
                <wp:effectExtent l="32384" t="31750" r="31115" b="31750"/>
                <wp:wrapNone/>
                <wp:docPr id="3" name="Shape1"/>
                <wp:cNvGraphicFramePr/>
                <a:graphic xmlns:a="http://schemas.openxmlformats.org/drawingml/2006/main">
                  <a:graphicData uri="http://schemas.microsoft.com/office/word/2010/wordprocessingShape">
                    <wps:wsp>
                      <wps:cNvPr id="0" name=""/>
                      <wps:cNvSpPr/>
                      <wps:spPr bwMode="auto">
                        <a:xfrm>
                          <a:off x="0" y="0"/>
                          <a:ext cx="6558840" cy="9823320"/>
                        </a:xfrm>
                        <a:prstGeom prst="rect">
                          <a:avLst/>
                        </a:prstGeom>
                        <a:solidFill>
                          <a:srgbClr val="FFFFFF"/>
                        </a:solidFill>
                        <a:ln w="63360">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2" o:spid="_x0000_s2" o:spt="1" type="#_x0000_t1" style="position:absolute;z-index:-53;o:allowoverlap:true;o:allowincell:true;mso-position-horizontal-relative:text;margin-left:-10.20pt;mso-position-horizontal:absolute;mso-position-vertical-relative:text;margin-top:-23.40pt;mso-position-vertical:absolute;width:516.45pt;height:773.50pt;mso-wrap-distance-left:2.55pt;mso-wrap-distance-top:2.50pt;mso-wrap-distance-right:2.45pt;mso-wrap-distance-bottom:2.50pt;visibility:visible;" fillcolor="#FFFFFF" strokecolor="#000000" strokeweight="4.99pt"/>
            </w:pict>
          </mc:Fallback>
        </mc:AlternateContent>
      </w:r>
      <w:r>
        <w:rPr>
          <w:b/>
          <w:color w:val="ee0000"/>
          <w:sz w:val="16"/>
          <w:szCs w:val="16"/>
        </w:rPr>
        <w:t xml:space="preserve"> </w:t>
      </w:r>
      <w:r>
        <w:rPr>
          <w:b/>
          <w:color w:val="ee0000"/>
        </w:rPr>
        <w:t xml:space="preserve">ЧАСТНОПРАКТИКУЮЩИЙ ОЦЕНЩИК</w:t>
      </w:r>
      <w:r>
        <w:rPr>
          <w:b/>
        </w:rPr>
        <w:t xml:space="preserve"> </w:t>
      </w:r>
      <w:r>
        <w:rPr>
          <w:b/>
          <w:highlight w:val="yellow"/>
        </w:rPr>
        <w:t xml:space="preserve">${</w:t>
      </w:r>
      <w:r>
        <w:rPr>
          <w:rFonts w:eastAsia="Times New Roman" w:cs="Times New Roman"/>
          <w:b w:val="0"/>
          <w:i w:val="0"/>
          <w:caps w:val="0"/>
          <w:smallCaps w:val="0"/>
          <w:color w:val="000000"/>
          <w:spacing w:val="0"/>
          <w:highlight w:val="yellow"/>
        </w:rPr>
        <w:t xml:space="preserve">user_appraiser_name</w:t>
      </w:r>
      <w:r>
        <w:rPr>
          <w:b/>
          <w:highlight w:val="yellow"/>
        </w:rPr>
        <w:t xml:space="preserve">}</w:t>
      </w:r>
      <w:r>
        <w:rPr>
          <w:b/>
        </w:rPr>
        <w:t xml:space="preserve"> </w:t>
      </w:r>
      <w:r>
        <w:rPr>
          <w:b/>
          <w:color w:val="ff0000"/>
        </w:rPr>
      </w:r>
      <w:r>
        <w:rPr>
          <w:b/>
          <w:color w:val="ff0000"/>
        </w:rPr>
      </w:r>
    </w:p>
    <w:p>
      <w:pPr>
        <w:pStyle w:val="1038"/>
        <w:widowControl w:val="false"/>
        <w:pBdr/>
        <w:spacing/>
        <w:ind w:right="0" w:left="154"/>
        <w:jc w:val="center"/>
        <w:rPr>
          <w:b/>
          <w:sz w:val="18"/>
          <w:szCs w:val="16"/>
        </w:rPr>
      </w:pPr>
      <w:r>
        <w:rPr>
          <w:b/>
          <w:sz w:val="18"/>
          <w:szCs w:val="16"/>
          <w:highlight w:val="yellow"/>
        </w:rPr>
        <w:t xml:space="preserve">${</w:t>
      </w:r>
      <w:r>
        <w:rPr>
          <w:rFonts w:eastAsia="Times New Roman" w:cs="Times New Roman"/>
          <w:b w:val="0"/>
          <w:i w:val="0"/>
          <w:caps w:val="0"/>
          <w:smallCaps w:val="0"/>
          <w:color w:val="000000"/>
          <w:spacing w:val="0"/>
          <w:sz w:val="18"/>
          <w:szCs w:val="16"/>
          <w:highlight w:val="yellow"/>
        </w:rPr>
        <w:t xml:space="preserve">user_appraiser_address</w:t>
      </w:r>
      <w:r>
        <w:rPr>
          <w:b/>
          <w:sz w:val="18"/>
          <w:szCs w:val="16"/>
          <w:highlight w:val="yellow"/>
        </w:rPr>
        <w:t xml:space="preserve">}</w:t>
      </w:r>
      <w:r>
        <w:rPr>
          <w:b/>
          <w:sz w:val="18"/>
          <w:szCs w:val="16"/>
        </w:rPr>
        <w:t xml:space="preserve"> </w:t>
      </w:r>
      <w:r>
        <w:rPr>
          <w:b/>
          <w:sz w:val="18"/>
          <w:szCs w:val="16"/>
        </w:rPr>
      </w:r>
      <w:r>
        <w:rPr>
          <w:b/>
          <w:sz w:val="18"/>
          <w:szCs w:val="16"/>
        </w:rPr>
      </w:r>
    </w:p>
    <w:p>
      <w:pPr>
        <w:pStyle w:val="1038"/>
        <w:widowControl w:val="false"/>
        <w:pBdr/>
        <w:spacing/>
        <w:ind w:right="0" w:left="154"/>
        <w:jc w:val="center"/>
        <w:rPr>
          <w:b/>
          <w:sz w:val="18"/>
          <w:szCs w:val="16"/>
        </w:rPr>
      </w:pPr>
      <w:r>
        <w:rPr>
          <w:b/>
          <w:color w:val="ff0000"/>
          <w:sz w:val="18"/>
          <w:szCs w:val="16"/>
        </w:rPr>
        <w:t xml:space="preserve">ИНН</w:t>
      </w:r>
      <w:r>
        <w:rPr>
          <w:b/>
          <w:sz w:val="18"/>
          <w:szCs w:val="16"/>
        </w:rPr>
        <w:t xml:space="preserve"> </w:t>
      </w:r>
      <w:r>
        <w:rPr>
          <w:b/>
          <w:sz w:val="18"/>
          <w:szCs w:val="16"/>
          <w:highlight w:val="yellow"/>
        </w:rPr>
        <w:t xml:space="preserve">${</w:t>
      </w:r>
      <w:r>
        <w:rPr>
          <w:rFonts w:eastAsia="Times New Roman" w:cs="Times New Roman"/>
          <w:b w:val="0"/>
          <w:i w:val="0"/>
          <w:caps w:val="0"/>
          <w:smallCaps w:val="0"/>
          <w:color w:val="000000"/>
          <w:spacing w:val="0"/>
          <w:sz w:val="18"/>
          <w:szCs w:val="16"/>
          <w:highlight w:val="yellow"/>
        </w:rPr>
        <w:t xml:space="preserve">user_appraiser_inn</w:t>
      </w:r>
      <w:r>
        <w:rPr>
          <w:b/>
          <w:sz w:val="18"/>
          <w:szCs w:val="16"/>
          <w:highlight w:val="yellow"/>
        </w:rPr>
        <w:t xml:space="preserve">}</w:t>
      </w:r>
      <w:r>
        <w:rPr>
          <w:b/>
          <w:sz w:val="18"/>
          <w:szCs w:val="16"/>
        </w:rPr>
        <w:t xml:space="preserve">, </w:t>
      </w:r>
      <w:r>
        <w:rPr>
          <w:b/>
          <w:color w:val="ee0000"/>
          <w:sz w:val="18"/>
          <w:szCs w:val="16"/>
        </w:rPr>
        <w:t xml:space="preserve">тел</w:t>
      </w:r>
      <w:r>
        <w:rPr>
          <w:b/>
          <w:sz w:val="18"/>
          <w:szCs w:val="16"/>
        </w:rPr>
        <w:t xml:space="preserve">. </w:t>
      </w:r>
      <w:r>
        <w:rPr>
          <w:b/>
          <w:sz w:val="18"/>
          <w:szCs w:val="16"/>
          <w:highlight w:val="yellow"/>
        </w:rPr>
        <w:t xml:space="preserve">${</w:t>
      </w:r>
      <w:r>
        <w:rPr>
          <w:rFonts w:eastAsia="Times New Roman" w:cs="Times New Roman"/>
          <w:b w:val="0"/>
          <w:i w:val="0"/>
          <w:caps w:val="0"/>
          <w:smallCaps w:val="0"/>
          <w:color w:val="000000"/>
          <w:spacing w:val="0"/>
          <w:sz w:val="18"/>
          <w:szCs w:val="16"/>
          <w:highlight w:val="yellow"/>
        </w:rPr>
        <w:t xml:space="preserve">user_appraiser_phone</w:t>
      </w:r>
      <w:r>
        <w:rPr>
          <w:b/>
          <w:sz w:val="18"/>
          <w:szCs w:val="16"/>
          <w:highlight w:val="yellow"/>
        </w:rPr>
        <w:t xml:space="preserve">}</w:t>
      </w:r>
      <w:r>
        <w:rPr>
          <w:b/>
          <w:sz w:val="18"/>
          <w:szCs w:val="16"/>
        </w:rPr>
        <w:t xml:space="preserve">, </w:t>
      </w:r>
      <w:r>
        <w:rPr>
          <w:b/>
          <w:color w:val="ee0000"/>
          <w:sz w:val="18"/>
          <w:szCs w:val="16"/>
          <w:lang w:val="en-US"/>
        </w:rPr>
        <w:t xml:space="preserve">e</w:t>
      </w:r>
      <w:r>
        <w:rPr>
          <w:b/>
          <w:color w:val="ee0000"/>
          <w:sz w:val="18"/>
          <w:szCs w:val="16"/>
        </w:rPr>
        <w:t xml:space="preserve">-</w:t>
      </w:r>
      <w:r>
        <w:rPr>
          <w:b/>
          <w:color w:val="ee0000"/>
          <w:sz w:val="18"/>
          <w:szCs w:val="16"/>
          <w:lang w:val="en-US"/>
        </w:rPr>
        <w:t xml:space="preserve">mail</w:t>
      </w:r>
      <w:r>
        <w:rPr>
          <w:b/>
          <w:sz w:val="18"/>
          <w:szCs w:val="16"/>
        </w:rPr>
        <w:t xml:space="preserve">: </w:t>
      </w:r>
      <w:r>
        <w:rPr>
          <w:rStyle w:val="1089"/>
          <w:b/>
          <w:color w:val="000000"/>
          <w:sz w:val="18"/>
          <w:szCs w:val="16"/>
          <w:highlight w:val="yellow"/>
          <w:u w:val="none"/>
          <w:lang w:val="en-US"/>
        </w:rPr>
        <w:t xml:space="preserve">${</w:t>
      </w:r>
      <w:r>
        <w:rPr>
          <w:rStyle w:val="1089"/>
          <w:rFonts w:eastAsia="Times New Roman" w:cs="Times New Roman"/>
          <w:b w:val="0"/>
          <w:i w:val="0"/>
          <w:caps w:val="0"/>
          <w:smallCaps w:val="0"/>
          <w:color w:val="000000"/>
          <w:spacing w:val="0"/>
          <w:sz w:val="18"/>
          <w:szCs w:val="16"/>
          <w:highlight w:val="yellow"/>
          <w:u w:val="none"/>
          <w:lang w:val="en-US"/>
        </w:rPr>
        <w:t xml:space="preserve">user_appraiser_email</w:t>
      </w:r>
      <w:r>
        <w:rPr>
          <w:rStyle w:val="1089"/>
          <w:b/>
          <w:color w:val="000000"/>
          <w:sz w:val="18"/>
          <w:szCs w:val="16"/>
          <w:highlight w:val="yellow"/>
          <w:u w:val="none"/>
          <w:lang w:val="en-US"/>
        </w:rPr>
        <w:t xml:space="preserve">}</w:t>
      </w:r>
      <w:r>
        <w:rPr>
          <w:b/>
          <w:sz w:val="18"/>
          <w:szCs w:val="16"/>
        </w:rPr>
      </w:r>
      <w:r>
        <w:rPr>
          <w:b/>
          <w:sz w:val="18"/>
          <w:szCs w:val="16"/>
        </w:rPr>
      </w:r>
    </w:p>
    <w:p>
      <w:pPr>
        <w:pStyle w:val="1038"/>
        <w:widowControl w:val="false"/>
        <w:pBdr/>
        <w:spacing/>
        <w:ind w:right="0" w:left="154"/>
        <w:jc w:val="center"/>
        <w:rPr>
          <w:b/>
          <w:sz w:val="18"/>
          <w:szCs w:val="16"/>
        </w:rPr>
      </w:pPr>
      <w:r>
        <w:rPr>
          <w:b/>
          <w:sz w:val="18"/>
          <w:szCs w:val="16"/>
        </w:rPr>
        <w:t xml:space="preserve">________________________________________________________________________________________________________</w:t>
      </w:r>
      <w:r>
        <w:rPr>
          <w:b/>
          <w:sz w:val="18"/>
          <w:szCs w:val="16"/>
        </w:rPr>
      </w:r>
      <w:r>
        <w:rPr>
          <w:b/>
          <w:sz w:val="18"/>
          <w:szCs w:val="16"/>
        </w:rPr>
      </w:r>
    </w:p>
    <w:p>
      <w:pPr>
        <w:pStyle w:val="1038"/>
        <w:widowControl w:val="false"/>
        <w:pBdr/>
        <w:tabs>
          <w:tab w:val="left" w:leader="none" w:pos="0"/>
          <w:tab w:val="clear" w:leader="none" w:pos="709"/>
        </w:tabs>
        <w:spacing/>
        <w:ind/>
        <w:jc w:val="center"/>
        <w:rPr>
          <w:b/>
          <w:sz w:val="18"/>
          <w:szCs w:val="16"/>
        </w:rPr>
      </w:pPr>
      <w:r>
        <w:rPr>
          <w:b/>
          <w:sz w:val="18"/>
          <w:szCs w:val="16"/>
        </w:rPr>
      </w:r>
      <w:r>
        <w:rPr>
          <w:b/>
          <w:sz w:val="18"/>
          <w:szCs w:val="16"/>
        </w:rPr>
      </w:r>
      <w:r>
        <w:rPr>
          <w:b/>
          <w:sz w:val="18"/>
          <w:szCs w:val="16"/>
        </w:rPr>
      </w:r>
    </w:p>
    <w:p>
      <w:pPr>
        <w:pStyle w:val="1038"/>
        <w:widowControl w:val="false"/>
        <w:pBdr/>
        <w:spacing/>
        <w:ind/>
        <w:jc w:val="center"/>
        <w:rPr>
          <w:sz w:val="16"/>
          <w:szCs w:val="16"/>
        </w:rPr>
      </w:pPr>
      <w:r>
        <w:rPr>
          <w:sz w:val="16"/>
          <w:szCs w:val="16"/>
        </w:rPr>
      </w:r>
      <w:r>
        <w:rPr>
          <w:sz w:val="16"/>
          <w:szCs w:val="16"/>
        </w:rPr>
      </w:r>
      <w:r>
        <w:rPr>
          <w:sz w:val="16"/>
          <w:szCs w:val="16"/>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right="0" w:firstLine="1287" w:left="4473"/>
        <w:jc w:val="right"/>
        <w:rPr>
          <w:b/>
          <w:sz w:val="22"/>
          <w:szCs w:val="22"/>
        </w:rPr>
      </w:pPr>
      <w:r>
        <w:rPr>
          <w:b/>
          <w:sz w:val="22"/>
          <w:szCs w:val="22"/>
        </w:rPr>
      </w:r>
      <w:r>
        <w:rPr>
          <w:b/>
          <w:sz w:val="22"/>
          <w:szCs w:val="22"/>
        </w:rPr>
      </w:r>
      <w:r>
        <w:rPr>
          <w:b/>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22"/>
          <w:szCs w:val="22"/>
        </w:rPr>
      </w:pPr>
      <w:r>
        <w:rPr>
          <w:b/>
          <w:bCs/>
          <w:sz w:val="22"/>
          <w:szCs w:val="22"/>
        </w:rPr>
      </w:r>
      <w:r>
        <w:rPr>
          <w:b/>
          <w:bCs/>
          <w:sz w:val="22"/>
          <w:szCs w:val="22"/>
        </w:rPr>
      </w:r>
      <w:r>
        <w:rPr>
          <w:b/>
          <w:bCs/>
          <w:sz w:val="22"/>
          <w:szCs w:val="22"/>
        </w:rPr>
      </w:r>
    </w:p>
    <w:p>
      <w:pPr>
        <w:pStyle w:val="1038"/>
        <w:widowControl w:val="false"/>
        <w:pBdr/>
        <w:spacing/>
        <w:ind/>
        <w:jc w:val="center"/>
        <w:rPr>
          <w:b/>
          <w:bCs/>
          <w:sz w:val="36"/>
          <w:szCs w:val="36"/>
        </w:rPr>
      </w:pPr>
      <w:r>
        <w:rPr>
          <w:b/>
          <w:bCs/>
          <w:color w:val="ee0000"/>
          <w:sz w:val="36"/>
          <w:szCs w:val="36"/>
        </w:rPr>
        <w:t xml:space="preserve">ОТЧЕТ №</w:t>
      </w:r>
      <w:r>
        <w:rPr>
          <w:b/>
          <w:bCs/>
          <w:sz w:val="36"/>
          <w:szCs w:val="36"/>
        </w:rPr>
        <w:t xml:space="preserve"> $</w:t>
      </w:r>
      <w:r>
        <w:rPr>
          <w:b/>
          <w:bCs/>
          <w:sz w:val="36"/>
          <w:szCs w:val="36"/>
          <w:highlight w:val="yellow"/>
        </w:rPr>
        <w:t xml:space="preserve">{id}</w:t>
      </w:r>
      <w:r>
        <w:rPr>
          <w:b/>
          <w:bCs/>
          <w:sz w:val="36"/>
          <w:szCs w:val="36"/>
        </w:rPr>
      </w:r>
      <w:r>
        <w:rPr>
          <w:b/>
          <w:bCs/>
          <w:sz w:val="36"/>
          <w:szCs w:val="36"/>
        </w:rPr>
      </w:r>
    </w:p>
    <w:p>
      <w:pPr>
        <w:pStyle w:val="1139"/>
        <w:widowControl w:val="false"/>
        <w:pBdr/>
        <w:spacing/>
        <w:ind/>
        <w:rPr>
          <w:u w:val="none"/>
        </w:rPr>
      </w:pPr>
      <w:r>
        <w:rPr>
          <w:u w:val="none"/>
        </w:rPr>
        <w:t xml:space="preserve">по определению рыночной стоимости </w:t>
      </w:r>
      <w:r>
        <w:rPr>
          <w:color w:val="ee0000"/>
          <w:u w:val="none"/>
        </w:rPr>
        <w:t xml:space="preserve">транспортного средства марки (модели)</w:t>
        <w:br/>
      </w:r>
      <w:r>
        <w:rPr>
          <w:u w:val="none"/>
        </w:rPr>
        <w:t xml:space="preserve">${vehicle_brand_name}</w:t>
      </w:r>
      <w:r>
        <w:rPr>
          <w:highlight w:val="yellow"/>
          <w:u w:val="none"/>
        </w:rPr>
        <w:t xml:space="preserve"> ${vehicle_model_name}</w:t>
      </w:r>
      <w:r>
        <w:rPr>
          <w:u w:val="none"/>
        </w:rPr>
        <w:t xml:space="preserve">,</w:t>
      </w:r>
      <w:r>
        <w:rPr>
          <w:u w:val="none"/>
        </w:rPr>
      </w:r>
      <w:r>
        <w:rPr>
          <w:u w:val="none"/>
        </w:rPr>
      </w:r>
    </w:p>
    <w:p>
      <w:pPr>
        <w:pStyle w:val="1139"/>
        <w:widowControl w:val="false"/>
        <w:pBdr/>
        <w:spacing/>
        <w:ind/>
        <w:rPr>
          <w:u w:val="none"/>
        </w:rPr>
      </w:pPr>
      <w:r>
        <w:rPr>
          <w:highlight w:val="yellow"/>
          <w:u w:val="none"/>
        </w:rPr>
        <w:t xml:space="preserve">${vehicle_year}</w:t>
      </w:r>
      <w:r>
        <w:rPr>
          <w:u w:val="none"/>
        </w:rPr>
        <w:t xml:space="preserve"> </w:t>
      </w:r>
      <w:r>
        <w:rPr>
          <w:color w:val="ee0000"/>
          <w:u w:val="none"/>
        </w:rPr>
        <w:t xml:space="preserve">года выпуска</w:t>
      </w:r>
      <w:r>
        <w:rPr>
          <w:u w:val="none"/>
        </w:rPr>
        <w:t xml:space="preserve">, </w:t>
      </w:r>
      <w:r>
        <w:rPr>
          <w:color w:val="ee0000"/>
          <w:u w:val="none"/>
        </w:rPr>
        <w:t xml:space="preserve">идентификационный номер (VIN)</w:t>
      </w:r>
      <w:r>
        <w:rPr>
          <w:u w:val="none"/>
        </w:rPr>
        <w:t xml:space="preserve">: $</w:t>
      </w:r>
      <w:r>
        <w:rPr>
          <w:highlight w:val="yellow"/>
          <w:u w:val="none"/>
        </w:rPr>
        <w:t xml:space="preserve">{vehicle_vin}</w:t>
      </w:r>
      <w:r>
        <w:rPr>
          <w:u w:val="none"/>
        </w:rPr>
        <w:t xml:space="preserve">.</w:t>
      </w:r>
      <w:r>
        <w:rPr>
          <w:u w:val="none"/>
        </w:rPr>
      </w:r>
      <w:r>
        <w:rPr>
          <w:u w:val="none"/>
        </w:rPr>
      </w:r>
    </w:p>
    <w:p>
      <w:pPr>
        <w:pStyle w:val="1139"/>
        <w:widowControl w:val="false"/>
        <w:pBdr/>
        <w:spacing/>
        <w:ind w:right="0" w:firstLine="700"/>
        <w:rPr>
          <w:sz w:val="22"/>
          <w:szCs w:val="22"/>
          <w:u w:val="none"/>
        </w:rPr>
      </w:pPr>
      <w:r>
        <w:rPr>
          <w:sz w:val="22"/>
          <w:szCs w:val="22"/>
          <w:u w:val="none"/>
        </w:rPr>
      </w:r>
      <w:r>
        <w:rPr>
          <w:sz w:val="22"/>
          <w:szCs w:val="22"/>
          <w:u w:val="none"/>
        </w:rPr>
      </w:r>
      <w:r>
        <w:rPr>
          <w:sz w:val="22"/>
          <w:szCs w:val="22"/>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139"/>
        <w:widowControl w:val="false"/>
        <w:pBdr/>
        <w:spacing/>
        <w:ind/>
        <w:rPr>
          <w:u w:val="none"/>
        </w:rPr>
      </w:pPr>
      <w:r>
        <w:rPr>
          <w:u w:val="none"/>
        </w:rPr>
      </w:r>
      <w:r>
        <w:rPr>
          <w:u w:val="none"/>
        </w:rPr>
      </w:r>
      <w:r>
        <w:rPr>
          <w:u w:val="none"/>
        </w:rPr>
      </w:r>
    </w:p>
    <w:p>
      <w:pPr>
        <w:pStyle w:val="1038"/>
        <w:widowControl w:val="false"/>
        <w:pBdr/>
        <w:spacing/>
        <w:ind/>
        <w:jc w:val="right"/>
        <w:rPr/>
      </w:pPr>
      <w:r/>
      <w:r/>
    </w:p>
    <w:tbl>
      <w:tblPr>
        <w:tblW w:w="9412"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3233"/>
        <w:gridCol w:w="6179"/>
      </w:tblGrid>
      <w:tr>
        <w:trPr/>
        <w:tc>
          <w:tcPr>
            <w:tcBorders/>
            <w:tcW w:w="3233" w:type="dxa"/>
            <w:textDirection w:val="lrTb"/>
            <w:noWrap w:val="false"/>
          </w:tcPr>
          <w:p>
            <w:pPr>
              <w:pStyle w:val="1038"/>
              <w:widowControl w:val="false"/>
              <w:pBdr/>
              <w:spacing/>
              <w:ind/>
              <w:jc w:val="right"/>
              <w:rPr>
                <w:sz w:val="24"/>
                <w:szCs w:val="24"/>
              </w:rPr>
            </w:pPr>
            <w:r>
              <w:rPr>
                <w:b/>
                <w:bCs/>
                <w:color w:val="ee0000"/>
                <w:sz w:val="24"/>
                <w:szCs w:val="24"/>
              </w:rPr>
              <w:t xml:space="preserve">Заказчик</w:t>
            </w:r>
            <w:r>
              <w:rPr>
                <w:b/>
                <w:bCs/>
                <w:sz w:val="24"/>
                <w:szCs w:val="24"/>
              </w:rPr>
              <w:t xml:space="preserve">:</w:t>
            </w:r>
            <w:r>
              <w:rPr>
                <w:sz w:val="24"/>
                <w:szCs w:val="24"/>
              </w:rPr>
            </w:r>
            <w:r>
              <w:rPr>
                <w:sz w:val="24"/>
                <w:szCs w:val="24"/>
              </w:rPr>
            </w:r>
          </w:p>
        </w:tc>
        <w:tc>
          <w:tcPr>
            <w:tcBorders/>
            <w:tcW w:w="6179" w:type="dxa"/>
            <w:textDirection w:val="lrTb"/>
            <w:noWrap w:val="false"/>
          </w:tcPr>
          <w:p>
            <w:pPr>
              <w:pStyle w:val="1038"/>
              <w:widowControl w:val="false"/>
              <w:pBdr/>
              <w:spacing/>
              <w:ind/>
              <w:jc w:val="both"/>
              <w:rPr>
                <w:b/>
                <w:sz w:val="24"/>
                <w:szCs w:val="24"/>
              </w:rPr>
            </w:pPr>
            <w:r>
              <w:rPr>
                <w:b/>
                <w:bCs/>
                <w:sz w:val="24"/>
                <w:szCs w:val="24"/>
                <w:highlight w:val="yellow"/>
              </w:rPr>
              <w:t xml:space="preserve">${</w:t>
            </w:r>
            <w:r>
              <w:rPr>
                <w:rFonts w:eastAsia="Times New Roman" w:cs="Times New Roman"/>
                <w:b w:val="0"/>
                <w:bCs/>
                <w:i w:val="0"/>
                <w:caps w:val="0"/>
                <w:smallCaps w:val="0"/>
                <w:color w:val="000000"/>
                <w:spacing w:val="0"/>
                <w:sz w:val="24"/>
                <w:szCs w:val="24"/>
                <w:highlight w:val="yellow"/>
              </w:rPr>
              <w:t xml:space="preserve">customer_fullname</w:t>
            </w:r>
            <w:r>
              <w:rPr>
                <w:b/>
                <w:bCs/>
                <w:sz w:val="24"/>
                <w:szCs w:val="24"/>
                <w:highlight w:val="yellow"/>
              </w:rPr>
              <w:t xml:space="preserve">}</w:t>
            </w:r>
            <w:r>
              <w:rPr>
                <w:b/>
                <w:sz w:val="24"/>
                <w:szCs w:val="24"/>
              </w:rPr>
            </w:r>
            <w:r>
              <w:rPr>
                <w:b/>
                <w:sz w:val="24"/>
                <w:szCs w:val="24"/>
              </w:rPr>
            </w:r>
          </w:p>
        </w:tc>
      </w:tr>
      <w:tr>
        <w:trPr>
          <w:trHeight w:val="193"/>
        </w:trPr>
        <w:tc>
          <w:tcPr>
            <w:tcBorders/>
            <w:tcW w:w="3233" w:type="dxa"/>
            <w:textDirection w:val="lrTb"/>
            <w:noWrap w:val="false"/>
          </w:tcPr>
          <w:p>
            <w:pPr>
              <w:pStyle w:val="1038"/>
              <w:widowControl w:val="false"/>
              <w:pBdr/>
              <w:spacing/>
              <w:ind/>
              <w:jc w:val="right"/>
              <w:rPr>
                <w:sz w:val="24"/>
                <w:szCs w:val="24"/>
              </w:rPr>
            </w:pPr>
            <w:r>
              <w:rPr>
                <w:b/>
                <w:bCs/>
                <w:color w:val="ee0000"/>
                <w:sz w:val="24"/>
                <w:szCs w:val="24"/>
              </w:rPr>
              <w:t xml:space="preserve">Исполнитель</w:t>
            </w:r>
            <w:r>
              <w:rPr>
                <w:b/>
                <w:bCs/>
                <w:sz w:val="24"/>
                <w:szCs w:val="24"/>
              </w:rPr>
              <w:t xml:space="preserve">:</w:t>
            </w:r>
            <w:r>
              <w:rPr>
                <w:sz w:val="24"/>
                <w:szCs w:val="24"/>
              </w:rPr>
            </w:r>
            <w:r>
              <w:rPr>
                <w:sz w:val="24"/>
                <w:szCs w:val="24"/>
              </w:rPr>
            </w:r>
          </w:p>
        </w:tc>
        <w:tc>
          <w:tcPr>
            <w:tcBorders/>
            <w:tcW w:w="6179" w:type="dxa"/>
            <w:textDirection w:val="lrTb"/>
            <w:noWrap w:val="false"/>
          </w:tcPr>
          <w:p>
            <w:pPr>
              <w:pStyle w:val="1038"/>
              <w:widowControl w:val="false"/>
              <w:pBdr/>
              <w:spacing/>
              <w:ind/>
              <w:jc w:val="both"/>
              <w:rPr>
                <w:color w:val="000000"/>
                <w:sz w:val="24"/>
                <w:szCs w:val="24"/>
              </w:rPr>
            </w:pPr>
            <w:r>
              <w:rPr>
                <w:b/>
                <w:bCs/>
                <w:color w:val="000000"/>
                <w:sz w:val="24"/>
                <w:szCs w:val="24"/>
                <w:highlight w:val="yellow"/>
              </w:rPr>
              <w:t xml:space="preserve">${user_appraiser_name}</w:t>
            </w:r>
            <w:r>
              <w:rPr>
                <w:color w:val="000000"/>
                <w:sz w:val="24"/>
                <w:szCs w:val="24"/>
              </w:rPr>
            </w:r>
            <w:r>
              <w:rPr>
                <w:color w:val="000000"/>
                <w:sz w:val="24"/>
                <w:szCs w:val="24"/>
              </w:rPr>
            </w:r>
          </w:p>
        </w:tc>
      </w:tr>
      <w:tr>
        <w:trPr/>
        <w:tc>
          <w:tcPr>
            <w:tcBorders/>
            <w:tcW w:w="3233" w:type="dxa"/>
            <w:textDirection w:val="lrTb"/>
            <w:noWrap w:val="false"/>
          </w:tcPr>
          <w:p>
            <w:pPr>
              <w:pStyle w:val="1038"/>
              <w:widowControl w:val="false"/>
              <w:pBdr/>
              <w:spacing/>
              <w:ind/>
              <w:jc w:val="right"/>
              <w:rPr>
                <w:b/>
                <w:bCs/>
                <w:color w:val="ee0000"/>
                <w:sz w:val="24"/>
                <w:szCs w:val="24"/>
              </w:rPr>
            </w:pPr>
            <w:r>
              <w:rPr>
                <w:b/>
                <w:bCs/>
                <w:color w:val="ee0000"/>
                <w:sz w:val="24"/>
                <w:szCs w:val="24"/>
              </w:rPr>
              <w:t xml:space="preserve">Дата оценки:</w:t>
            </w:r>
            <w:r>
              <w:rPr>
                <w:b/>
                <w:bCs/>
                <w:color w:val="ee0000"/>
                <w:sz w:val="24"/>
                <w:szCs w:val="24"/>
              </w:rPr>
            </w:r>
            <w:r>
              <w:rPr>
                <w:b/>
                <w:bCs/>
                <w:color w:val="ee0000"/>
                <w:sz w:val="24"/>
                <w:szCs w:val="24"/>
              </w:rPr>
            </w:r>
          </w:p>
        </w:tc>
        <w:tc>
          <w:tcPr>
            <w:tcBorders/>
            <w:tcW w:w="6179" w:type="dxa"/>
            <w:textDirection w:val="lrTb"/>
            <w:noWrap w:val="false"/>
          </w:tcPr>
          <w:p>
            <w:pPr>
              <w:pStyle w:val="1038"/>
              <w:widowControl w:val="false"/>
              <w:pBdr/>
              <w:spacing/>
              <w:ind/>
              <w:jc w:val="both"/>
              <w:rPr>
                <w:b/>
                <w:bCs/>
                <w:sz w:val="24"/>
                <w:szCs w:val="24"/>
              </w:rPr>
            </w:pPr>
            <w:r>
              <w:rPr>
                <w:b/>
                <w:bCs/>
                <w:sz w:val="24"/>
                <w:szCs w:val="24"/>
                <w:highlight w:val="yellow"/>
              </w:rPr>
              <w:t xml:space="preserve">${evaluation_date}</w:t>
            </w:r>
            <w:r>
              <w:rPr>
                <w:b/>
                <w:bCs/>
                <w:sz w:val="24"/>
                <w:szCs w:val="24"/>
              </w:rPr>
            </w:r>
            <w:r>
              <w:rPr>
                <w:b/>
                <w:bCs/>
                <w:sz w:val="24"/>
                <w:szCs w:val="24"/>
              </w:rPr>
            </w:r>
          </w:p>
        </w:tc>
      </w:tr>
      <w:tr>
        <w:trPr/>
        <w:tc>
          <w:tcPr>
            <w:tcBorders/>
            <w:tcW w:w="3233" w:type="dxa"/>
            <w:textDirection w:val="lrTb"/>
            <w:noWrap w:val="false"/>
          </w:tcPr>
          <w:p>
            <w:pPr>
              <w:pStyle w:val="1038"/>
              <w:widowControl w:val="false"/>
              <w:pBdr/>
              <w:spacing/>
              <w:ind/>
              <w:jc w:val="right"/>
              <w:rPr>
                <w:b/>
                <w:bCs/>
                <w:color w:val="ee0000"/>
                <w:sz w:val="24"/>
                <w:szCs w:val="24"/>
              </w:rPr>
            </w:pPr>
            <w:r>
              <w:rPr>
                <w:b/>
                <w:bCs/>
                <w:color w:val="ee0000"/>
                <w:sz w:val="24"/>
                <w:szCs w:val="24"/>
              </w:rPr>
              <w:t xml:space="preserve">Дата составления Отчёта:</w:t>
            </w:r>
            <w:r>
              <w:rPr>
                <w:b/>
                <w:bCs/>
                <w:color w:val="ee0000"/>
                <w:sz w:val="24"/>
                <w:szCs w:val="24"/>
              </w:rPr>
            </w:r>
            <w:r>
              <w:rPr>
                <w:b/>
                <w:bCs/>
                <w:color w:val="ee0000"/>
                <w:sz w:val="24"/>
                <w:szCs w:val="24"/>
              </w:rPr>
            </w:r>
          </w:p>
        </w:tc>
        <w:tc>
          <w:tcPr>
            <w:tcBorders/>
            <w:tcW w:w="6179" w:type="dxa"/>
            <w:textDirection w:val="lrTb"/>
            <w:noWrap w:val="false"/>
          </w:tcPr>
          <w:p>
            <w:pPr>
              <w:pStyle w:val="1038"/>
              <w:widowControl w:val="false"/>
              <w:pBdr/>
              <w:spacing/>
              <w:ind/>
              <w:jc w:val="both"/>
              <w:rPr>
                <w:b/>
                <w:bCs/>
                <w:sz w:val="24"/>
                <w:szCs w:val="24"/>
              </w:rPr>
            </w:pPr>
            <w:r>
              <w:rPr>
                <w:b/>
                <w:bCs/>
                <w:sz w:val="24"/>
                <w:szCs w:val="24"/>
                <w:highlight w:val="yellow"/>
              </w:rPr>
              <w:t xml:space="preserve">${report_date}</w:t>
            </w:r>
            <w:r>
              <w:rPr>
                <w:b/>
                <w:bCs/>
                <w:sz w:val="24"/>
                <w:szCs w:val="24"/>
              </w:rPr>
            </w:r>
            <w:r>
              <w:rPr>
                <w:b/>
                <w:bCs/>
                <w:sz w:val="24"/>
                <w:szCs w:val="24"/>
              </w:rPr>
            </w:r>
          </w:p>
        </w:tc>
      </w:tr>
    </w:tbl>
    <w:p>
      <w:pPr>
        <w:pStyle w:val="1038"/>
        <w:widowControl w:val="false"/>
        <w:pBdr/>
        <w:spacing/>
        <w:ind/>
        <w:jc w:val="right"/>
        <w:rPr>
          <w:sz w:val="12"/>
          <w:szCs w:val="12"/>
        </w:rPr>
      </w:pPr>
      <w:r>
        <w:rPr>
          <w:sz w:val="12"/>
          <w:szCs w:val="12"/>
        </w:rPr>
      </w:r>
      <w:r>
        <w:rPr>
          <w:sz w:val="12"/>
          <w:szCs w:val="12"/>
        </w:rPr>
      </w:r>
      <w:r>
        <w:rPr>
          <w:sz w:val="12"/>
          <w:szCs w:val="1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lang w:val="en-US"/>
        </w:rPr>
      </w:pPr>
      <w:r>
        <w:rPr>
          <w:b/>
          <w:bCs/>
          <w:sz w:val="24"/>
          <w:szCs w:val="24"/>
          <w:lang w:val="en-US"/>
        </w:rPr>
      </w:r>
      <w:r>
        <w:rPr>
          <w:b/>
          <w:bCs/>
          <w:sz w:val="24"/>
          <w:szCs w:val="24"/>
          <w:lang w:val="en-US"/>
        </w:rPr>
      </w:r>
      <w:r>
        <w:rPr>
          <w:b/>
          <w:bCs/>
          <w:sz w:val="24"/>
          <w:szCs w:val="24"/>
          <w:lang w:val="en-US"/>
        </w:rPr>
      </w:r>
    </w:p>
    <w:p>
      <w:pPr>
        <w:pStyle w:val="1038"/>
        <w:widowControl w:val="false"/>
        <w:pBdr/>
        <w:spacing/>
        <w:ind/>
        <w:jc w:val="center"/>
        <w:rPr>
          <w:b/>
          <w:bCs/>
          <w:sz w:val="24"/>
          <w:szCs w:val="24"/>
        </w:rPr>
      </w:pPr>
      <w:r>
        <w:rPr>
          <w:b/>
          <w:bCs/>
          <w:sz w:val="24"/>
          <w:szCs w:val="24"/>
        </w:rPr>
        <w:t xml:space="preserve">Российская Федерация</w:t>
      </w:r>
      <w:r>
        <w:rPr>
          <w:b/>
          <w:bCs/>
          <w:sz w:val="24"/>
          <w:szCs w:val="24"/>
        </w:rPr>
      </w:r>
      <w:r>
        <w:rPr>
          <w:b/>
          <w:bCs/>
          <w:sz w:val="24"/>
          <w:szCs w:val="24"/>
        </w:rPr>
      </w:r>
    </w:p>
    <w:p>
      <w:pPr>
        <w:pStyle w:val="1038"/>
        <w:widowControl w:val="false"/>
        <w:pBdr/>
        <w:spacing/>
        <w:ind/>
        <w:jc w:val="center"/>
        <w:rPr>
          <w:b/>
          <w:bCs/>
          <w:sz w:val="24"/>
          <w:szCs w:val="24"/>
        </w:rPr>
      </w:pPr>
      <w:r>
        <w:rPr>
          <w:b/>
          <w:bCs/>
          <w:sz w:val="24"/>
          <w:szCs w:val="24"/>
        </w:rPr>
      </w:r>
      <w:r>
        <w:rPr>
          <w:b/>
          <w:bCs/>
          <w:sz w:val="24"/>
          <w:szCs w:val="24"/>
        </w:rPr>
      </w:r>
      <w:r>
        <w:rPr>
          <w:b/>
          <w:bCs/>
          <w:sz w:val="24"/>
          <w:szCs w:val="24"/>
        </w:rPr>
      </w:r>
    </w:p>
    <w:p>
      <w:pPr>
        <w:pStyle w:val="1038"/>
        <w:widowControl w:val="false"/>
        <w:pBdr/>
        <w:spacing/>
        <w:ind w:right="0" w:hanging="7020" w:left="7020"/>
        <w:jc w:val="both"/>
        <w:rPr>
          <w:bCs/>
          <w:i/>
          <w:iCs/>
          <w:sz w:val="16"/>
          <w:szCs w:val="16"/>
        </w:rPr>
      </w:pPr>
      <w:r>
        <w:rPr>
          <w:bCs/>
          <w:i/>
          <w:iCs/>
          <w:sz w:val="16"/>
          <w:szCs w:val="16"/>
        </w:rPr>
      </w:r>
      <w:r>
        <w:rPr>
          <w:bCs/>
          <w:i/>
          <w:iCs/>
          <w:sz w:val="16"/>
          <w:szCs w:val="16"/>
        </w:rPr>
      </w:r>
      <w:r>
        <w:rPr>
          <w:bCs/>
          <w:i/>
          <w:iCs/>
          <w:sz w:val="16"/>
          <w:szCs w:val="16"/>
        </w:rPr>
      </w:r>
    </w:p>
    <w:p>
      <w:pPr>
        <w:pStyle w:val="1038"/>
        <w:widowControl w:val="false"/>
        <w:pBdr/>
        <w:spacing/>
        <w:ind w:right="0" w:hanging="7020" w:left="7020"/>
        <w:jc w:val="center"/>
        <w:rPr>
          <w:smallCaps/>
          <w:sz w:val="28"/>
          <w:szCs w:val="16"/>
        </w:rPr>
      </w:pPr>
      <w:r>
        <w:rPr>
          <w:b/>
          <w:smallCaps/>
          <w:sz w:val="28"/>
          <w:szCs w:val="16"/>
        </w:rPr>
        <w:t xml:space="preserve">Содержание</w:t>
      </w:r>
      <w:r>
        <w:rPr>
          <w:smallCaps/>
          <w:sz w:val="28"/>
          <w:szCs w:val="16"/>
        </w:rPr>
      </w:r>
      <w:r>
        <w:rPr>
          <w:smallCaps/>
          <w:sz w:val="28"/>
          <w:szCs w:val="16"/>
        </w:rPr>
      </w:r>
    </w:p>
    <w:p>
      <w:pPr>
        <w:pStyle w:val="1169"/>
        <w:keepNext w:val="false"/>
        <w:widowControl w:val="false"/>
        <w:pBdr/>
        <w:spacing/>
        <w:ind/>
        <w:rPr>
          <w:rStyle w:val="1089"/>
          <w:rFonts w:ascii="Times New Roman" w:hAnsi="Times New Roman" w:cs="Times New Roman"/>
          <w:b/>
          <w:caps/>
          <w:color w:val="000000"/>
          <w:sz w:val="16"/>
          <w:szCs w:val="16"/>
        </w:rPr>
      </w:pPr>
      <w:r>
        <w:rPr>
          <w:rFonts w:ascii="Times New Roman" w:hAnsi="Times New Roman" w:cs="Times New Roman"/>
          <w:b/>
          <w:caps/>
          <w:color w:val="000000"/>
          <w:sz w:val="16"/>
          <w:szCs w:val="16"/>
        </w:rPr>
      </w:r>
      <w:r>
        <w:rPr>
          <w:rStyle w:val="1089"/>
          <w:rFonts w:ascii="Times New Roman" w:hAnsi="Times New Roman" w:cs="Times New Roman"/>
          <w:b/>
          <w:caps/>
          <w:color w:val="000000"/>
          <w:sz w:val="16"/>
          <w:szCs w:val="16"/>
        </w:rPr>
      </w:r>
      <w:r>
        <w:rPr>
          <w:rStyle w:val="1089"/>
          <w:rFonts w:ascii="Times New Roman" w:hAnsi="Times New Roman" w:cs="Times New Roman"/>
          <w:b/>
          <w:caps/>
          <w:color w:val="000000"/>
          <w:sz w:val="16"/>
          <w:szCs w:val="16"/>
        </w:rPr>
      </w:r>
    </w:p>
    <w:sdt>
      <w:sdtPr>
        <w15:appearance w15:val="boundingBox"/>
        <w:docPartObj>
          <w:docPartGallery w:val="Table of Contents"/>
          <w:docPartUnique w:val="true"/>
        </w:docPartObj>
        <w:rPr/>
      </w:sdtPr>
      <w:sdtContent>
        <w:p>
          <w:pPr>
            <w:pStyle w:val="1169"/>
            <w:pBdr/>
            <w:spacing/>
            <w:ind/>
            <w:rPr>
              <w:rFonts w:ascii="Times New Roman" w:hAnsi="Times New Roman" w:cs="Times New Roman"/>
              <w:b w:val="0"/>
              <w:bCs w:val="0"/>
              <w:sz w:val="20"/>
              <w:szCs w:val="20"/>
            </w:rPr>
          </w:pPr>
          <w:r>
            <w:fldChar w:fldCharType="begin"/>
          </w:r>
          <w:r>
            <w:rPr>
              <w:rStyle w:val="1138"/>
              <w:rFonts w:ascii="Times New Roman" w:hAnsi="Times New Roman" w:cs="Times New Roman"/>
              <w:vanish w:val="0"/>
              <w:sz w:val="20"/>
              <w:szCs w:val="20"/>
            </w:rPr>
            <w:instrText xml:space="preserve"> TOC \z \o "1-2" \u \h</w:instrText>
          </w:r>
          <w:r>
            <w:rPr>
              <w:rStyle w:val="1138"/>
              <w:rFonts w:ascii="Times New Roman" w:hAnsi="Times New Roman" w:cs="Times New Roman"/>
              <w:vanish w:val="0"/>
              <w:sz w:val="20"/>
              <w:szCs w:val="20"/>
            </w:rPr>
            <w:fldChar w:fldCharType="separate"/>
          </w:r>
          <w:hyperlink w:tooltip="#__RefHeading___Toc212536944" w:anchor="__RefHeading___Toc212536944" w:history="1">
            <w:r>
              <w:rPr>
                <w:rStyle w:val="1138"/>
                <w:rFonts w:ascii="Times New Roman" w:hAnsi="Times New Roman" w:cs="Times New Roman"/>
                <w:vanish w:val="0"/>
                <w:sz w:val="20"/>
                <w:szCs w:val="20"/>
              </w:rPr>
              <w:t xml:space="preserve">1. ОСНОВНЫЕ ФАКТЫ И ВЫВОДЫ</w:t>
            </w:r>
            <w:r>
              <w:rPr>
                <w:rStyle w:val="1138"/>
                <w:rFonts w:ascii="Times New Roman" w:hAnsi="Times New Roman" w:cs="Times New Roman"/>
                <w:sz w:val="20"/>
                <w:szCs w:val="20"/>
              </w:rPr>
              <w:tab/>
              <w:t xml:space="preserve">3</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45" w:anchor="__RefHeading___Toc212536945" w:history="1">
            <w:r>
              <w:rPr>
                <w:rStyle w:val="1138"/>
                <w:rFonts w:ascii="Times New Roman" w:hAnsi="Times New Roman" w:cs="Times New Roman"/>
                <w:vanish w:val="0"/>
                <w:sz w:val="20"/>
                <w:szCs w:val="20"/>
              </w:rPr>
              <w:t xml:space="preserve">2. ИНФОРМАЦИЯ, СОДЕРЖАЩАЯСЯ В ЗАДАНИИ НА ОЦЕНКУ</w:t>
              <w:tab/>
              <w:t xml:space="preserve">4</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46" w:anchor="__RefHeading___Toc212536946" w:history="1">
            <w:r>
              <w:rPr>
                <w:rStyle w:val="1138"/>
                <w:rFonts w:ascii="Times New Roman" w:hAnsi="Times New Roman" w:cs="Times New Roman"/>
                <w:vanish w:val="0"/>
                <w:sz w:val="20"/>
                <w:szCs w:val="20"/>
              </w:rPr>
              <w:t xml:space="preserve">3. СВЕДЕНИЯ О ЧАСТНОПРАКТИКУЮЩЕМ ОЦЕНЩИКЕ</w:t>
              <w:tab/>
              <w:t xml:space="preserve">6</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47" w:anchor="__RefHeading___Toc212536947" w:history="1">
            <w:r>
              <w:rPr>
                <w:rStyle w:val="1138"/>
                <w:rFonts w:ascii="Times New Roman" w:hAnsi="Times New Roman" w:cs="Times New Roman"/>
                <w:vanish w:val="0"/>
                <w:sz w:val="20"/>
                <w:szCs w:val="20"/>
              </w:rPr>
              <w:t xml:space="preserve">4. СВЕДЕНИЯ О ЗАКАЗЧИКЕ ОЦЕНКИ</w:t>
              <w:tab/>
              <w:t xml:space="preserve">6</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48" w:anchor="__RefHeading___Toc212536948" w:history="1">
            <w:r>
              <w:rPr>
                <w:rStyle w:val="1138"/>
                <w:rFonts w:ascii="Times New Roman" w:hAnsi="Times New Roman" w:cs="Times New Roman"/>
                <w:vanish w:val="0"/>
                <w:sz w:val="20"/>
                <w:szCs w:val="20"/>
              </w:rPr>
              <w:t xml:space="preserve">5. СВЕДЕНИЯ О НЕЗАВИСИМОСТИ</w:t>
              <w:tab/>
              <w:t xml:space="preserve">7</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49" w:anchor="__RefHeading___Toc212536949" w:history="1">
            <w:r>
              <w:rPr>
                <w:rStyle w:val="1138"/>
                <w:rFonts w:ascii="Times New Roman" w:hAnsi="Times New Roman" w:cs="Times New Roman"/>
                <w:vanish w:val="0"/>
                <w:sz w:val="20"/>
                <w:szCs w:val="20"/>
              </w:rPr>
              <w:t xml:space="preserve">6. СВЕДЕНИЯ О ВНЕШНИХ ОРГАНИЗАЦИЯХ И СПЕЦИАЛИСТАХ</w:t>
              <w:tab/>
              <w:t xml:space="preserve">7</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50" w:anchor="__RefHeading___Toc212536950" w:history="1">
            <w:r>
              <w:rPr>
                <w:rStyle w:val="1138"/>
                <w:rFonts w:ascii="Times New Roman" w:hAnsi="Times New Roman" w:cs="Times New Roman"/>
                <w:vanish w:val="0"/>
                <w:sz w:val="20"/>
                <w:szCs w:val="20"/>
              </w:rPr>
              <w:t xml:space="preserve">7. СТАНДАРТЫ ОЦЕНКИ И МЕТОДИЧЕСКИЕ РЕКОМЕНДАЦИИ</w:t>
              <w:tab/>
              <w:t xml:space="preserve">7</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51" w:anchor="__RefHeading___Toc212536951" w:history="1">
            <w:r>
              <w:rPr>
                <w:rStyle w:val="1138"/>
                <w:rFonts w:ascii="Times New Roman" w:hAnsi="Times New Roman" w:cs="Times New Roman"/>
                <w:vanish w:val="0"/>
                <w:sz w:val="20"/>
                <w:szCs w:val="20"/>
              </w:rPr>
              <w:t xml:space="preserve">8. ОПИСАНИЕ ОБЪЕКТА ОЦЕНКИ</w:t>
              <w:tab/>
              <w:t xml:space="preserve">8</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70"/>
            <w:pBdr/>
            <w:spacing/>
            <w:ind/>
            <w:rPr>
              <w:rFonts w:ascii="Times New Roman" w:hAnsi="Times New Roman" w:cs="Times New Roman"/>
              <w:b w:val="0"/>
              <w:sz w:val="20"/>
              <w:szCs w:val="20"/>
            </w:rPr>
          </w:pPr>
          <w:r/>
          <w:hyperlink w:tooltip="#__RefHeading___Toc212536952" w:anchor="__RefHeading___Toc212536952" w:history="1">
            <w:r>
              <w:rPr>
                <w:rStyle w:val="1138"/>
                <w:rFonts w:ascii="Times New Roman" w:hAnsi="Times New Roman" w:cs="Times New Roman"/>
                <w:vanish w:val="0"/>
                <w:sz w:val="20"/>
                <w:szCs w:val="20"/>
              </w:rPr>
              <w:t xml:space="preserve">8.1. Перечень использованных документов</w:t>
              <w:tab/>
              <w:t xml:space="preserve">8</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69"/>
            <w:pBdr/>
            <w:spacing/>
            <w:ind/>
            <w:rPr>
              <w:rFonts w:ascii="Times New Roman" w:hAnsi="Times New Roman" w:cs="Times New Roman"/>
              <w:b w:val="0"/>
              <w:bCs w:val="0"/>
              <w:sz w:val="20"/>
              <w:szCs w:val="20"/>
            </w:rPr>
          </w:pPr>
          <w:r/>
          <w:hyperlink w:tooltip="#__RefHeading___Toc212536953" w:anchor="__RefHeading___Toc212536953" w:history="1">
            <w:r>
              <w:rPr>
                <w:rStyle w:val="1138"/>
                <w:rFonts w:ascii="Times New Roman" w:hAnsi="Times New Roman" w:cs="Times New Roman"/>
                <w:vanish w:val="0"/>
                <w:sz w:val="20"/>
                <w:szCs w:val="20"/>
              </w:rPr>
              <w:t xml:space="preserve">10. ДОПУЩЕНИЯ И ОГРАНИЧЕНИЯ ОЦЕНКИ</w:t>
              <w:tab/>
              <w:t xml:space="preserve">8</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70"/>
            <w:pBdr/>
            <w:spacing/>
            <w:ind/>
            <w:rPr>
              <w:rFonts w:ascii="Times New Roman" w:hAnsi="Times New Roman" w:cs="Times New Roman"/>
              <w:b w:val="0"/>
              <w:sz w:val="20"/>
              <w:szCs w:val="20"/>
            </w:rPr>
          </w:pPr>
          <w:r/>
          <w:hyperlink w:tooltip="#__RefHeading___Toc212536954" w:anchor="__RefHeading___Toc212536954" w:history="1">
            <w:r>
              <w:rPr>
                <w:rStyle w:val="1138"/>
                <w:rFonts w:ascii="Times New Roman" w:hAnsi="Times New Roman" w:cs="Times New Roman"/>
                <w:vanish w:val="0"/>
                <w:sz w:val="20"/>
                <w:szCs w:val="20"/>
              </w:rPr>
              <w:t xml:space="preserve">10.1. Специальные допущения</w:t>
              <w:tab/>
              <w:t xml:space="preserve">8</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55" w:anchor="__RefHeading___Toc212536955" w:history="1">
            <w:r>
              <w:rPr>
                <w:rStyle w:val="1138"/>
                <w:rFonts w:ascii="Times New Roman" w:hAnsi="Times New Roman" w:cs="Times New Roman"/>
                <w:vanish w:val="0"/>
                <w:sz w:val="20"/>
                <w:szCs w:val="20"/>
              </w:rPr>
              <w:t xml:space="preserve">10.2. Существенные допущения, не являющиеся специальными</w:t>
              <w:tab/>
              <w:t xml:space="preserve">8</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56" w:anchor="__RefHeading___Toc212536956" w:history="1">
            <w:r>
              <w:rPr>
                <w:rStyle w:val="1138"/>
                <w:rFonts w:ascii="Times New Roman" w:hAnsi="Times New Roman" w:cs="Times New Roman"/>
                <w:vanish w:val="0"/>
                <w:sz w:val="20"/>
                <w:szCs w:val="20"/>
              </w:rPr>
              <w:t xml:space="preserve">10.3. Прочие допущения</w:t>
              <w:tab/>
              <w:t xml:space="preserve">8</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69"/>
            <w:pBdr/>
            <w:spacing/>
            <w:ind/>
            <w:rPr>
              <w:rFonts w:ascii="Times New Roman" w:hAnsi="Times New Roman" w:cs="Times New Roman"/>
              <w:b w:val="0"/>
              <w:bCs w:val="0"/>
              <w:sz w:val="20"/>
              <w:szCs w:val="20"/>
            </w:rPr>
          </w:pPr>
          <w:r/>
          <w:hyperlink w:tooltip="#__RefHeading___Toc212536957" w:anchor="__RefHeading___Toc212536957" w:history="1">
            <w:r>
              <w:rPr>
                <w:rStyle w:val="1138"/>
                <w:rFonts w:ascii="Times New Roman" w:hAnsi="Times New Roman" w:cs="Times New Roman"/>
                <w:vanish w:val="0"/>
                <w:sz w:val="20"/>
                <w:szCs w:val="20"/>
              </w:rPr>
              <w:t xml:space="preserve">11. АНАЛИЗ РЫНКА</w:t>
              <w:tab/>
              <w:t xml:space="preserve">9</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58" w:anchor="__RefHeading___Toc212536958" w:history="1">
            <w:r>
              <w:rPr>
                <w:rStyle w:val="1138"/>
                <w:rFonts w:ascii="Times New Roman" w:hAnsi="Times New Roman" w:cs="Times New Roman"/>
                <w:vanish w:val="0"/>
                <w:sz w:val="20"/>
                <w:szCs w:val="20"/>
              </w:rPr>
              <w:t xml:space="preserve">12. ОПИСАНИЕ ПРОЦЕССА ОЦЕНКИ</w:t>
              <w:tab/>
              <w:t xml:space="preserve">13</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70"/>
            <w:pBdr/>
            <w:spacing/>
            <w:ind/>
            <w:rPr>
              <w:rFonts w:ascii="Times New Roman" w:hAnsi="Times New Roman" w:cs="Times New Roman"/>
              <w:b w:val="0"/>
              <w:sz w:val="20"/>
              <w:szCs w:val="20"/>
            </w:rPr>
          </w:pPr>
          <w:r/>
          <w:hyperlink w:tooltip="#__RefHeading___Toc212536959" w:anchor="__RefHeading___Toc212536959" w:history="1">
            <w:r>
              <w:rPr>
                <w:rStyle w:val="1138"/>
                <w:rFonts w:ascii="Times New Roman" w:hAnsi="Times New Roman" w:cs="Times New Roman"/>
                <w:vanish w:val="0"/>
                <w:sz w:val="20"/>
                <w:szCs w:val="20"/>
              </w:rPr>
              <w:t xml:space="preserve">12.1. Последовательность определения стоимости объекта оценки</w:t>
              <w:tab/>
              <w:t xml:space="preserve">13</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60" w:anchor="__RefHeading___Toc212536960" w:history="1">
            <w:r>
              <w:rPr>
                <w:rStyle w:val="1138"/>
                <w:rFonts w:ascii="Times New Roman" w:hAnsi="Times New Roman" w:cs="Times New Roman"/>
                <w:vanish w:val="0"/>
                <w:sz w:val="20"/>
                <w:szCs w:val="20"/>
              </w:rPr>
              <w:t xml:space="preserve">12.2. Иные сведения, необходимые для полного и достаточного представления результата оценки</w:t>
              <w:tab/>
              <w:t xml:space="preserve">13</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61" w:anchor="__RefHeading___Toc212536961" w:history="1">
            <w:r>
              <w:rPr>
                <w:rStyle w:val="1138"/>
                <w:rFonts w:ascii="Times New Roman" w:hAnsi="Times New Roman" w:cs="Times New Roman"/>
                <w:vanish w:val="0"/>
                <w:sz w:val="20"/>
                <w:szCs w:val="20"/>
              </w:rPr>
              <w:t xml:space="preserve">12.3. Обоснование выбора подходов и методов оценки</w:t>
              <w:tab/>
              <w:t xml:space="preserve">13</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62" w:anchor="__RefHeading___Toc212536962" w:history="1">
            <w:r>
              <w:rPr>
                <w:rStyle w:val="1138"/>
                <w:rFonts w:ascii="Times New Roman" w:hAnsi="Times New Roman" w:cs="Times New Roman"/>
                <w:vanish w:val="0"/>
                <w:sz w:val="20"/>
                <w:szCs w:val="20"/>
              </w:rPr>
              <w:t xml:space="preserve">12.4. Затратный подход к оценке</w:t>
              <w:tab/>
              <w:t xml:space="preserve">14</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63" w:anchor="__RefHeading___Toc212536963" w:history="1">
            <w:r>
              <w:rPr>
                <w:rStyle w:val="1138"/>
                <w:rFonts w:ascii="Times New Roman" w:hAnsi="Times New Roman" w:cs="Times New Roman"/>
                <w:vanish w:val="0"/>
                <w:sz w:val="20"/>
                <w:szCs w:val="20"/>
              </w:rPr>
              <w:t xml:space="preserve">12.5. Сравнительный подход к оценке</w:t>
              <w:tab/>
              <w:t xml:space="preserve">20</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64" w:anchor="__RefHeading___Toc212536964" w:history="1">
            <w:r>
              <w:rPr>
                <w:rStyle w:val="1138"/>
                <w:rFonts w:ascii="Times New Roman" w:hAnsi="Times New Roman" w:cs="Times New Roman"/>
                <w:vanish w:val="0"/>
                <w:sz w:val="20"/>
                <w:szCs w:val="20"/>
              </w:rPr>
              <w:t xml:space="preserve">12.6. Доходный подход к оценке</w:t>
              <w:tab/>
              <w:t xml:space="preserve">20</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65" w:anchor="__RefHeading___Toc212536965" w:history="1">
            <w:r>
              <w:rPr>
                <w:rStyle w:val="1138"/>
                <w:rFonts w:ascii="Times New Roman" w:hAnsi="Times New Roman" w:cs="Times New Roman"/>
                <w:vanish w:val="0"/>
                <w:sz w:val="20"/>
                <w:szCs w:val="20"/>
              </w:rPr>
              <w:t xml:space="preserve">12.7. Согласование результатов оценки</w:t>
              <w:tab/>
              <w:t xml:space="preserve">21</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69"/>
            <w:pBdr/>
            <w:spacing/>
            <w:ind/>
            <w:rPr>
              <w:rFonts w:ascii="Times New Roman" w:hAnsi="Times New Roman" w:cs="Times New Roman"/>
              <w:b w:val="0"/>
              <w:bCs w:val="0"/>
              <w:sz w:val="20"/>
              <w:szCs w:val="20"/>
            </w:rPr>
          </w:pPr>
          <w:r/>
          <w:hyperlink w:tooltip="#__RefHeading___Toc212536966" w:anchor="__RefHeading___Toc212536966" w:history="1">
            <w:r>
              <w:rPr>
                <w:rStyle w:val="1138"/>
                <w:rFonts w:ascii="Times New Roman" w:hAnsi="Times New Roman" w:cs="Times New Roman"/>
                <w:vanish w:val="0"/>
                <w:sz w:val="20"/>
                <w:szCs w:val="20"/>
              </w:rPr>
              <w:t xml:space="preserve">13. РЕЗУЛЬТАТЫ ОЦЕНКИ</w:t>
              <w:tab/>
              <w:t xml:space="preserve">22</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69"/>
            <w:pBdr/>
            <w:spacing/>
            <w:ind/>
            <w:rPr>
              <w:rFonts w:ascii="Times New Roman" w:hAnsi="Times New Roman" w:cs="Times New Roman"/>
              <w:b w:val="0"/>
              <w:bCs w:val="0"/>
              <w:sz w:val="20"/>
              <w:szCs w:val="20"/>
            </w:rPr>
          </w:pPr>
          <w:r/>
          <w:hyperlink w:tooltip="#__RefHeading___Toc212536967" w:anchor="__RefHeading___Toc212536967" w:history="1">
            <w:r>
              <w:rPr>
                <w:rStyle w:val="1138"/>
                <w:rFonts w:ascii="Times New Roman" w:hAnsi="Times New Roman" w:cs="Times New Roman"/>
                <w:vanish w:val="0"/>
                <w:sz w:val="20"/>
                <w:szCs w:val="20"/>
              </w:rPr>
              <w:t xml:space="preserve">ПРИЛОЖЕНИЯ</w:t>
              <w:tab/>
              <w:t xml:space="preserve">23</w:t>
            </w:r>
          </w:hyperlink>
          <w:r>
            <w:rPr>
              <w:rFonts w:ascii="Times New Roman" w:hAnsi="Times New Roman" w:cs="Times New Roman"/>
              <w:b w:val="0"/>
              <w:bCs w:val="0"/>
              <w:sz w:val="20"/>
              <w:szCs w:val="20"/>
            </w:rPr>
          </w:r>
          <w:r>
            <w:rPr>
              <w:rFonts w:ascii="Times New Roman" w:hAnsi="Times New Roman" w:cs="Times New Roman"/>
              <w:b w:val="0"/>
              <w:bCs w:val="0"/>
              <w:sz w:val="20"/>
              <w:szCs w:val="20"/>
            </w:rPr>
          </w:r>
        </w:p>
        <w:p>
          <w:pPr>
            <w:pStyle w:val="1170"/>
            <w:pBdr/>
            <w:spacing/>
            <w:ind/>
            <w:rPr>
              <w:rFonts w:ascii="Times New Roman" w:hAnsi="Times New Roman" w:cs="Times New Roman"/>
              <w:b w:val="0"/>
              <w:sz w:val="20"/>
              <w:szCs w:val="20"/>
            </w:rPr>
          </w:pPr>
          <w:r/>
          <w:hyperlink w:tooltip="#__RefHeading___Toc212536968" w:anchor="__RefHeading___Toc212536968" w:history="1">
            <w:r>
              <w:rPr>
                <w:rStyle w:val="1138"/>
                <w:rFonts w:ascii="Times New Roman" w:hAnsi="Times New Roman" w:cs="Times New Roman"/>
                <w:vanish w:val="0"/>
                <w:sz w:val="20"/>
                <w:szCs w:val="20"/>
              </w:rPr>
              <w:t xml:space="preserve">Приложение 1. Копии документов, предоставленные Заказчиком для проведения оценки.</w:t>
              <w:tab/>
              <w:t xml:space="preserve">23</w:t>
            </w:r>
          </w:hyperlink>
          <w:r>
            <w:rPr>
              <w:rFonts w:ascii="Times New Roman" w:hAnsi="Times New Roman" w:cs="Times New Roman"/>
              <w:b w:val="0"/>
              <w:sz w:val="20"/>
              <w:szCs w:val="20"/>
            </w:rPr>
          </w:r>
          <w:r>
            <w:rPr>
              <w:rFonts w:ascii="Times New Roman" w:hAnsi="Times New Roman" w:cs="Times New Roman"/>
              <w:b w:val="0"/>
              <w:sz w:val="20"/>
              <w:szCs w:val="20"/>
            </w:rPr>
          </w:r>
        </w:p>
        <w:p>
          <w:pPr>
            <w:pStyle w:val="1170"/>
            <w:pBdr/>
            <w:spacing/>
            <w:ind/>
            <w:rPr>
              <w:rFonts w:ascii="Times New Roman" w:hAnsi="Times New Roman" w:cs="Times New Roman"/>
              <w:b w:val="0"/>
              <w:sz w:val="20"/>
              <w:szCs w:val="20"/>
            </w:rPr>
          </w:pPr>
          <w:r/>
          <w:hyperlink w:tooltip="#__RefHeading___Toc212536969" w:anchor="__RefHeading___Toc212536969" w:history="1">
            <w:r>
              <w:rPr>
                <w:rStyle w:val="1138"/>
                <w:rFonts w:ascii="Times New Roman" w:hAnsi="Times New Roman" w:cs="Times New Roman"/>
                <w:vanish w:val="0"/>
                <w:sz w:val="20"/>
                <w:szCs w:val="20"/>
              </w:rPr>
              <w:t xml:space="preserve">Приложение 2. Копии документов Оценщика</w:t>
              <w:tab/>
              <w:t xml:space="preserve">26</w:t>
            </w:r>
          </w:hyperlink>
          <w:r>
            <w:rPr>
              <w:rStyle w:val="1138"/>
              <w:rFonts w:ascii="Times New Roman" w:hAnsi="Times New Roman" w:cs="Times New Roman"/>
              <w:vanish w:val="0"/>
              <w:sz w:val="20"/>
              <w:szCs w:val="20"/>
            </w:rPr>
            <w:fldChar w:fldCharType="end"/>
          </w:r>
          <w:r>
            <w:rPr>
              <w:rFonts w:ascii="Times New Roman" w:hAnsi="Times New Roman" w:cs="Times New Roman"/>
              <w:b w:val="0"/>
              <w:sz w:val="20"/>
              <w:szCs w:val="20"/>
            </w:rPr>
          </w:r>
          <w:r>
            <w:rPr>
              <w:rFonts w:ascii="Times New Roman" w:hAnsi="Times New Roman" w:cs="Times New Roman"/>
              <w:b w:val="0"/>
              <w:sz w:val="20"/>
              <w:szCs w:val="20"/>
            </w:rPr>
          </w:r>
        </w:p>
      </w:sdtContent>
    </w:sdt>
    <w:p>
      <w:pPr>
        <w:pStyle w:val="1169"/>
        <w:keepNext w:val="false"/>
        <w:widowControl w:val="false"/>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pPr>
        <w:pStyle w:val="1038"/>
        <w:widowControl w:val="false"/>
        <w:pBdr/>
        <w:tabs>
          <w:tab w:val="left" w:leader="none" w:pos="426"/>
          <w:tab w:val="clear" w:leader="none" w:pos="709"/>
        </w:tabs>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br w:type="page" w:clear="all"/>
      </w: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0" w:name="__RefHeading___Toc212536944"/>
      <w:r/>
      <w:bookmarkEnd w:id="0"/>
      <w:r>
        <w:rPr>
          <w:rFonts w:ascii="Times New Roman" w:hAnsi="Times New Roman" w:cs="Times New Roman"/>
        </w:rPr>
        <w:t xml:space="preserve">1. ОСНОВНЫЕ ФАКТЫ И ВЫВОДЫ</w:t>
      </w:r>
      <w:r>
        <w:rPr>
          <w:rFonts w:ascii="Times New Roman" w:hAnsi="Times New Roman" w:cs="Times New Roman"/>
        </w:rPr>
      </w:r>
      <w:r>
        <w:rPr>
          <w:rFonts w:ascii="Times New Roman" w:hAnsi="Times New Roman" w:cs="Times New Roman"/>
        </w:rPr>
      </w:r>
    </w:p>
    <w:p>
      <w:pPr>
        <w:pStyle w:val="1038"/>
        <w:widowControl w:val="false"/>
        <w:numPr>
          <w:ilvl w:val="0"/>
          <w:numId w:val="4"/>
        </w:numPr>
        <w:pBdr/>
        <w:spacing/>
        <w:ind w:right="0" w:hanging="360" w:left="1985"/>
        <w:jc w:val="right"/>
        <w:rPr/>
      </w:pPr>
      <w:r/>
      <w:r/>
    </w:p>
    <w:tbl>
      <w:tblPr>
        <w:tblW w:w="9889"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506"/>
        <w:gridCol w:w="6383"/>
      </w:tblGrid>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rPr>
                <w:rFonts w:ascii="Times New Roman" w:hAnsi="Times New Roman" w:cs="Times New Roman"/>
                <w:b/>
                <w:sz w:val="22"/>
                <w:szCs w:val="22"/>
              </w:rPr>
            </w:pPr>
            <w:r>
              <w:rPr>
                <w:rFonts w:ascii="Times New Roman" w:hAnsi="Times New Roman" w:cs="Times New Roman"/>
                <w:b/>
                <w:sz w:val="22"/>
                <w:szCs w:val="22"/>
              </w:rPr>
              <w:t xml:space="preserve">Общая информация, идентифицирующая объекты оценки:</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Style w:val="1139"/>
              <w:widowControl w:val="false"/>
              <w:pBdr/>
              <w:spacing/>
              <w:ind/>
              <w:jc w:val="both"/>
              <w:rPr>
                <w:sz w:val="22"/>
                <w:szCs w:val="22"/>
              </w:rPr>
            </w:pPr>
            <w:r>
              <w:rPr>
                <w:b w:val="0"/>
                <w:bCs w:val="0"/>
                <w:color w:val="ee0000"/>
                <w:sz w:val="22"/>
                <w:szCs w:val="22"/>
                <w:u w:val="none"/>
              </w:rPr>
              <w:t xml:space="preserve">Транспортное средство марки (модели)</w:t>
            </w:r>
            <w:r>
              <w:rPr>
                <w:b w:val="0"/>
                <w:bCs w:val="0"/>
                <w:sz w:val="22"/>
                <w:szCs w:val="22"/>
                <w:u w:val="none"/>
              </w:rPr>
              <w:t xml:space="preserve"> </w:t>
            </w:r>
            <w:r>
              <w:rPr>
                <w:b w:val="0"/>
                <w:bCs w:val="0"/>
                <w:sz w:val="22"/>
                <w:szCs w:val="22"/>
                <w:highlight w:val="yellow"/>
                <w:u w:val="none"/>
              </w:rPr>
              <w:t xml:space="preserve">${vehicle_brand_name} ${vehicle_model_name}</w:t>
            </w:r>
            <w:r>
              <w:rPr>
                <w:b w:val="0"/>
                <w:bCs w:val="0"/>
                <w:sz w:val="22"/>
                <w:szCs w:val="22"/>
                <w:u w:val="none"/>
              </w:rPr>
              <w:t xml:space="preserve">, </w:t>
            </w:r>
            <w:r>
              <w:rPr>
                <w:b w:val="0"/>
                <w:bCs w:val="0"/>
                <w:sz w:val="22"/>
                <w:szCs w:val="22"/>
                <w:highlight w:val="yellow"/>
                <w:u w:val="none"/>
              </w:rPr>
              <w:t xml:space="preserve">${vehicle_year}</w:t>
            </w:r>
            <w:r>
              <w:rPr>
                <w:b w:val="0"/>
                <w:bCs w:val="0"/>
                <w:sz w:val="22"/>
                <w:szCs w:val="22"/>
                <w:u w:val="none"/>
              </w:rPr>
              <w:t xml:space="preserve"> </w:t>
            </w:r>
            <w:r>
              <w:rPr>
                <w:b w:val="0"/>
                <w:bCs w:val="0"/>
                <w:color w:val="ee0000"/>
                <w:sz w:val="22"/>
                <w:szCs w:val="22"/>
                <w:u w:val="none"/>
              </w:rPr>
              <w:t xml:space="preserve">года выпуска</w:t>
            </w:r>
            <w:r>
              <w:rPr>
                <w:b w:val="0"/>
                <w:bCs w:val="0"/>
                <w:sz w:val="22"/>
                <w:szCs w:val="22"/>
                <w:u w:val="none"/>
              </w:rPr>
              <w:t xml:space="preserve">, </w:t>
            </w:r>
            <w:r>
              <w:rPr>
                <w:b w:val="0"/>
                <w:bCs w:val="0"/>
                <w:color w:val="ee0000"/>
                <w:sz w:val="22"/>
                <w:szCs w:val="22"/>
                <w:u w:val="none"/>
              </w:rPr>
              <w:t xml:space="preserve">идентификационный номер (VIN)</w:t>
            </w:r>
            <w:r>
              <w:rPr>
                <w:b w:val="0"/>
                <w:bCs w:val="0"/>
                <w:sz w:val="22"/>
                <w:szCs w:val="22"/>
                <w:u w:val="none"/>
              </w:rPr>
              <w:t xml:space="preserve">: </w:t>
            </w:r>
            <w:r>
              <w:rPr>
                <w:b w:val="0"/>
                <w:bCs w:val="0"/>
                <w:sz w:val="22"/>
                <w:szCs w:val="22"/>
                <w:highlight w:val="yellow"/>
                <w:u w:val="none"/>
              </w:rPr>
              <w:t xml:space="preserve">${vehicle_vin}</w:t>
            </w:r>
            <w:r>
              <w:rPr>
                <w:b w:val="0"/>
                <w:bCs w:val="0"/>
                <w:sz w:val="22"/>
                <w:szCs w:val="22"/>
                <w:u w:val="none"/>
              </w:rPr>
              <w:t xml:space="preserve">.</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rPr>
                <w:rFonts w:ascii="Times New Roman" w:hAnsi="Times New Roman" w:cs="Times New Roman"/>
                <w:b/>
                <w:color w:val="ee0000"/>
                <w:sz w:val="22"/>
                <w:szCs w:val="22"/>
              </w:rPr>
            </w:pPr>
            <w:r>
              <w:rPr>
                <w:rFonts w:ascii="Times New Roman" w:hAnsi="Times New Roman" w:cs="Times New Roman"/>
                <w:b/>
                <w:color w:val="ee0000"/>
                <w:sz w:val="22"/>
                <w:szCs w:val="22"/>
              </w:rPr>
              <w:t xml:space="preserve">Дата оценки:</w:t>
            </w:r>
            <w:r>
              <w:rPr>
                <w:rFonts w:ascii="Times New Roman" w:hAnsi="Times New Roman" w:cs="Times New Roman"/>
                <w:b/>
                <w:color w:val="ee0000"/>
                <w:sz w:val="22"/>
                <w:szCs w:val="22"/>
              </w:rPr>
            </w:r>
            <w:r>
              <w:rPr>
                <w:rFonts w:ascii="Times New Roman" w:hAnsi="Times New Roman" w:cs="Times New Roman"/>
                <w:b/>
                <w:color w:val="ee0000"/>
                <w:sz w:val="22"/>
                <w:szCs w:val="22"/>
              </w:rP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Style w:val="1160"/>
              <w:pBdr/>
              <w:spacing/>
              <w:ind w:right="0" w:firstLine="0" w:left="0"/>
              <w:jc w:val="both"/>
              <w:rPr>
                <w:rFonts w:ascii="Times New Roman" w:hAnsi="Times New Roman" w:cs="Times New Roman"/>
                <w:sz w:val="22"/>
                <w:szCs w:val="22"/>
              </w:rPr>
            </w:pPr>
            <w:r>
              <w:rPr>
                <w:rFonts w:ascii="Times New Roman" w:hAnsi="Times New Roman" w:cs="Times New Roman"/>
                <w:sz w:val="22"/>
                <w:szCs w:val="22"/>
                <w:highlight w:val="yellow"/>
              </w:rPr>
              <w:t xml:space="preserve">${</w:t>
            </w:r>
            <w:r>
              <w:rPr>
                <w:rFonts w:ascii="Times New Roman" w:hAnsi="Times New Roman" w:eastAsia="Times New Roman" w:cs="Times New Roman"/>
                <w:b w:val="0"/>
                <w:i w:val="0"/>
                <w:caps w:val="0"/>
                <w:smallCaps w:val="0"/>
                <w:color w:val="000000"/>
                <w:spacing w:val="0"/>
                <w:sz w:val="22"/>
                <w:szCs w:val="22"/>
                <w:highlight w:val="yellow"/>
              </w:rPr>
              <w:t xml:space="preserve">evaluation_date</w:t>
            </w:r>
            <w:r>
              <w:rPr>
                <w:rFonts w:ascii="Times New Roman" w:hAnsi="Times New Roman" w:cs="Times New Roman"/>
                <w:sz w:val="22"/>
                <w:szCs w:val="22"/>
                <w:highlight w:val="yellow"/>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rPr>
                <w:rFonts w:ascii="Times New Roman" w:hAnsi="Times New Roman" w:cs="Times New Roman"/>
                <w:b/>
                <w:sz w:val="22"/>
                <w:szCs w:val="22"/>
              </w:rPr>
            </w:pPr>
            <w:r>
              <w:t xml:space="preserve">Итоговая величина стоимости объекта оценки:</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tbl>
            <w:tblPr>
              <w:tblW w:w="6153"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4422"/>
              <w:gridCol w:w="1731"/>
            </w:tblGrid>
            <w:tr>
              <w:trPr/>
              <w:tc>
                <w:tcPr>
                  <w:tcBorders>
                    <w:top w:val="single" w:color="000000" w:sz="4" w:space="0"/>
                    <w:left w:val="single" w:color="000000" w:sz="4" w:space="0"/>
                    <w:bottom w:val="single" w:color="000000" w:sz="4" w:space="0"/>
                    <w:right w:val="single" w:color="000000" w:sz="4" w:space="0"/>
                  </w:tcBorders>
                  <w:tcW w:w="4422" w:type="dxa"/>
                  <w:vAlign w:val="center"/>
                  <w:textDirection w:val="lrTb"/>
                  <w:noWrap w:val="false"/>
                </w:tcPr>
                <w:p>
                  <w:pPr>
                    <w:pStyle w:val="1038"/>
                    <w:widowControl w:val="false"/>
                    <w:pBdr/>
                    <w:spacing/>
                    <w:ind w:right="0" w:firstLine="33"/>
                    <w:jc w:val="center"/>
                    <w:rPr>
                      <w:bCs/>
                    </w:rPr>
                  </w:pPr>
                  <w:r>
                    <w:rPr>
                      <w:bCs/>
                    </w:rPr>
                    <w:t xml:space="preserve">Объект оценки:</w:t>
                  </w:r>
                  <w:r>
                    <w:rPr>
                      <w:bCs/>
                    </w:rPr>
                  </w:r>
                  <w:r>
                    <w:rPr>
                      <w:bCs/>
                    </w:rPr>
                  </w:r>
                </w:p>
              </w:tc>
              <w:tc>
                <w:tcPr>
                  <w:tcBorders>
                    <w:top w:val="single" w:color="000000" w:sz="4" w:space="0"/>
                    <w:left w:val="single" w:color="000000" w:sz="4" w:space="0"/>
                    <w:bottom w:val="single" w:color="000000" w:sz="4" w:space="0"/>
                    <w:right w:val="single" w:color="000000" w:sz="4" w:space="0"/>
                  </w:tcBorders>
                  <w:tcW w:w="1731" w:type="dxa"/>
                  <w:vAlign w:val="center"/>
                  <w:textDirection w:val="lrTb"/>
                  <w:noWrap w:val="false"/>
                </w:tcPr>
                <w:p>
                  <w:pPr>
                    <w:pStyle w:val="1038"/>
                    <w:widowControl w:val="false"/>
                    <w:pBdr/>
                    <w:spacing/>
                    <w:ind w:right="0" w:firstLine="33"/>
                    <w:jc w:val="center"/>
                    <w:rPr>
                      <w:bCs/>
                      <w:color w:val="ee0000"/>
                    </w:rPr>
                  </w:pPr>
                  <w:r>
                    <w:rPr>
                      <w:color w:val="ee0000"/>
                    </w:rPr>
                    <w:t xml:space="preserve">Итоговая стоимость:</w:t>
                  </w:r>
                  <w:r>
                    <w:rPr>
                      <w:bCs/>
                      <w:color w:val="ee0000"/>
                    </w:rPr>
                  </w:r>
                  <w:r>
                    <w:rPr>
                      <w:bCs/>
                      <w:color w:val="ee0000"/>
                    </w:rPr>
                  </w:r>
                </w:p>
              </w:tc>
            </w:tr>
            <w:tr>
              <w:trPr/>
              <w:tc>
                <w:tcPr>
                  <w:tcBorders>
                    <w:top w:val="single" w:color="000000" w:sz="4" w:space="0"/>
                    <w:left w:val="single" w:color="000000" w:sz="4" w:space="0"/>
                    <w:bottom w:val="single" w:color="000000" w:sz="4" w:space="0"/>
                    <w:right w:val="single" w:color="000000" w:sz="4" w:space="0"/>
                  </w:tcBorders>
                  <w:tcW w:w="4422" w:type="dxa"/>
                  <w:vAlign w:val="center"/>
                  <w:textDirection w:val="lrTb"/>
                  <w:noWrap w:val="false"/>
                </w:tcPr>
                <w:p>
                  <w:pPr>
                    <w:pStyle w:val="1038"/>
                    <w:widowControl w:val="false"/>
                    <w:pBdr/>
                    <w:spacing/>
                    <w:ind w:right="0" w:left="33"/>
                    <w:jc w:val="both"/>
                    <w:rPr>
                      <w:bCs/>
                    </w:rPr>
                  </w:pPr>
                  <w:r>
                    <w:rPr>
                      <w:color w:val="ee0000"/>
                      <w:sz w:val="22"/>
                      <w:szCs w:val="22"/>
                    </w:rPr>
                    <w:t xml:space="preserve">Транспортно</w:t>
                  </w:r>
                  <w:r>
                    <w:rPr>
                      <w:b/>
                      <w:bCs/>
                      <w:color w:val="ee0000"/>
                      <w:sz w:val="22"/>
                      <w:szCs w:val="22"/>
                    </w:rPr>
                    <w:t xml:space="preserve">е</w:t>
                  </w:r>
                  <w:r>
                    <w:rPr>
                      <w:color w:val="ee0000"/>
                      <w:sz w:val="22"/>
                      <w:szCs w:val="22"/>
                    </w:rPr>
                    <w:t xml:space="preserve"> средств</w:t>
                  </w:r>
                  <w:r>
                    <w:rPr>
                      <w:b/>
                      <w:bCs/>
                      <w:color w:val="ee0000"/>
                      <w:sz w:val="22"/>
                      <w:szCs w:val="22"/>
                    </w:rPr>
                    <w:t xml:space="preserve">о</w:t>
                  </w:r>
                  <w:r>
                    <w:rPr>
                      <w:color w:val="ee0000"/>
                      <w:sz w:val="22"/>
                      <w:szCs w:val="22"/>
                    </w:rPr>
                    <w:t xml:space="preserve"> марки (модели)</w:t>
                  </w:r>
                  <w:r>
                    <w:rPr>
                      <w:sz w:val="22"/>
                      <w:szCs w:val="22"/>
                    </w:rPr>
                    <w:t xml:space="preserve"> </w:t>
                  </w:r>
                  <w:r>
                    <w:rPr>
                      <w:sz w:val="22"/>
                      <w:szCs w:val="22"/>
                      <w:highlight w:val="yellow"/>
                    </w:rPr>
                    <w:t xml:space="preserve">${vehicle_brand_name} ${vehicle_model_name}</w:t>
                  </w:r>
                  <w:r>
                    <w:rPr>
                      <w:sz w:val="22"/>
                      <w:szCs w:val="22"/>
                    </w:rPr>
                    <w:t xml:space="preserve">,</w:t>
                  </w:r>
                  <w:r>
                    <w:rPr>
                      <w:b/>
                      <w:bCs/>
                      <w:sz w:val="22"/>
                      <w:szCs w:val="22"/>
                    </w:rPr>
                    <w:t xml:space="preserve"> </w:t>
                  </w:r>
                  <w:r>
                    <w:rPr>
                      <w:b w:val="0"/>
                      <w:bCs w:val="0"/>
                      <w:sz w:val="22"/>
                      <w:szCs w:val="22"/>
                      <w:highlight w:val="yellow"/>
                      <w:u w:val="none"/>
                    </w:rPr>
                    <w:t xml:space="preserve">${vehicle_year}</w:t>
                  </w:r>
                  <w:r>
                    <w:rPr>
                      <w:sz w:val="22"/>
                      <w:szCs w:val="22"/>
                    </w:rPr>
                    <w:t xml:space="preserve"> </w:t>
                  </w:r>
                  <w:r>
                    <w:rPr>
                      <w:color w:val="ee0000"/>
                      <w:sz w:val="22"/>
                      <w:szCs w:val="22"/>
                    </w:rPr>
                    <w:t xml:space="preserve">года выпуска</w:t>
                  </w:r>
                  <w:r>
                    <w:rPr>
                      <w:sz w:val="22"/>
                      <w:szCs w:val="22"/>
                    </w:rPr>
                    <w:t xml:space="preserve">, </w:t>
                  </w:r>
                  <w:r>
                    <w:rPr>
                      <w:color w:val="ee0000"/>
                      <w:sz w:val="22"/>
                      <w:szCs w:val="22"/>
                    </w:rPr>
                    <w:t xml:space="preserve">идентификационный номер (VIN)</w:t>
                  </w:r>
                  <w:r>
                    <w:rPr>
                      <w:sz w:val="22"/>
                      <w:szCs w:val="22"/>
                    </w:rPr>
                    <w:t xml:space="preserve">: </w:t>
                  </w:r>
                  <w:r>
                    <w:rPr>
                      <w:b w:val="0"/>
                      <w:bCs w:val="0"/>
                      <w:sz w:val="22"/>
                      <w:szCs w:val="22"/>
                      <w:highlight w:val="yellow"/>
                      <w:u w:val="none"/>
                    </w:rPr>
                    <w:t xml:space="preserve">${vehicle_vin}</w:t>
                  </w:r>
                  <w:r>
                    <w:rPr>
                      <w:b/>
                      <w:bCs/>
                      <w:sz w:val="22"/>
                      <w:szCs w:val="22"/>
                    </w:rPr>
                    <w:t xml:space="preserve">.</w:t>
                  </w:r>
                  <w:r>
                    <w:rPr>
                      <w:bCs/>
                    </w:rPr>
                  </w:r>
                  <w:r>
                    <w:rPr>
                      <w:bCs/>
                    </w:rPr>
                  </w:r>
                </w:p>
              </w:tc>
              <w:tc>
                <w:tcPr>
                  <w:tcBorders>
                    <w:top w:val="single" w:color="000000" w:sz="4" w:space="0"/>
                    <w:left w:val="single" w:color="000000" w:sz="4" w:space="0"/>
                    <w:bottom w:val="single" w:color="000000" w:sz="4" w:space="0"/>
                    <w:right w:val="single" w:color="000000" w:sz="4" w:space="0"/>
                  </w:tcBorders>
                  <w:tcW w:w="1731" w:type="dxa"/>
                  <w:vAlign w:val="center"/>
                  <w:textDirection w:val="lrTb"/>
                  <w:noWrap w:val="false"/>
                </w:tcPr>
                <w:p>
                  <w:pPr>
                    <w:pStyle w:val="1038"/>
                    <w:widowControl w:val="false"/>
                    <w:pBdr/>
                    <w:spacing/>
                    <w:ind w:right="0" w:firstLine="33"/>
                    <w:jc w:val="center"/>
                    <w:rPr/>
                  </w:pPr>
                  <w:r>
                    <w:rPr>
                      <w:highlight w:val="yellow"/>
                    </w:rPr>
                    <w:t xml:space="preserve">${</w:t>
                  </w:r>
                  <w:r>
                    <w:rPr>
                      <w:highlight w:val="yellow"/>
                      <w:lang w:val="en-US"/>
                    </w:rPr>
                    <w:t xml:space="preserve">final_</w:t>
                  </w:r>
                  <w:r>
                    <w:rPr>
                      <w:highlight w:val="yellow"/>
                    </w:rPr>
                    <w:t xml:space="preserve">price}</w:t>
                  </w:r>
                  <w:r>
                    <w:rPr>
                      <w:highlight w:val="none"/>
                    </w:rPr>
                    <w:br/>
                    <w:t xml:space="preserve">рублей</w:t>
                  </w:r>
                  <w:r/>
                </w:p>
                <w:p>
                  <w:pPr>
                    <w:pStyle w:val="1038"/>
                    <w:widowControl w:val="false"/>
                    <w:pBdr/>
                    <w:spacing/>
                    <w:ind w:right="0" w:firstLine="33"/>
                    <w:jc w:val="center"/>
                    <w:rPr>
                      <w:color w:val="ee0000"/>
                    </w:rPr>
                  </w:pPr>
                  <w:r>
                    <w:rPr>
                      <w:color w:val="ee0000"/>
                    </w:rPr>
                  </w:r>
                  <w:r>
                    <w:rPr>
                      <w:color w:val="ee0000"/>
                    </w:rPr>
                  </w:r>
                  <w:r>
                    <w:rPr>
                      <w:color w:val="ee0000"/>
                    </w:rPr>
                  </w:r>
                </w:p>
              </w:tc>
            </w:tr>
          </w:tbl>
          <w:p>
            <w:pPr>
              <w:pStyle w:val="1160"/>
              <w:pBdr/>
              <w:spacing/>
              <w:ind w:right="0" w:firstLine="0" w:left="0"/>
              <w:jc w:val="both"/>
              <w:rPr>
                <w:rFonts w:ascii="Times New Roman" w:hAnsi="Times New Roman" w:cs="Times New Roman"/>
                <w:sz w:val="22"/>
                <w:szCs w:val="22"/>
                <w:highlight w:val="yellow"/>
              </w:rPr>
            </w:pPr>
            <w:r>
              <w:rPr>
                <w:rFonts w:ascii="Times New Roman" w:hAnsi="Times New Roman" w:cs="Times New Roman"/>
                <w:sz w:val="22"/>
                <w:szCs w:val="22"/>
                <w:highlight w:val="yellow"/>
              </w:rPr>
            </w:r>
            <w:r>
              <w:rPr>
                <w:rFonts w:ascii="Times New Roman" w:hAnsi="Times New Roman" w:cs="Times New Roman"/>
                <w:sz w:val="22"/>
                <w:szCs w:val="22"/>
                <w:highlight w:val="yellow"/>
              </w:rPr>
            </w:r>
            <w:r>
              <w:rPr>
                <w:rFonts w:ascii="Times New Roman" w:hAnsi="Times New Roman" w:cs="Times New Roman"/>
                <w:sz w:val="22"/>
                <w:szCs w:val="22"/>
                <w:highlight w:val="yellow"/>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rPr>
                <w:rFonts w:ascii="Times New Roman" w:hAnsi="Times New Roman" w:cs="Times New Roman"/>
                <w:b/>
                <w:sz w:val="22"/>
                <w:szCs w:val="22"/>
              </w:rPr>
            </w:pPr>
            <w:r>
              <w:rPr>
                <w:rFonts w:ascii="Times New Roman" w:hAnsi="Times New Roman" w:cs="Times New Roman"/>
                <w:b/>
                <w:sz w:val="22"/>
                <w:szCs w:val="22"/>
              </w:rPr>
              <w:t xml:space="preserve">Ограничения и пределы применения полученного результата, существенные допущения:</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Style w:val="1160"/>
              <w:pBdr/>
              <w:spacing/>
              <w:ind w:right="0" w:firstLine="31" w:left="0"/>
              <w:jc w:val="both"/>
              <w:rPr>
                <w:rFonts w:ascii="Times New Roman" w:hAnsi="Times New Roman" w:cs="Times New Roman"/>
                <w:sz w:val="22"/>
                <w:szCs w:val="22"/>
              </w:rPr>
            </w:pPr>
            <w:r>
              <w:rPr>
                <w:rFonts w:ascii="Times New Roman" w:hAnsi="Times New Roman" w:cs="Times New Roman"/>
                <w:sz w:val="22"/>
                <w:szCs w:val="22"/>
              </w:rPr>
              <w:t xml:space="preserve">Оценка проводится в соответствии с требованиями Федерального закона от 29.07.1998 №135-ФЗ «Об оценочной деятельности в РФ», стандартов оценки, нормативно-правовых актов РФ и субъектов Федерации.</w:t>
            </w:r>
            <w:r>
              <w:rPr>
                <w:rFonts w:ascii="Times New Roman" w:hAnsi="Times New Roman" w:cs="Times New Roman"/>
                <w:sz w:val="22"/>
                <w:szCs w:val="22"/>
              </w:rPr>
            </w:r>
            <w:r>
              <w:rPr>
                <w:rFonts w:ascii="Times New Roman" w:hAnsi="Times New Roman" w:cs="Times New Roman"/>
                <w:sz w:val="22"/>
                <w:szCs w:val="22"/>
              </w:rPr>
            </w:r>
          </w:p>
          <w:p>
            <w:pPr>
              <w:pStyle w:val="1160"/>
              <w:pBdr/>
              <w:spacing/>
              <w:ind w:right="0" w:firstLine="31" w:left="0"/>
              <w:jc w:val="both"/>
              <w:rPr>
                <w:rFonts w:ascii="Times New Roman" w:hAnsi="Times New Roman" w:cs="Times New Roman"/>
                <w:sz w:val="22"/>
                <w:szCs w:val="22"/>
              </w:rPr>
            </w:pPr>
            <w:r>
              <w:rPr>
                <w:rFonts w:ascii="Times New Roman" w:hAnsi="Times New Roman" w:cs="Times New Roman"/>
                <w:sz w:val="22"/>
                <w:szCs w:val="22"/>
              </w:rPr>
              <w:t xml:space="preserve">Достоверность правоустанавливающих документов, предоставленных Заказчиком, а также информация на объект оценки приняты как достоверные.</w:t>
            </w:r>
            <w:r>
              <w:rPr>
                <w:rFonts w:ascii="Times New Roman" w:hAnsi="Times New Roman" w:cs="Times New Roman"/>
                <w:sz w:val="22"/>
                <w:szCs w:val="22"/>
              </w:rPr>
            </w:r>
            <w:r>
              <w:rPr>
                <w:rFonts w:ascii="Times New Roman" w:hAnsi="Times New Roman" w:cs="Times New Roman"/>
                <w:sz w:val="22"/>
                <w:szCs w:val="22"/>
              </w:rPr>
            </w:r>
          </w:p>
          <w:p>
            <w:pPr>
              <w:pStyle w:val="1160"/>
              <w:pBdr/>
              <w:spacing/>
              <w:ind w:right="0" w:firstLine="31" w:left="0"/>
              <w:jc w:val="both"/>
              <w:rPr>
                <w:rFonts w:ascii="Times New Roman" w:hAnsi="Times New Roman" w:cs="Times New Roman"/>
                <w:sz w:val="22"/>
                <w:szCs w:val="22"/>
              </w:rPr>
            </w:pPr>
            <w:r>
              <w:rPr>
                <w:rFonts w:ascii="Times New Roman" w:hAnsi="Times New Roman" w:cs="Times New Roman"/>
                <w:sz w:val="22"/>
                <w:szCs w:val="22"/>
              </w:rPr>
              <w:t xml:space="preserve">При расчетах используется информация, предоставленная Заказчиком.</w:t>
            </w:r>
            <w:r>
              <w:rPr>
                <w:rFonts w:ascii="Times New Roman" w:hAnsi="Times New Roman" w:cs="Times New Roman"/>
                <w:sz w:val="22"/>
                <w:szCs w:val="22"/>
              </w:rPr>
            </w:r>
            <w:r>
              <w:rPr>
                <w:rFonts w:ascii="Times New Roman" w:hAnsi="Times New Roman" w:cs="Times New Roman"/>
                <w:sz w:val="22"/>
                <w:szCs w:val="22"/>
              </w:rPr>
            </w:r>
          </w:p>
          <w:p>
            <w:pPr>
              <w:pStyle w:val="1160"/>
              <w:pBdr/>
              <w:spacing/>
              <w:ind w:right="0" w:firstLine="31" w:left="0"/>
              <w:jc w:val="both"/>
              <w:rPr>
                <w:rFonts w:ascii="Times New Roman" w:hAnsi="Times New Roman" w:cs="Times New Roman"/>
                <w:sz w:val="22"/>
                <w:szCs w:val="22"/>
              </w:rPr>
            </w:pPr>
            <w:r>
              <w:rPr>
                <w:rFonts w:ascii="Times New Roman" w:hAnsi="Times New Roman" w:cs="Times New Roman"/>
                <w:sz w:val="22"/>
                <w:szCs w:val="22"/>
              </w:rPr>
              <w:t xml:space="preserve">Достоверность информации, предоставленной Заказчиком, а также информация на объект оценки, оцениваемые права рассматриваются свободными от каких-либо претензий или ограничений.</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rPr>
                <w:rFonts w:ascii="Times New Roman" w:hAnsi="Times New Roman" w:cs="Times New Roman"/>
                <w:b/>
                <w:sz w:val="22"/>
                <w:szCs w:val="22"/>
              </w:rPr>
            </w:pPr>
            <w:r>
              <w:rPr>
                <w:rFonts w:ascii="Times New Roman" w:hAnsi="Times New Roman" w:cs="Times New Roman"/>
                <w:b/>
                <w:sz w:val="22"/>
                <w:szCs w:val="22"/>
              </w:rPr>
              <w:t xml:space="preserve">Дата составления и порядковый номер отчета:</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Style w:val="1160"/>
              <w:pBdr/>
              <w:spacing/>
              <w:ind w:right="0" w:firstLine="0" w:left="0"/>
              <w:jc w:val="both"/>
              <w:rPr>
                <w:rFonts w:ascii="Times New Roman" w:hAnsi="Times New Roman" w:cs="Times New Roman"/>
                <w:sz w:val="22"/>
                <w:szCs w:val="22"/>
              </w:rPr>
            </w:pPr>
            <w:r>
              <w:rPr>
                <w:rFonts w:ascii="Times New Roman" w:hAnsi="Times New Roman" w:cs="Times New Roman"/>
                <w:color w:val="ee0000"/>
                <w:sz w:val="22"/>
                <w:szCs w:val="22"/>
              </w:rPr>
              <w:t xml:space="preserve">Дата составления</w:t>
            </w:r>
            <w:r>
              <w:rPr>
                <w:rFonts w:ascii="Times New Roman" w:hAnsi="Times New Roman" w:cs="Times New Roman"/>
                <w:sz w:val="22"/>
                <w:szCs w:val="22"/>
              </w:rPr>
              <w:t xml:space="preserve"> – </w:t>
            </w:r>
            <w:r>
              <w:rPr>
                <w:rFonts w:ascii="Times New Roman" w:hAnsi="Times New Roman" w:cs="Times New Roman"/>
                <w:sz w:val="22"/>
                <w:szCs w:val="22"/>
                <w:highlight w:val="yellow"/>
              </w:rPr>
              <w:t xml:space="preserve">${report_date},</w:t>
            </w:r>
            <w:r>
              <w:rPr>
                <w:rFonts w:ascii="Times New Roman" w:hAnsi="Times New Roman" w:cs="Times New Roman"/>
                <w:sz w:val="22"/>
                <w:szCs w:val="22"/>
              </w:rPr>
            </w:r>
            <w:r>
              <w:rPr>
                <w:rFonts w:ascii="Times New Roman" w:hAnsi="Times New Roman" w:cs="Times New Roman"/>
                <w:sz w:val="22"/>
                <w:szCs w:val="22"/>
              </w:rPr>
            </w:r>
          </w:p>
          <w:p>
            <w:pPr>
              <w:pStyle w:val="1160"/>
              <w:pBdr/>
              <w:spacing/>
              <w:ind w:right="0" w:firstLine="0" w:left="0"/>
              <w:jc w:val="both"/>
              <w:rPr>
                <w:rFonts w:ascii="Times New Roman" w:hAnsi="Times New Roman" w:cs="Times New Roman"/>
                <w:sz w:val="22"/>
                <w:szCs w:val="22"/>
              </w:rPr>
            </w:pPr>
            <w:r>
              <w:rPr>
                <w:rFonts w:ascii="Times New Roman" w:hAnsi="Times New Roman" w:cs="Times New Roman"/>
                <w:color w:val="ee0000"/>
                <w:sz w:val="22"/>
                <w:szCs w:val="22"/>
              </w:rPr>
              <w:t xml:space="preserve">Порядковый номер отчета</w:t>
            </w:r>
            <w:r>
              <w:rPr>
                <w:rFonts w:ascii="Times New Roman" w:hAnsi="Times New Roman" w:cs="Times New Roman"/>
                <w:sz w:val="22"/>
                <w:szCs w:val="22"/>
              </w:rPr>
              <w:t xml:space="preserve"> – $</w:t>
            </w:r>
            <w:r>
              <w:rPr>
                <w:rFonts w:ascii="Times New Roman" w:hAnsi="Times New Roman" w:cs="Times New Roman"/>
                <w:sz w:val="22"/>
                <w:szCs w:val="22"/>
                <w:highlight w:val="yellow"/>
              </w:rPr>
              <w:t xml:space="preserve">{id}</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rPr>
                <w:rFonts w:ascii="Times New Roman" w:hAnsi="Times New Roman" w:cs="Times New Roman"/>
                <w:b/>
                <w:sz w:val="22"/>
                <w:szCs w:val="22"/>
              </w:rPr>
            </w:pPr>
            <w:r>
              <w:rPr>
                <w:rFonts w:ascii="Times New Roman" w:hAnsi="Times New Roman" w:cs="Times New Roman"/>
                <w:b/>
                <w:sz w:val="22"/>
                <w:szCs w:val="22"/>
              </w:rPr>
              <w:t xml:space="preserve">Основание для проведения оценщиком оценки объекта оценки:</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Style w:val="1160"/>
              <w:pBdr/>
              <w:spacing/>
              <w:ind w:right="0" w:firstLine="0" w:left="0"/>
              <w:jc w:val="both"/>
              <w:rPr>
                <w:rFonts w:ascii="Times New Roman" w:hAnsi="Times New Roman" w:cs="Times New Roman"/>
                <w:sz w:val="22"/>
                <w:szCs w:val="22"/>
              </w:rPr>
            </w:pPr>
            <w:r>
              <w:rPr>
                <w:rFonts w:ascii="Times New Roman" w:hAnsi="Times New Roman" w:cs="Times New Roman"/>
                <w:color w:val="ee0000"/>
                <w:sz w:val="22"/>
                <w:szCs w:val="22"/>
              </w:rPr>
              <w:t xml:space="preserve">Договор</w:t>
            </w:r>
            <w:r>
              <w:rPr>
                <w:rFonts w:ascii="Times New Roman" w:hAnsi="Times New Roman" w:cs="Times New Roman"/>
                <w:sz w:val="22"/>
                <w:szCs w:val="22"/>
              </w:rPr>
              <w:t xml:space="preserve"> </w:t>
            </w:r>
            <w:r>
              <w:rPr>
                <w:rFonts w:ascii="Times New Roman" w:hAnsi="Times New Roman" w:cs="Times New Roman"/>
                <w:sz w:val="22"/>
                <w:szCs w:val="22"/>
                <w:highlight w:val="yellow"/>
              </w:rPr>
              <w:t xml:space="preserve">${report_number}</w:t>
            </w:r>
            <w:r>
              <w:rPr>
                <w:rFonts w:ascii="Times New Roman" w:hAnsi="Times New Roman" w:cs="Times New Roman"/>
                <w:sz w:val="22"/>
                <w:szCs w:val="22"/>
              </w:rPr>
              <w:t xml:space="preserve"> от </w:t>
            </w:r>
            <w:r>
              <w:rPr>
                <w:rFonts w:ascii="Times New Roman" w:hAnsi="Times New Roman" w:cs="Times New Roman"/>
                <w:sz w:val="22"/>
                <w:szCs w:val="22"/>
                <w:highlight w:val="yellow"/>
              </w:rPr>
              <w:t xml:space="preserve">${report_date}</w:t>
            </w:r>
            <w:r>
              <w:rPr>
                <w:rFonts w:ascii="Times New Roman" w:hAnsi="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tc>
      </w:tr>
    </w:tbl>
    <w:p>
      <w:pPr>
        <w:pStyle w:val="1038"/>
        <w:widowControl w:val="false"/>
        <w:pBdr/>
        <w:spacing/>
        <w:ind/>
        <w:jc w:val="center"/>
        <w:rPr>
          <w:b/>
          <w:i/>
        </w:rPr>
      </w:pPr>
      <w:r>
        <w:rPr>
          <w:b/>
          <w:i/>
        </w:rPr>
      </w:r>
      <w:r>
        <w:rPr>
          <w:b/>
          <w:i/>
        </w:rPr>
      </w:r>
      <w:r>
        <w:rPr>
          <w:b/>
          <w:i/>
        </w:rPr>
      </w:r>
    </w:p>
    <w:p>
      <w:pPr>
        <w:pStyle w:val="1038"/>
        <w:widowControl w:val="false"/>
        <w:pBdr/>
        <w:spacing/>
        <w:ind/>
        <w:jc w:val="center"/>
        <w:rPr>
          <w:b/>
          <w:i/>
        </w:rPr>
      </w:pPr>
      <w:r>
        <w:rPr>
          <w:b/>
          <w:i/>
        </w:rPr>
      </w:r>
      <w:r>
        <w:rPr>
          <w:b/>
          <w:i/>
        </w:rPr>
      </w:r>
      <w:r>
        <w:rPr>
          <w:b/>
          <w:i/>
        </w:rPr>
      </w:r>
    </w:p>
    <w:p>
      <w:pPr>
        <w:pStyle w:val="1038"/>
        <w:widowControl w:val="false"/>
        <w:pBdr/>
        <w:spacing/>
        <w:ind/>
        <w:jc w:val="center"/>
        <w:rPr>
          <w:b/>
          <w:i/>
        </w:rPr>
      </w:pPr>
      <w:r>
        <w:rPr>
          <w:b/>
          <w:i/>
        </w:rPr>
      </w:r>
      <w:r>
        <w:rPr>
          <w:b/>
          <w:i/>
        </w:rPr>
      </w:r>
      <w:r>
        <w:rPr>
          <w:b/>
          <w:i/>
        </w:rPr>
      </w:r>
    </w:p>
    <w:p>
      <w:pPr>
        <w:pStyle w:val="1038"/>
        <w:widowControl w:val="false"/>
        <w:pBdr/>
        <w:spacing/>
        <w:ind/>
        <w:jc w:val="center"/>
        <w:rPr>
          <w:b/>
          <w:i/>
        </w:rPr>
      </w:pPr>
      <w:r>
        <w:rPr>
          <w:b/>
          <w:i/>
        </w:rPr>
      </w:r>
      <w:r>
        <w:rPr>
          <w:b/>
          <w:i/>
        </w:rPr>
      </w:r>
      <w:r>
        <w:rPr>
          <w:b/>
          <w:i/>
        </w:rPr>
      </w:r>
    </w:p>
    <w:p>
      <w:pPr>
        <w:pStyle w:val="1038"/>
        <w:widowControl w:val="false"/>
        <w:pBdr/>
        <w:spacing/>
        <w:ind/>
        <w:jc w:val="center"/>
        <w:rPr>
          <w:b/>
          <w:i/>
        </w:rPr>
      </w:pPr>
      <w:r>
        <w:rPr>
          <w:b/>
          <w:i/>
        </w:rPr>
      </w:r>
      <w:r>
        <w:rPr>
          <w:b/>
          <w:i/>
        </w:rPr>
      </w:r>
      <w:r>
        <w:rPr>
          <w:b/>
          <w:i/>
        </w:rPr>
      </w:r>
    </w:p>
    <w:p>
      <w:pPr>
        <w:pStyle w:val="1038"/>
        <w:widowControl w:val="false"/>
        <w:pBdr/>
        <w:spacing/>
        <w:ind/>
        <w:jc w:val="center"/>
        <w:rPr>
          <w:b/>
          <w:i/>
        </w:rPr>
      </w:pPr>
      <w:r>
        <w:rPr>
          <w:b/>
          <w:i/>
        </w:rPr>
      </w:r>
      <w:r>
        <w:rPr>
          <w:b/>
          <w:i/>
        </w:rPr>
      </w:r>
      <w:r>
        <w:rPr>
          <w:b/>
          <w:i/>
        </w:rPr>
      </w:r>
    </w:p>
    <w:p>
      <w:pPr>
        <w:pStyle w:val="1038"/>
        <w:widowControl w:val="false"/>
        <w:pBdr/>
        <w:spacing/>
        <w:ind/>
        <w:jc w:val="both"/>
        <w:rPr>
          <w:rFonts w:ascii="Arial" w:hAnsi="Arial" w:cs="Arial"/>
          <w:b/>
          <w:bCs/>
          <w:i/>
          <w:sz w:val="22"/>
          <w:szCs w:val="22"/>
        </w:rPr>
      </w:pPr>
      <w:r>
        <w:rPr>
          <w:b/>
          <w:bCs/>
          <w:i/>
          <w:color w:val="ff0000"/>
          <w:sz w:val="22"/>
          <w:szCs w:val="22"/>
        </w:rPr>
        <w:t xml:space="preserve">Частнопрактикующий</w:t>
      </w:r>
      <w:r>
        <w:rPr>
          <w:b/>
          <w:bCs/>
          <w:i/>
          <w:color w:val="ff0000"/>
          <w:sz w:val="22"/>
          <w:szCs w:val="22"/>
          <w:lang w:val="en-US"/>
        </w:rPr>
        <w:t xml:space="preserve"> </w:t>
      </w:r>
      <w:r>
        <w:rPr>
          <w:b/>
          <w:bCs/>
          <w:i/>
          <w:color w:val="ff0000"/>
          <w:sz w:val="22"/>
          <w:szCs w:val="22"/>
        </w:rPr>
        <w:t xml:space="preserve">оценщик                                                                                       </w:t>
      </w:r>
      <w:r>
        <w:rPr>
          <w:b/>
          <w:bCs/>
          <w:i/>
          <w:sz w:val="22"/>
          <w:szCs w:val="22"/>
          <w:highlight w:val="yellow"/>
        </w:rPr>
        <w:t xml:space="preserve">${user_appraiser_name}</w:t>
      </w:r>
      <w:r>
        <w:br w:type="page" w:clear="all"/>
      </w:r>
      <w:r>
        <w:rPr>
          <w:rFonts w:ascii="Arial" w:hAnsi="Arial" w:cs="Arial"/>
          <w:b/>
          <w:bCs/>
          <w:i/>
          <w:sz w:val="22"/>
          <w:szCs w:val="22"/>
        </w:rPr>
      </w:r>
      <w:r>
        <w:rPr>
          <w:rFonts w:ascii="Arial" w:hAnsi="Arial" w:cs="Arial"/>
          <w:b/>
          <w:bCs/>
          <w:i/>
          <w:sz w:val="22"/>
          <w:szCs w:val="22"/>
        </w:rP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1" w:name="__RefHeading___Toc212536945"/>
      <w:r/>
      <w:bookmarkEnd w:id="1"/>
      <w:r>
        <w:rPr>
          <w:rFonts w:ascii="Times New Roman" w:hAnsi="Times New Roman" w:cs="Times New Roman"/>
        </w:rPr>
        <w:t xml:space="preserve">2. ИНФОРМАЦИЯ, СОДЕРЖАЩАЯСЯ В ЗАДАНИИ НА ОЦЕНКУ</w:t>
      </w:r>
      <w:r>
        <w:rPr>
          <w:rFonts w:ascii="Times New Roman" w:hAnsi="Times New Roman" w:cs="Times New Roman"/>
        </w:rPr>
      </w:r>
      <w:r>
        <w:rPr>
          <w:rFonts w:ascii="Times New Roman" w:hAnsi="Times New Roman" w:cs="Times New Roman"/>
        </w:rPr>
      </w:r>
    </w:p>
    <w:p>
      <w:pPr>
        <w:pStyle w:val="1038"/>
        <w:widowControl w:val="false"/>
        <w:numPr>
          <w:ilvl w:val="0"/>
          <w:numId w:val="4"/>
        </w:numPr>
        <w:pBdr/>
        <w:spacing/>
        <w:ind w:right="0" w:hanging="360" w:left="1985"/>
        <w:jc w:val="right"/>
        <w:rPr/>
      </w:pPr>
      <w:r/>
      <w:r/>
    </w:p>
    <w:tbl>
      <w:tblPr>
        <w:tblW w:w="10490" w:type="dxa"/>
        <w:tblInd w:w="-176" w:type="dxa"/>
        <w:tblBorders/>
        <w:tblLayout w:type="fixed"/>
        <w:tblCellMar>
          <w:left w:w="108" w:type="dxa"/>
          <w:top w:w="0" w:type="dxa"/>
          <w:right w:w="108" w:type="dxa"/>
          <w:bottom w:w="0" w:type="dxa"/>
        </w:tblCellMar>
        <w:tblLook w:val="04A0" w:firstRow="1" w:lastRow="0" w:firstColumn="1" w:lastColumn="0" w:noHBand="0" w:noVBand="1"/>
      </w:tblPr>
      <w:tblGrid>
        <w:gridCol w:w="3686"/>
        <w:gridCol w:w="6804"/>
      </w:tblGrid>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Объект оценки, включая права на объект оценки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color w:val="ee0000"/>
                <w:sz w:val="22"/>
                <w:szCs w:val="22"/>
              </w:rPr>
              <w:t xml:space="preserve">Транспортно</w:t>
            </w:r>
            <w:r>
              <w:rPr>
                <w:b/>
                <w:bCs/>
                <w:color w:val="ee0000"/>
                <w:sz w:val="22"/>
                <w:szCs w:val="22"/>
              </w:rPr>
              <w:t xml:space="preserve">е</w:t>
            </w:r>
            <w:r>
              <w:rPr>
                <w:color w:val="ee0000"/>
                <w:sz w:val="22"/>
                <w:szCs w:val="22"/>
              </w:rPr>
              <w:t xml:space="preserve"> средств</w:t>
            </w:r>
            <w:r>
              <w:rPr>
                <w:b/>
                <w:bCs/>
                <w:color w:val="ee0000"/>
                <w:sz w:val="22"/>
                <w:szCs w:val="22"/>
              </w:rPr>
              <w:t xml:space="preserve">о</w:t>
            </w:r>
            <w:r>
              <w:rPr>
                <w:color w:val="ee0000"/>
                <w:sz w:val="22"/>
                <w:szCs w:val="22"/>
              </w:rPr>
              <w:t xml:space="preserve"> марки (модели)</w:t>
            </w:r>
            <w:r>
              <w:rPr>
                <w:sz w:val="22"/>
                <w:szCs w:val="22"/>
              </w:rPr>
              <w:t xml:space="preserve"> </w:t>
            </w:r>
            <w:r>
              <w:rPr>
                <w:sz w:val="22"/>
                <w:szCs w:val="22"/>
                <w:highlight w:val="yellow"/>
              </w:rPr>
              <w:t xml:space="preserve">${vehicle_brand_name} ${vehicle_model_name}</w:t>
            </w:r>
            <w:r>
              <w:rPr>
                <w:sz w:val="22"/>
                <w:szCs w:val="22"/>
              </w:rPr>
              <w:t xml:space="preserve">,</w:t>
            </w:r>
            <w:r>
              <w:rPr>
                <w:b/>
                <w:bCs/>
                <w:sz w:val="22"/>
                <w:szCs w:val="22"/>
              </w:rPr>
              <w:t xml:space="preserve"> </w:t>
            </w:r>
            <w:r>
              <w:rPr>
                <w:sz w:val="22"/>
                <w:szCs w:val="22"/>
                <w:highlight w:val="yellow"/>
              </w:rPr>
              <w:t xml:space="preserve">${vehicle_</w:t>
            </w:r>
            <w:r>
              <w:rPr>
                <w:sz w:val="22"/>
                <w:szCs w:val="22"/>
                <w:highlight w:val="yellow"/>
                <w:lang w:val="en-US"/>
              </w:rPr>
              <w:t xml:space="preserve">year</w:t>
            </w:r>
            <w:r>
              <w:rPr>
                <w:sz w:val="22"/>
                <w:szCs w:val="22"/>
                <w:highlight w:val="yellow"/>
              </w:rPr>
              <w:t xml:space="preserve">}</w:t>
            </w:r>
            <w:r>
              <w:rPr>
                <w:sz w:val="22"/>
                <w:szCs w:val="22"/>
                <w:highlight w:val="yellow"/>
                <w:lang w:val="en-US"/>
              </w:rPr>
              <w:t xml:space="preserve"> </w:t>
            </w:r>
            <w:r>
              <w:rPr>
                <w:color w:val="ee0000"/>
                <w:sz w:val="22"/>
                <w:szCs w:val="22"/>
              </w:rPr>
              <w:t xml:space="preserve">года выпуска</w:t>
            </w:r>
            <w:r>
              <w:rPr>
                <w:sz w:val="22"/>
                <w:szCs w:val="22"/>
              </w:rPr>
              <w:t xml:space="preserve">, </w:t>
            </w:r>
            <w:r>
              <w:rPr>
                <w:color w:val="ee0000"/>
                <w:sz w:val="22"/>
                <w:szCs w:val="22"/>
              </w:rPr>
              <w:t xml:space="preserve">идентификационный номер (VIN)</w:t>
            </w:r>
            <w:r>
              <w:rPr>
                <w:sz w:val="22"/>
                <w:szCs w:val="22"/>
              </w:rPr>
              <w:t xml:space="preserve">: </w:t>
            </w:r>
            <w:r>
              <w:rPr>
                <w:sz w:val="22"/>
                <w:szCs w:val="22"/>
                <w:highlight w:val="yellow"/>
              </w:rPr>
              <w:t xml:space="preserve">${vehicle_</w:t>
            </w:r>
            <w:r>
              <w:rPr>
                <w:sz w:val="22"/>
                <w:szCs w:val="22"/>
                <w:highlight w:val="yellow"/>
                <w:lang w:val="en-US"/>
              </w:rPr>
              <w:t xml:space="preserve">vin</w:t>
            </w:r>
            <w:r>
              <w:rPr>
                <w:sz w:val="22"/>
                <w:szCs w:val="22"/>
                <w:highlight w:val="yellow"/>
              </w:rPr>
              <w:t xml:space="preserve">}</w:t>
            </w:r>
            <w:r>
              <w:rPr>
                <w:b/>
                <w:bCs/>
                <w:sz w:val="22"/>
                <w:szCs w:val="22"/>
              </w:rPr>
              <w:t xml:space="preserve">.</w:t>
            </w:r>
            <w:r>
              <w:rPr>
                <w:sz w:val="22"/>
                <w:szCs w:val="22"/>
              </w:rPr>
            </w:r>
            <w:r>
              <w:rPr>
                <w:sz w:val="22"/>
                <w:szCs w:val="22"/>
              </w:rPr>
            </w:r>
          </w:p>
          <w:p>
            <w:pPr>
              <w:pStyle w:val="1038"/>
              <w:widowControl w:val="false"/>
              <w:pBdr/>
              <w:spacing/>
              <w:ind/>
              <w:jc w:val="both"/>
              <w:rPr>
                <w:sz w:val="22"/>
                <w:szCs w:val="22"/>
              </w:rPr>
            </w:pPr>
            <w:r>
              <w:rPr>
                <w:sz w:val="22"/>
                <w:szCs w:val="22"/>
              </w:rPr>
              <w:t xml:space="preserve">Оцениваемые права – право собственности.</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Цель оценки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sz w:val="22"/>
                <w:szCs w:val="22"/>
              </w:rPr>
              <w:t xml:space="preserve">Уточнение рыночной стоимости объекта оценки по состоянию на </w:t>
            </w:r>
            <w:r>
              <w:rPr>
                <w:sz w:val="22"/>
                <w:szCs w:val="22"/>
                <w:highlight w:val="yellow"/>
              </w:rPr>
              <w:t xml:space="preserve">${evaluation_date}</w:t>
            </w:r>
            <w:r>
              <w:rPr>
                <w:sz w:val="22"/>
                <w:szCs w:val="22"/>
                <w:highlight w:val="yellow"/>
              </w:rPr>
              <w:t xml:space="preserve">.</w:t>
            </w:r>
            <w:r>
              <w:rPr>
                <w:sz w:val="22"/>
                <w:szCs w:val="22"/>
              </w:rPr>
              <w:t xml:space="preserve"> </w:t>
            </w:r>
            <w:r>
              <w:rPr>
                <w:color w:val="ee0000"/>
                <w:sz w:val="22"/>
                <w:szCs w:val="22"/>
              </w:rPr>
              <w:t xml:space="preserve">(дата оценки)</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Указание на то,</w:t>
            </w:r>
            <w:r>
              <w:rPr>
                <w:b/>
                <w:sz w:val="22"/>
                <w:szCs w:val="22"/>
              </w:rPr>
            </w:r>
            <w:r>
              <w:rPr>
                <w:b/>
                <w:sz w:val="22"/>
                <w:szCs w:val="22"/>
              </w:rPr>
            </w:r>
          </w:p>
          <w:p>
            <w:pPr>
              <w:pStyle w:val="1038"/>
              <w:widowControl w:val="false"/>
              <w:pBdr/>
              <w:spacing/>
              <w:ind/>
              <w:rPr>
                <w:b/>
                <w:sz w:val="22"/>
                <w:szCs w:val="22"/>
              </w:rPr>
            </w:pPr>
            <w:r>
              <w:rPr>
                <w:b/>
                <w:sz w:val="22"/>
                <w:szCs w:val="22"/>
              </w:rPr>
              <w:t xml:space="preserve">что оценка проводится</w:t>
            </w:r>
            <w:r>
              <w:rPr>
                <w:b/>
                <w:sz w:val="22"/>
                <w:szCs w:val="22"/>
              </w:rPr>
            </w:r>
            <w:r>
              <w:rPr>
                <w:b/>
                <w:sz w:val="22"/>
                <w:szCs w:val="22"/>
              </w:rPr>
            </w:r>
          </w:p>
          <w:p>
            <w:pPr>
              <w:pStyle w:val="1038"/>
              <w:widowControl w:val="false"/>
              <w:pBdr/>
              <w:spacing/>
              <w:ind/>
              <w:rPr>
                <w:b/>
                <w:sz w:val="22"/>
                <w:szCs w:val="22"/>
              </w:rPr>
            </w:pPr>
            <w:r>
              <w:rPr>
                <w:b/>
                <w:sz w:val="22"/>
                <w:szCs w:val="22"/>
              </w:rPr>
              <w:t xml:space="preserve">в соответствии</w:t>
              <w:br/>
              <w:t xml:space="preserve">с Законом об оценке</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sz w:val="22"/>
                <w:szCs w:val="22"/>
              </w:rPr>
              <w:t xml:space="preserve">Оценка проводится в соответствии с </w:t>
            </w:r>
            <w:hyperlink r:id="rId15" w:tooltip="http://www.consultant.ru/document/cons_doc_LAW_19586/" w:history="1">
              <w:r>
                <w:rPr>
                  <w:rStyle w:val="1089"/>
                  <w:sz w:val="22"/>
                  <w:szCs w:val="22"/>
                </w:rPr>
                <w:t xml:space="preserve">Федеральным законом от 29.07.1998 N 135-ФЗ "Об оценочной деятельности в Российской Федерации"</w:t>
              </w:r>
            </w:hyperlink>
            <w:r>
              <w:rPr>
                <w:sz w:val="22"/>
                <w:szCs w:val="22"/>
              </w:rPr>
              <w:t xml:space="preserve">.</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Вид стоимости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rPr>
                <w:sz w:val="22"/>
                <w:szCs w:val="22"/>
              </w:rPr>
            </w:pPr>
            <w:r>
              <w:rPr>
                <w:sz w:val="22"/>
                <w:szCs w:val="22"/>
              </w:rPr>
              <w:t xml:space="preserve">Рыночная стоимость.</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Предпосылки стоимости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sz w:val="22"/>
                <w:szCs w:val="22"/>
              </w:rPr>
              <w:t xml:space="preserve">1)предполагается сделка с объектом оценки;</w:t>
            </w:r>
            <w:r>
              <w:rPr>
                <w:sz w:val="22"/>
                <w:szCs w:val="22"/>
              </w:rPr>
            </w:r>
            <w:r>
              <w:rPr>
                <w:sz w:val="22"/>
                <w:szCs w:val="22"/>
              </w:rPr>
            </w:r>
          </w:p>
          <w:p>
            <w:pPr>
              <w:pStyle w:val="1038"/>
              <w:widowControl w:val="false"/>
              <w:pBdr/>
              <w:spacing/>
              <w:ind/>
              <w:jc w:val="both"/>
              <w:rPr>
                <w:sz w:val="22"/>
                <w:szCs w:val="22"/>
              </w:rPr>
            </w:pPr>
            <w:r>
              <w:rPr>
                <w:sz w:val="22"/>
                <w:szCs w:val="22"/>
              </w:rPr>
              <w:t xml:space="preserve">2)участники сделки или пользователи объекта являются неопределенными лицами (гипотетические участники);</w:t>
            </w:r>
            <w:r>
              <w:rPr>
                <w:sz w:val="22"/>
                <w:szCs w:val="22"/>
              </w:rPr>
            </w:r>
            <w:r>
              <w:rPr>
                <w:sz w:val="22"/>
                <w:szCs w:val="22"/>
              </w:rPr>
            </w:r>
          </w:p>
          <w:p>
            <w:pPr>
              <w:pStyle w:val="1038"/>
              <w:widowControl w:val="false"/>
              <w:pBdr/>
              <w:spacing/>
              <w:ind/>
              <w:jc w:val="both"/>
              <w:rPr>
                <w:sz w:val="22"/>
                <w:szCs w:val="22"/>
              </w:rPr>
            </w:pPr>
            <w:r>
              <w:rPr>
                <w:sz w:val="22"/>
                <w:szCs w:val="22"/>
              </w:rPr>
              <w:t xml:space="preserve">3)</w:t>
            </w:r>
            <w:r>
              <w:rPr>
                <w:color w:val="ff0000"/>
                <w:sz w:val="22"/>
                <w:szCs w:val="22"/>
              </w:rPr>
              <w:t xml:space="preserve">дата оценки</w:t>
            </w:r>
            <w:r>
              <w:rPr>
                <w:sz w:val="22"/>
                <w:szCs w:val="22"/>
              </w:rPr>
              <w:t xml:space="preserve"> </w:t>
            </w:r>
            <w:r>
              <w:rPr>
                <w:sz w:val="22"/>
                <w:szCs w:val="22"/>
                <w:lang w:val="en-US"/>
              </w:rPr>
              <w:t xml:space="preserve">$</w:t>
            </w:r>
            <w:r>
              <w:rPr>
                <w:sz w:val="22"/>
                <w:szCs w:val="22"/>
                <w:lang w:val="en-US"/>
              </w:rPr>
              <w:t xml:space="preserve">{</w:t>
            </w:r>
            <w:r>
              <w:rPr>
                <w:sz w:val="22"/>
                <w:szCs w:val="22"/>
                <w:lang w:val="en-US"/>
              </w:rPr>
              <w:t xml:space="preserve">evaluation_date</w:t>
            </w:r>
            <w:r>
              <w:rPr>
                <w:sz w:val="22"/>
                <w:szCs w:val="22"/>
                <w:lang w:val="en-US"/>
              </w:rPr>
              <w:t xml:space="preserve">}</w:t>
            </w:r>
            <w:r>
              <w:rPr>
                <w:sz w:val="22"/>
                <w:szCs w:val="22"/>
              </w:rPr>
              <w:t xml:space="preserve">;</w:t>
            </w:r>
            <w:r>
              <w:rPr>
                <w:sz w:val="22"/>
                <w:szCs w:val="22"/>
              </w:rPr>
            </w:r>
            <w:r>
              <w:rPr>
                <w:sz w:val="22"/>
                <w:szCs w:val="22"/>
              </w:rPr>
            </w:r>
          </w:p>
          <w:p>
            <w:pPr>
              <w:pStyle w:val="1038"/>
              <w:widowControl w:val="false"/>
              <w:pBdr/>
              <w:spacing/>
              <w:ind/>
              <w:jc w:val="both"/>
              <w:rPr>
                <w:sz w:val="22"/>
                <w:szCs w:val="22"/>
              </w:rPr>
            </w:pPr>
            <w:r>
              <w:rPr>
                <w:sz w:val="22"/>
                <w:szCs w:val="22"/>
              </w:rPr>
              <w:t xml:space="preserve">4)предполагаемое использование объекта – текущее использование;</w:t>
            </w:r>
            <w:r>
              <w:rPr>
                <w:sz w:val="22"/>
                <w:szCs w:val="22"/>
              </w:rPr>
            </w:r>
            <w:r>
              <w:rPr>
                <w:sz w:val="22"/>
                <w:szCs w:val="22"/>
              </w:rPr>
            </w:r>
          </w:p>
          <w:p>
            <w:pPr>
              <w:pStyle w:val="1038"/>
              <w:widowControl w:val="false"/>
              <w:pBdr/>
              <w:spacing/>
              <w:ind/>
              <w:jc w:val="both"/>
              <w:rPr>
                <w:sz w:val="22"/>
                <w:szCs w:val="22"/>
              </w:rPr>
            </w:pPr>
            <w:r>
              <w:rPr>
                <w:sz w:val="22"/>
                <w:szCs w:val="22"/>
              </w:rPr>
              <w:t xml:space="preserve">5)характер сделки – добровольная сделка в типичных условиях.</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Основания</w:t>
            </w:r>
            <w:r>
              <w:rPr>
                <w:b/>
                <w:sz w:val="22"/>
                <w:szCs w:val="22"/>
              </w:rPr>
            </w:r>
            <w:r>
              <w:rPr>
                <w:b/>
                <w:sz w:val="22"/>
                <w:szCs w:val="22"/>
              </w:rPr>
            </w:r>
          </w:p>
          <w:p>
            <w:pPr>
              <w:pStyle w:val="1038"/>
              <w:widowControl w:val="false"/>
              <w:pBdr/>
              <w:spacing/>
              <w:ind/>
              <w:rPr>
                <w:b/>
                <w:sz w:val="22"/>
                <w:szCs w:val="22"/>
              </w:rPr>
            </w:pPr>
            <w:r>
              <w:rPr>
                <w:b/>
                <w:sz w:val="22"/>
                <w:szCs w:val="22"/>
              </w:rPr>
              <w:t xml:space="preserve">для установления предпосылок стоимости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sz w:val="22"/>
                <w:szCs w:val="22"/>
              </w:rPr>
              <w:t xml:space="preserve">Основания для установления предпосылок: вид стоимости «рыночная» подлежит установлению в соответствии с целями оценки.</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color w:val="ff0000"/>
                <w:sz w:val="22"/>
                <w:szCs w:val="22"/>
              </w:rPr>
            </w:pPr>
            <w:r>
              <w:rPr>
                <w:b/>
                <w:color w:val="ff0000"/>
                <w:sz w:val="22"/>
                <w:szCs w:val="22"/>
              </w:rPr>
              <w:t xml:space="preserve">Дата оценки</w:t>
            </w:r>
            <w:r>
              <w:rPr>
                <w:b/>
                <w:color w:val="ff0000"/>
                <w:sz w:val="22"/>
                <w:szCs w:val="22"/>
              </w:rPr>
            </w:r>
            <w:r>
              <w:rPr>
                <w:b/>
                <w:color w:val="ff0000"/>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rPr>
                <w:sz w:val="22"/>
                <w:szCs w:val="22"/>
              </w:rPr>
            </w:pPr>
            <w:r>
              <w:rPr>
                <w:sz w:val="22"/>
                <w:szCs w:val="22"/>
                <w:highlight w:val="yellow"/>
              </w:rPr>
            </w:r>
            <w:r>
              <w:rPr>
                <w:sz w:val="22"/>
                <w:szCs w:val="22"/>
                <w:highlight w:val="yellow"/>
              </w:rPr>
              <w:t xml:space="preserve">${evaluation_date}</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bCs/>
                <w:sz w:val="22"/>
                <w:szCs w:val="22"/>
              </w:rPr>
            </w:pPr>
            <w:r>
              <w:rPr>
                <w:b/>
                <w:bCs/>
                <w:sz w:val="22"/>
                <w:szCs w:val="22"/>
              </w:rPr>
              <w:t xml:space="preserve">Степень детализации работ по осмотру (полный, частичный с указанием критериев, без проведения осмотра) и период проведения осмотра, причины, по которым объект оценки не осмотрен, а также допущения, связанные с непроведением осмотра</w:t>
            </w:r>
            <w:r>
              <w:rPr>
                <w:b/>
                <w:bCs/>
                <w:sz w:val="22"/>
                <w:szCs w:val="22"/>
              </w:rPr>
            </w:r>
            <w:r>
              <w:rPr>
                <w:b/>
                <w:bCs/>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rPr>
                <w:sz w:val="22"/>
                <w:szCs w:val="22"/>
              </w:rPr>
            </w:pPr>
            <w:r>
              <w:rPr>
                <w:sz w:val="22"/>
                <w:szCs w:val="22"/>
              </w:rPr>
              <w:t xml:space="preserve">Без проведения осмотра, по причине проведения ретроспективной оценки.</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Специальные допущения</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rPr>
                <w:sz w:val="22"/>
                <w:szCs w:val="22"/>
              </w:rPr>
            </w:pPr>
            <w:r>
              <w:rPr>
                <w:sz w:val="22"/>
                <w:szCs w:val="22"/>
              </w:rPr>
              <w:t xml:space="preserve">Специальные допущения не предусмотрены.</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Иные существенные допущения</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sz w:val="22"/>
                <w:szCs w:val="22"/>
              </w:rPr>
              <w:t xml:space="preserve">Иные существенные допущения не предусмотрены</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Ограничения оценки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right="0" w:firstLine="225"/>
              <w:jc w:val="both"/>
              <w:rPr>
                <w:sz w:val="22"/>
                <w:szCs w:val="22"/>
              </w:rPr>
            </w:pPr>
            <w:r>
              <w:rPr>
                <w:sz w:val="22"/>
                <w:szCs w:val="22"/>
              </w:rPr>
              <w:t xml:space="preserve">1. Оценщик не обладает специальными познаниями, средствами и методами юридической экспертизы документов, устанавливающих кол</w:t>
            </w:r>
            <w:r>
              <w:rPr>
                <w:sz w:val="22"/>
                <w:szCs w:val="22"/>
              </w:rPr>
              <w:t xml:space="preserve">ичественные и качественные характеристики объекта оценки, в том числе правоустанавливающих и правоподтверждающих документов. Таким образом, оценка произведена из предположения, что информация, содержащаяся в указанных выше документах, является достоверной.</w:t>
            </w:r>
            <w:r>
              <w:rPr>
                <w:sz w:val="22"/>
                <w:szCs w:val="22"/>
              </w:rPr>
            </w:r>
            <w:r>
              <w:rPr>
                <w:sz w:val="22"/>
                <w:szCs w:val="22"/>
              </w:rPr>
            </w:r>
          </w:p>
          <w:p>
            <w:pPr>
              <w:pStyle w:val="1038"/>
              <w:widowControl w:val="false"/>
              <w:pBdr/>
              <w:spacing/>
              <w:ind w:right="0" w:firstLine="225"/>
              <w:jc w:val="both"/>
              <w:rPr>
                <w:sz w:val="22"/>
                <w:szCs w:val="22"/>
              </w:rPr>
            </w:pPr>
            <w:r>
              <w:rPr>
                <w:sz w:val="22"/>
                <w:szCs w:val="22"/>
              </w:rPr>
              <w:t xml:space="preserve">2. Техническое состояние объекта оценки оказывает существенное влияние на величину его стоимости, при этом оно м</w:t>
            </w:r>
            <w:r>
              <w:rPr>
                <w:sz w:val="22"/>
                <w:szCs w:val="22"/>
              </w:rPr>
              <w:t xml:space="preserve">ожет характеризоваться как видимыми признаками физического износа, так и его скрытой составляющей. Выявление указанных скрытых признаков физического износа может быть произведено профильными специалистами с использованием инструментальных средств контроля.</w:t>
            </w:r>
            <w:r>
              <w:rPr>
                <w:sz w:val="22"/>
                <w:szCs w:val="22"/>
              </w:rPr>
            </w:r>
            <w:r>
              <w:rPr>
                <w:sz w:val="22"/>
                <w:szCs w:val="22"/>
              </w:rPr>
            </w:r>
          </w:p>
          <w:p>
            <w:pPr>
              <w:pStyle w:val="1038"/>
              <w:widowControl w:val="false"/>
              <w:pBdr/>
              <w:spacing/>
              <w:ind w:right="0" w:firstLine="225"/>
              <w:jc w:val="both"/>
              <w:rPr>
                <w:sz w:val="22"/>
                <w:szCs w:val="22"/>
              </w:rPr>
            </w:pPr>
            <w:r>
              <w:rPr>
                <w:sz w:val="22"/>
                <w:szCs w:val="22"/>
              </w:rPr>
              <w:t xml:space="preserve">Оценщик не имеет специального образования в област</w:t>
            </w:r>
            <w:r>
              <w:rPr>
                <w:sz w:val="22"/>
                <w:szCs w:val="22"/>
              </w:rPr>
              <w:t xml:space="preserve">и сервисного обслуживания транспортных средств, а также соответствующих средств инструментального контроля. Таким образом, доступными средствами и методами проверки достоверности информации о техническом состоянии объекта оценки является визуальный осмотр.</w:t>
            </w:r>
            <w:r>
              <w:rPr>
                <w:sz w:val="22"/>
                <w:szCs w:val="22"/>
              </w:rPr>
            </w:r>
            <w:r>
              <w:rPr>
                <w:sz w:val="22"/>
                <w:szCs w:val="22"/>
              </w:rPr>
            </w:r>
          </w:p>
          <w:p>
            <w:pPr>
              <w:pStyle w:val="1038"/>
              <w:widowControl w:val="false"/>
              <w:pBdr/>
              <w:spacing/>
              <w:ind w:right="0" w:firstLine="225"/>
              <w:jc w:val="both"/>
              <w:rPr>
                <w:sz w:val="22"/>
                <w:szCs w:val="22"/>
              </w:rPr>
            </w:pPr>
            <w:r>
              <w:rPr>
                <w:sz w:val="22"/>
                <w:szCs w:val="22"/>
              </w:rPr>
              <w:t xml:space="preserve">Оценка производится из предположения об отсутствии к</w:t>
            </w:r>
            <w:r>
              <w:rPr>
                <w:sz w:val="22"/>
                <w:szCs w:val="22"/>
              </w:rPr>
              <w:t xml:space="preserve">аких-либо скрытых факторов, влияющих на стоимость оцениваемого автомобиля, не указанных в представленных Оценщику документах. На Оценщика не возлагается обязанность обнаруживать подобные факторы, а также на нем не лежит ответственность за их необнаружение.</w:t>
            </w:r>
            <w:r>
              <w:rPr>
                <w:sz w:val="22"/>
                <w:szCs w:val="22"/>
              </w:rPr>
            </w:r>
            <w:r>
              <w:rPr>
                <w:sz w:val="22"/>
                <w:szCs w:val="22"/>
              </w:rPr>
            </w:r>
          </w:p>
          <w:p>
            <w:pPr>
              <w:pStyle w:val="1038"/>
              <w:widowControl w:val="false"/>
              <w:pBdr/>
              <w:spacing/>
              <w:ind w:right="0" w:firstLine="225"/>
              <w:jc w:val="both"/>
              <w:rPr>
                <w:sz w:val="22"/>
                <w:szCs w:val="22"/>
              </w:rPr>
            </w:pPr>
            <w:r>
              <w:rPr>
                <w:sz w:val="22"/>
                <w:szCs w:val="22"/>
              </w:rPr>
              <w:t xml:space="preserve">3. Отчет достоверен лишь в полном объеме. Приложения являются его неотъемлемой частью.</w:t>
            </w:r>
            <w:r>
              <w:rPr>
                <w:sz w:val="22"/>
                <w:szCs w:val="22"/>
              </w:rPr>
            </w:r>
            <w:r>
              <w:rPr>
                <w:sz w:val="22"/>
                <w:szCs w:val="22"/>
              </w:rPr>
            </w:r>
          </w:p>
          <w:p>
            <w:pPr>
              <w:pStyle w:val="1038"/>
              <w:widowControl w:val="false"/>
              <w:pBdr/>
              <w:spacing/>
              <w:ind w:right="0" w:firstLine="225"/>
              <w:jc w:val="both"/>
              <w:rPr>
                <w:sz w:val="22"/>
                <w:szCs w:val="22"/>
              </w:rPr>
            </w:pPr>
            <w:r>
              <w:rPr>
                <w:sz w:val="22"/>
                <w:szCs w:val="22"/>
              </w:rPr>
              <w:t xml:space="preserve">4. Ни Заказчик, ни Оценщик не могут использовать Отчет иначе, чем это предусмотрено договором. Ни Отчет целиком, ни одна из его частей (особенно заключение о ст</w:t>
            </w:r>
            <w:r>
              <w:rPr>
                <w:sz w:val="22"/>
                <w:szCs w:val="22"/>
              </w:rPr>
              <w:t xml:space="preserve">оимости, сведения об Оценщике и юридическом лице, с которым он заключил трудовой договор, а также любая ссылка на их профессиональную деятельность) не могут распространяться каким-либо образом без предварительного письменного согласия и одобрения Оценщика.</w:t>
            </w:r>
            <w:r>
              <w:rPr>
                <w:sz w:val="22"/>
                <w:szCs w:val="22"/>
              </w:rPr>
            </w:r>
            <w:r>
              <w:rPr>
                <w:sz w:val="22"/>
                <w:szCs w:val="22"/>
              </w:rPr>
            </w:r>
          </w:p>
          <w:p>
            <w:pPr>
              <w:pStyle w:val="1038"/>
              <w:widowControl w:val="false"/>
              <w:pBdr/>
              <w:spacing/>
              <w:ind w:right="0" w:firstLine="225"/>
              <w:jc w:val="both"/>
              <w:rPr>
                <w:sz w:val="22"/>
                <w:szCs w:val="22"/>
              </w:rPr>
            </w:pPr>
            <w:r>
              <w:rPr>
                <w:sz w:val="22"/>
                <w:szCs w:val="22"/>
              </w:rPr>
              <w:t xml:space="preserve">5. Исходя из вероятностной природы рыночной</w:t>
            </w:r>
            <w:r>
              <w:rPr>
                <w:sz w:val="22"/>
                <w:szCs w:val="22"/>
              </w:rPr>
              <w:t xml:space="preserve"> стоимости, указанной в ст. 3 135-ФЗ, Оценщик не принимает на себя никакой ответственности за неспособность Заказчика оценки или третьих лиц совершить с объектом оценки сделку, для определения ценовых параметров которой составлен настоящий отчет об оценке.</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Ограничения на использование, распространение и публикацию отчета</w:t>
              <w:br/>
              <w:t xml:space="preserve">об оценке объекта оценки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sz w:val="22"/>
                <w:szCs w:val="22"/>
              </w:rPr>
              <w:t xml:space="preserve">Публикация и распространение Отчета Заказчиком осуществляется с письменного разрешения оценщика.</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Указание на форму составления отчета об оценке</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rPr>
            </w:pPr>
            <w:r>
              <w:rPr>
                <w:sz w:val="22"/>
                <w:szCs w:val="22"/>
              </w:rPr>
              <w:t xml:space="preserve">На бумажном носителе</w:t>
            </w:r>
            <w:r>
              <w:rPr>
                <w:sz w:val="22"/>
                <w:szCs w:val="22"/>
              </w:rPr>
            </w:r>
            <w:r>
              <w:rPr>
                <w:sz w:val="22"/>
                <w:szCs w:val="22"/>
              </w:rPr>
            </w:r>
          </w:p>
          <w:p>
            <w:pPr>
              <w:pStyle w:val="1038"/>
              <w:widowControl w:val="false"/>
              <w:pBdr/>
              <w:spacing/>
              <w:ind/>
              <w:jc w:val="both"/>
              <w:rPr>
                <w:sz w:val="22"/>
                <w:szCs w:val="22"/>
              </w:rPr>
            </w:pPr>
            <w:r>
              <w:rPr>
                <w:sz w:val="22"/>
                <w:szCs w:val="22"/>
              </w:rPr>
              <w:t xml:space="preserve">В электронном виде</w:t>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Состав и объем документов и материалов, представляемых заказчиком оценки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213"/>
              <w:widowControl w:val="false"/>
              <w:numPr>
                <w:ilvl w:val="0"/>
                <w:numId w:val="9"/>
              </w:numPr>
              <w:pBdr/>
              <w:tabs>
                <w:tab w:val="left" w:leader="none" w:pos="410"/>
                <w:tab w:val="clear" w:leader="none" w:pos="709"/>
              </w:tabs>
              <w:spacing/>
              <w:ind w:right="0" w:firstLine="115" w:left="0"/>
              <w:jc w:val="left"/>
              <w:rPr>
                <w:sz w:val="22"/>
                <w:szCs w:val="22"/>
                <w:highlight w:val="yellow"/>
              </w:rPr>
            </w:pPr>
            <w:r>
              <w:rPr>
                <w:color w:val="ee0000"/>
                <w:sz w:val="22"/>
                <w:szCs w:val="22"/>
              </w:rPr>
              <w:t xml:space="preserve">Свидетельство о смерти</w:t>
            </w:r>
            <w:r>
              <w:rPr>
                <w:sz w:val="22"/>
                <w:szCs w:val="22"/>
              </w:rPr>
              <w:t xml:space="preserve"> </w:t>
            </w:r>
            <w:r>
              <w:rPr>
                <w:sz w:val="22"/>
                <w:szCs w:val="22"/>
                <w:highlight w:val="yellow"/>
                <w:lang w:val="en-US"/>
              </w:rPr>
              <w:t xml:space="preserve">${</w:t>
            </w:r>
            <w:r>
              <w:rPr>
                <w:sz w:val="22"/>
                <w:szCs w:val="22"/>
                <w:highlight w:val="yellow"/>
                <w:lang w:val="en-US"/>
              </w:rPr>
              <w:t xml:space="preserve">owner_death_certificate_number</w:t>
            </w:r>
            <w:r>
              <w:rPr>
                <w:sz w:val="22"/>
                <w:szCs w:val="22"/>
                <w:highlight w:val="yellow"/>
                <w:lang w:val="en-US"/>
              </w:rPr>
              <w:t xml:space="preserve">}</w:t>
            </w:r>
            <w:r>
              <w:rPr>
                <w:sz w:val="22"/>
                <w:szCs w:val="22"/>
                <w:highlight w:val="yellow"/>
              </w:rPr>
              <w:t xml:space="preserve"> от </w:t>
            </w:r>
            <w:r>
              <w:rPr>
                <w:sz w:val="22"/>
                <w:szCs w:val="22"/>
                <w:highlight w:val="yellow"/>
                <w:lang w:val="en-US"/>
              </w:rPr>
              <w:t xml:space="preserve">${</w:t>
            </w:r>
            <w:r>
              <w:rPr>
                <w:sz w:val="22"/>
                <w:szCs w:val="22"/>
                <w:highlight w:val="yellow"/>
                <w:lang w:val="en-US"/>
              </w:rPr>
              <w:t xml:space="preserve">owner_deathdate</w:t>
            </w:r>
            <w:r>
              <w:rPr>
                <w:sz w:val="22"/>
                <w:szCs w:val="22"/>
                <w:highlight w:val="yellow"/>
                <w:lang w:val="en-US"/>
              </w:rPr>
              <w:t xml:space="preserve">}</w:t>
            </w:r>
            <w:r>
              <w:rPr>
                <w:sz w:val="22"/>
                <w:szCs w:val="22"/>
                <w:highlight w:val="yellow"/>
              </w:rPr>
              <w:t xml:space="preserve">.</w:t>
            </w:r>
            <w:r>
              <w:rPr>
                <w:sz w:val="22"/>
                <w:szCs w:val="22"/>
                <w:highlight w:val="yellow"/>
              </w:rPr>
            </w:r>
            <w:r>
              <w:rPr>
                <w:sz w:val="22"/>
                <w:szCs w:val="22"/>
                <w:highlight w:val="yellow"/>
              </w:rPr>
            </w:r>
          </w:p>
          <w:p>
            <w:pPr>
              <w:pStyle w:val="1213"/>
              <w:widowControl w:val="false"/>
              <w:numPr>
                <w:ilvl w:val="0"/>
                <w:numId w:val="9"/>
              </w:numPr>
              <w:pBdr/>
              <w:tabs>
                <w:tab w:val="left" w:leader="none" w:pos="410"/>
                <w:tab w:val="clear" w:leader="none" w:pos="709"/>
              </w:tabs>
              <w:spacing/>
              <w:ind w:right="0" w:firstLine="115" w:left="0"/>
              <w:jc w:val="left"/>
              <w:rPr>
                <w:sz w:val="22"/>
                <w:szCs w:val="22"/>
                <w:highlight w:val="yellow"/>
              </w:rPr>
            </w:pPr>
            <w:r>
              <w:rPr>
                <w:color w:val="ee0000"/>
                <w:sz w:val="22"/>
                <w:szCs w:val="22"/>
              </w:rPr>
              <w:t xml:space="preserve">Свидетельство о регистрации ТС</w:t>
            </w:r>
            <w:r>
              <w:rPr>
                <w:sz w:val="22"/>
                <w:szCs w:val="22"/>
              </w:rPr>
              <w:t xml:space="preserve"> </w:t>
            </w:r>
            <w:r>
              <w:rPr>
                <w:sz w:val="22"/>
                <w:szCs w:val="22"/>
                <w:lang w:val="en-US"/>
              </w:rPr>
              <w:t xml:space="preserve">${</w:t>
            </w:r>
            <w:r>
              <w:rPr>
                <w:sz w:val="22"/>
                <w:szCs w:val="22"/>
                <w:lang w:val="en-US"/>
              </w:rPr>
              <w:t xml:space="preserve">vehicle_registration_certificate</w:t>
            </w:r>
            <w:r>
              <w:rPr>
                <w:sz w:val="22"/>
                <w:szCs w:val="22"/>
                <w:lang w:val="en-US"/>
              </w:rPr>
              <w:t xml:space="preserve">}</w:t>
            </w:r>
            <w:r>
              <w:rPr>
                <w:sz w:val="22"/>
                <w:szCs w:val="22"/>
                <w:highlight w:val="yellow"/>
              </w:rPr>
              <w:t xml:space="preserve"> от </w:t>
            </w:r>
            <w:r>
              <w:rPr>
                <w:sz w:val="22"/>
                <w:szCs w:val="22"/>
                <w:highlight w:val="yellow"/>
                <w:lang w:val="en-US"/>
              </w:rPr>
              <w:t xml:space="preserve">${</w:t>
            </w:r>
            <w:r>
              <w:rPr>
                <w:sz w:val="22"/>
                <w:szCs w:val="22"/>
                <w:highlight w:val="yellow"/>
                <w:lang w:val="en-US"/>
              </w:rPr>
              <w:t xml:space="preserve">vehicle_operation_start_date</w:t>
            </w:r>
            <w:r>
              <w:rPr>
                <w:sz w:val="22"/>
                <w:szCs w:val="22"/>
                <w:highlight w:val="yellow"/>
                <w:lang w:val="en-US"/>
              </w:rPr>
              <w:t xml:space="preserve">}</w:t>
            </w:r>
            <w:r>
              <w:rPr>
                <w:sz w:val="22"/>
                <w:szCs w:val="22"/>
                <w:highlight w:val="yellow"/>
              </w:rPr>
              <w:t xml:space="preserve">.</w:t>
            </w:r>
            <w:r>
              <w:rPr>
                <w:sz w:val="22"/>
                <w:szCs w:val="22"/>
                <w:highlight w:val="yellow"/>
              </w:rPr>
            </w:r>
            <w:r>
              <w:rPr>
                <w:sz w:val="22"/>
                <w:szCs w:val="22"/>
                <w:highlight w:val="yellow"/>
              </w:rPr>
            </w:r>
          </w:p>
          <w:p>
            <w:pPr>
              <w:pStyle w:val="1213"/>
              <w:widowControl w:val="false"/>
              <w:pBdr/>
              <w:tabs>
                <w:tab w:val="left" w:leader="none" w:pos="410"/>
                <w:tab w:val="clear" w:leader="none" w:pos="709"/>
              </w:tabs>
              <w:spacing/>
              <w:ind w:right="0" w:firstLine="0" w:left="360"/>
              <w:jc w:val="left"/>
              <w:rPr>
                <w:sz w:val="22"/>
                <w:szCs w:val="22"/>
              </w:rPr>
            </w:pPr>
            <w:r>
              <w:rPr>
                <w:sz w:val="22"/>
                <w:szCs w:val="22"/>
              </w:rPr>
            </w:r>
            <w:r>
              <w:rPr>
                <w:sz w:val="22"/>
                <w:szCs w:val="22"/>
              </w:rPr>
            </w:r>
            <w:r>
              <w:rPr>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Необходимость привлечения внешних организаций и квалифицированных отраслевых специалистов</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iCs/>
                <w:sz w:val="22"/>
                <w:szCs w:val="22"/>
              </w:rPr>
            </w:pPr>
            <w:r>
              <w:rPr>
                <w:iCs/>
                <w:sz w:val="22"/>
                <w:szCs w:val="22"/>
              </w:rPr>
              <w:t xml:space="preserve">Необходимость привлечения </w:t>
            </w:r>
            <w:r>
              <w:rPr>
                <w:sz w:val="22"/>
                <w:szCs w:val="22"/>
              </w:rPr>
              <w:t xml:space="preserve">внешних организаций и квалифицированных отраслевых специалистов отсутствует.</w:t>
            </w:r>
            <w:r>
              <w:rPr>
                <w:iCs/>
                <w:sz w:val="22"/>
                <w:szCs w:val="22"/>
              </w:rPr>
            </w:r>
            <w:r>
              <w:rPr>
                <w:iCs/>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Сведения о предполагаемых пользователях результата оценки</w:t>
            </w:r>
            <w:r>
              <w:rPr>
                <w:b/>
                <w:sz w:val="22"/>
                <w:szCs w:val="22"/>
              </w:rPr>
            </w:r>
            <w:r>
              <w:rPr>
                <w:b/>
                <w:sz w:val="22"/>
                <w:szCs w:val="22"/>
              </w:rPr>
            </w:r>
          </w:p>
          <w:p>
            <w:pPr>
              <w:pStyle w:val="1038"/>
              <w:widowControl w:val="false"/>
              <w:pBdr/>
              <w:spacing/>
              <w:ind/>
              <w:rPr>
                <w:b/>
                <w:sz w:val="22"/>
                <w:szCs w:val="22"/>
              </w:rPr>
            </w:pPr>
            <w:r>
              <w:rPr>
                <w:b/>
                <w:sz w:val="22"/>
                <w:szCs w:val="22"/>
              </w:rPr>
              <w:t xml:space="preserve">и отчета об оценке (помимо заказчика оценки)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sz w:val="22"/>
                <w:szCs w:val="22"/>
                <w:lang w:val="en-US"/>
              </w:rPr>
            </w:pPr>
            <w:r>
              <w:rPr>
                <w:sz w:val="22"/>
                <w:szCs w:val="22"/>
              </w:rPr>
              <w:t xml:space="preserve">Органы нотариата Российской Федерации.</w:t>
            </w:r>
            <w:r>
              <w:rPr>
                <w:sz w:val="22"/>
                <w:szCs w:val="22"/>
                <w:lang w:val="en-US"/>
              </w:rPr>
            </w:r>
            <w:r>
              <w:rPr>
                <w:sz w:val="22"/>
                <w:szCs w:val="22"/>
                <w:lang w:val="en-US"/>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Формы представления итоговой стоимости</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iCs/>
                <w:sz w:val="22"/>
                <w:szCs w:val="22"/>
              </w:rPr>
            </w:pPr>
            <w:r>
              <w:rPr>
                <w:iCs/>
                <w:sz w:val="22"/>
                <w:szCs w:val="22"/>
              </w:rPr>
              <w:t xml:space="preserve">В виде числа без округления в рублях.</w:t>
            </w:r>
            <w:r>
              <w:rPr>
                <w:iCs/>
                <w:sz w:val="22"/>
                <w:szCs w:val="22"/>
              </w:rPr>
            </w:r>
            <w:r>
              <w:rPr>
                <w:iCs/>
                <w:sz w:val="22"/>
                <w:szCs w:val="22"/>
              </w:rPr>
            </w:r>
          </w:p>
          <w:p>
            <w:pPr>
              <w:pStyle w:val="1038"/>
              <w:widowControl w:val="false"/>
              <w:pBdr/>
              <w:spacing/>
              <w:ind/>
              <w:jc w:val="both"/>
              <w:rPr>
                <w:iCs/>
                <w:sz w:val="22"/>
                <w:szCs w:val="22"/>
              </w:rPr>
            </w:pPr>
            <w:r>
              <w:rPr>
                <w:iCs/>
                <w:sz w:val="22"/>
                <w:szCs w:val="22"/>
              </w:rPr>
              <w:t xml:space="preserve">Оценщик не должен приводить в отчете суждение о возможных границах интервала, в котором, по его мнению, может находиться итоговая стоимость объекта оценки.</w:t>
            </w:r>
            <w:r>
              <w:rPr>
                <w:iCs/>
                <w:sz w:val="22"/>
                <w:szCs w:val="22"/>
              </w:rPr>
            </w:r>
            <w:r>
              <w:rPr>
                <w:iCs/>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Специфические требования к отчету об оценке</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jc w:val="both"/>
              <w:rPr>
                <w:iCs/>
                <w:sz w:val="22"/>
                <w:szCs w:val="22"/>
              </w:rPr>
            </w:pPr>
            <w:r>
              <w:rPr>
                <w:sz w:val="22"/>
                <w:szCs w:val="22"/>
              </w:rPr>
              <w:t xml:space="preserve">Специфические требования к отчету об оценке</w:t>
            </w:r>
            <w:r>
              <w:rPr>
                <w:iCs/>
                <w:sz w:val="22"/>
                <w:szCs w:val="22"/>
              </w:rPr>
              <w:t xml:space="preserve"> отсутствуют.</w:t>
            </w:r>
            <w:r>
              <w:rPr>
                <w:iCs/>
                <w:sz w:val="22"/>
                <w:szCs w:val="22"/>
              </w:rPr>
            </w:r>
            <w:r>
              <w:rPr>
                <w:iCs/>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Style w:val="1038"/>
              <w:widowControl w:val="false"/>
              <w:pBdr/>
              <w:spacing/>
              <w:ind/>
              <w:rPr>
                <w:b/>
                <w:sz w:val="22"/>
                <w:szCs w:val="22"/>
              </w:rPr>
            </w:pPr>
            <w:r>
              <w:rPr>
                <w:b/>
                <w:sz w:val="22"/>
                <w:szCs w:val="22"/>
              </w:rPr>
              <w:t xml:space="preserve">Указание на необходимость проведения дополнительных исследований и определения иных расчетных величин, которые не являются результатами оценки в соответствии с ФСО</w:t>
            </w:r>
            <w:r>
              <w:rPr>
                <w:b/>
                <w:sz w:val="22"/>
                <w:szCs w:val="22"/>
              </w:rPr>
            </w:r>
            <w:r>
              <w:rPr>
                <w:b/>
                <w:sz w:val="22"/>
                <w:szCs w:val="22"/>
              </w:rP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Style w:val="1038"/>
              <w:widowControl w:val="false"/>
              <w:pBdr/>
              <w:spacing/>
              <w:ind/>
              <w:rPr>
                <w:iCs/>
                <w:sz w:val="22"/>
                <w:szCs w:val="22"/>
              </w:rPr>
            </w:pPr>
            <w:r>
              <w:rPr>
                <w:sz w:val="22"/>
                <w:szCs w:val="22"/>
              </w:rPr>
              <w:t xml:space="preserve">Проведение дополнительных исследований и определения иных расчетных величин не требуется</w:t>
            </w:r>
            <w:r>
              <w:rPr>
                <w:iCs/>
                <w:sz w:val="22"/>
                <w:szCs w:val="22"/>
              </w:rPr>
              <w:t xml:space="preserve">.</w:t>
            </w:r>
            <w:r>
              <w:rPr>
                <w:iCs/>
                <w:sz w:val="22"/>
                <w:szCs w:val="22"/>
              </w:rPr>
            </w:r>
            <w:r>
              <w:rPr>
                <w:iCs/>
                <w:sz w:val="22"/>
                <w:szCs w:val="22"/>
              </w:rPr>
            </w:r>
          </w:p>
        </w:tc>
      </w:tr>
    </w:tbl>
    <w:p>
      <w:pPr>
        <w:pStyle w:val="1039"/>
        <w:keepNext w:val="false"/>
        <w:widowControl w:val="false"/>
        <w:numPr>
          <w:ilvl w:val="0"/>
          <w:numId w:val="1"/>
        </w:numPr>
        <w:pBdr/>
        <w:spacing w:after="60" w:before="0"/>
        <w:ind w:firstLine="0" w:left="0"/>
        <w:jc w:val="center"/>
        <w:rPr>
          <w:rFonts w:ascii="Times New Roman" w:hAnsi="Times New Roman" w:cs="Times New Roman"/>
        </w:rPr>
      </w:pPr>
      <w:r>
        <w:br w:type="page" w:clear="all"/>
      </w:r>
      <w:bookmarkStart w:id="2" w:name="__RefHeading___Toc212536946"/>
      <w:r/>
      <w:bookmarkEnd w:id="2"/>
      <w:r>
        <w:rPr>
          <w:rFonts w:ascii="Times New Roman" w:hAnsi="Times New Roman" w:cs="Times New Roman"/>
        </w:rPr>
        <w:t xml:space="preserve">3. СВЕДЕНИЯ О ЧАСТНОПРАКТИКУЮЩЕМ ОЦЕНЩИКЕ</w:t>
      </w:r>
      <w:r>
        <w:rPr>
          <w:rFonts w:ascii="Times New Roman" w:hAnsi="Times New Roman" w:cs="Times New Roman"/>
        </w:rPr>
      </w:r>
      <w:r>
        <w:rPr>
          <w:rFonts w:ascii="Times New Roman" w:hAnsi="Times New Roman" w:cs="Times New Roman"/>
        </w:rPr>
      </w:r>
    </w:p>
    <w:p>
      <w:pPr>
        <w:pStyle w:val="1038"/>
        <w:widowControl w:val="false"/>
        <w:numPr>
          <w:ilvl w:val="0"/>
          <w:numId w:val="4"/>
        </w:numPr>
        <w:pBdr/>
        <w:spacing/>
        <w:ind w:right="0" w:hanging="360" w:left="1985"/>
        <w:jc w:val="right"/>
        <w:rPr/>
      </w:pPr>
      <w:r/>
      <w:r/>
    </w:p>
    <w:tbl>
      <w:tblPr>
        <w:tblW w:w="10031"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369"/>
        <w:gridCol w:w="6662"/>
      </w:tblGrid>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Фамилия, имя и (при наличии) отчество:</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214"/>
              <w:widowControl w:val="false"/>
              <w:pBdr/>
              <w:spacing w:after="200" w:before="0"/>
              <w:ind/>
              <w:jc w:val="both"/>
              <w:rPr>
                <w:rFonts w:ascii="Times New Roman" w:hAnsi="Times New Roman" w:cs="Times New Roman"/>
                <w:sz w:val="22"/>
                <w:szCs w:val="22"/>
              </w:rPr>
            </w:pP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lang w:val="en-US"/>
              </w:rPr>
              <w:t xml:space="preserve">user_appraiser_name</w:t>
            </w:r>
            <w:r>
              <w:rPr>
                <w:rFonts w:ascii="Times New Roman" w:hAnsi="Times New Roman" w:cs="Times New Roman"/>
                <w:sz w:val="22"/>
                <w:szCs w:val="22"/>
                <w:highlight w:val="none"/>
                <w:lang w:val="en-US"/>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Номер контактного телефона:</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214"/>
              <w:widowControl w:val="false"/>
              <w:pBdr/>
              <w:spacing w:after="200" w:before="0"/>
              <w:ind/>
              <w:jc w:val="both"/>
              <w:rPr>
                <w:rFonts w:ascii="Times New Roman" w:hAnsi="Times New Roman" w:cs="Times New Roman"/>
                <w:sz w:val="22"/>
                <w:szCs w:val="22"/>
              </w:rPr>
            </w:pPr>
            <w:r>
              <w:rPr>
                <w:rFonts w:ascii="Times New Roman" w:hAnsi="Times New Roman" w:cs="Times New Roman"/>
                <w:sz w:val="22"/>
                <w:szCs w:val="22"/>
                <w:highlight w:val="yellow"/>
              </w:rPr>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lang w:val="en-US"/>
              </w:rPr>
              <w:t xml:space="preserve">user_appraiser_phone</w:t>
            </w:r>
            <w:r>
              <w:rPr>
                <w:rFonts w:ascii="Times New Roman" w:hAnsi="Times New Roman" w:cs="Times New Roman"/>
                <w:sz w:val="22"/>
                <w:szCs w:val="22"/>
                <w:highlight w:val="none"/>
                <w:lang w:val="en-US"/>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Адрес:</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214"/>
              <w:widowControl w:val="false"/>
              <w:pBdr/>
              <w:spacing w:after="200" w:before="0"/>
              <w:ind/>
              <w:jc w:val="both"/>
              <w:rPr>
                <w:rFonts w:ascii="Times New Roman" w:hAnsi="Times New Roman" w:cs="Times New Roman"/>
                <w:sz w:val="22"/>
                <w:szCs w:val="22"/>
              </w:rPr>
            </w:pPr>
            <w:r>
              <w:rPr>
                <w:rFonts w:ascii="Times New Roman" w:hAnsi="Times New Roman" w:cs="Times New Roman"/>
                <w:sz w:val="22"/>
                <w:szCs w:val="22"/>
                <w:highlight w:val="yellow"/>
              </w:rPr>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lang w:val="en-US"/>
              </w:rPr>
              <w:t xml:space="preserve">user_appraiser_address</w:t>
            </w:r>
            <w:r>
              <w:rPr>
                <w:rFonts w:ascii="Times New Roman" w:hAnsi="Times New Roman" w:cs="Times New Roman"/>
                <w:sz w:val="22"/>
                <w:szCs w:val="22"/>
                <w:highlight w:val="none"/>
                <w:lang w:val="en-US"/>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Адрес электронной почты:</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160"/>
              <w:pBdr/>
              <w:spacing/>
              <w:ind w:right="0" w:firstLine="0" w:left="0"/>
              <w:jc w:val="both"/>
              <w:rPr>
                <w:rFonts w:ascii="Times New Roman" w:hAnsi="Times New Roman" w:cs="Times New Roman"/>
                <w:sz w:val="22"/>
                <w:szCs w:val="22"/>
                <w:highlight w:val="yellow"/>
                <w:lang w:val="en-US"/>
              </w:rPr>
            </w:pPr>
            <w:r>
              <w:rPr>
                <w:rFonts w:ascii="Times New Roman" w:hAnsi="Times New Roman" w:cs="Times New Roman"/>
                <w:sz w:val="22"/>
                <w:szCs w:val="22"/>
                <w:highlight w:val="yellow"/>
                <w:lang w:val="en-US"/>
              </w:rPr>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lang w:val="en-US"/>
              </w:rPr>
              <w:t xml:space="preserve">user_appraiser_email</w:t>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yellow"/>
                <w:lang w:val="en-US"/>
              </w:rPr>
            </w:r>
            <w:r>
              <w:rPr>
                <w:rFonts w:ascii="Times New Roman" w:hAnsi="Times New Roman" w:cs="Times New Roman"/>
                <w:sz w:val="22"/>
                <w:szCs w:val="22"/>
                <w:highlight w:val="yellow"/>
                <w:lang w:val="en-US"/>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Сведения о членстве оценщика в саморегулируемой организации оценщиков:</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160"/>
              <w:pBdr/>
              <w:spacing/>
              <w:ind w:right="0" w:firstLine="0" w:left="0"/>
              <w:jc w:val="both"/>
              <w:rPr>
                <w:rFonts w:ascii="Times New Roman" w:hAnsi="Times New Roman" w:cs="Times New Roman"/>
                <w:sz w:val="22"/>
                <w:szCs w:val="22"/>
                <w:highlight w:val="yellow"/>
              </w:rPr>
            </w:pP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appraiser_sro</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r>
            <w:r>
              <w:rPr>
                <w:rFonts w:ascii="Times New Roman" w:hAnsi="Times New Roman" w:cs="Times New Roman"/>
                <w:sz w:val="22"/>
                <w:szCs w:val="22"/>
                <w:highlight w:val="yellow"/>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ИНН:</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160"/>
              <w:pBdr/>
              <w:spacing/>
              <w:ind w:right="0" w:firstLine="0" w:left="0"/>
              <w:jc w:val="both"/>
              <w:rPr>
                <w:rFonts w:ascii="Times New Roman" w:hAnsi="Times New Roman" w:cs="Times New Roman"/>
                <w:sz w:val="22"/>
                <w:szCs w:val="22"/>
              </w:rPr>
            </w:pPr>
            <w:r>
              <w:rPr>
                <w:rFonts w:ascii="Times New Roman" w:hAnsi="Times New Roman" w:cs="Times New Roman"/>
                <w:sz w:val="22"/>
                <w:szCs w:val="22"/>
                <w:highlight w:val="yellow"/>
              </w:rPr>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lang w:val="en-US"/>
              </w:rPr>
              <w:t xml:space="preserve">user_appraiser_inn</w:t>
            </w:r>
            <w:r>
              <w:rPr>
                <w:rFonts w:ascii="Times New Roman" w:hAnsi="Times New Roman" w:cs="Times New Roman"/>
                <w:sz w:val="22"/>
                <w:szCs w:val="22"/>
                <w:highlight w:val="none"/>
                <w:lang w:val="en-US"/>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Документы, подтверждающие</w:t>
            </w:r>
            <w:r>
              <w:rPr>
                <w:rFonts w:ascii="Times New Roman" w:hAnsi="Times New Roman" w:cs="Times New Roman"/>
                <w:b/>
                <w:color w:val="ff0000"/>
                <w:sz w:val="22"/>
                <w:szCs w:val="22"/>
              </w:rPr>
            </w:r>
            <w:r>
              <w:rPr>
                <w:rFonts w:ascii="Times New Roman" w:hAnsi="Times New Roman" w:cs="Times New Roman"/>
                <w:b/>
                <w:color w:val="ff0000"/>
                <w:sz w:val="22"/>
                <w:szCs w:val="22"/>
              </w:rPr>
            </w:r>
          </w:p>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получение профессиональных</w:t>
            </w:r>
            <w:r>
              <w:rPr>
                <w:rFonts w:ascii="Times New Roman" w:hAnsi="Times New Roman" w:cs="Times New Roman"/>
                <w:b/>
                <w:color w:val="ff0000"/>
                <w:sz w:val="22"/>
                <w:szCs w:val="22"/>
              </w:rPr>
            </w:r>
            <w:r>
              <w:rPr>
                <w:rFonts w:ascii="Times New Roman" w:hAnsi="Times New Roman" w:cs="Times New Roman"/>
                <w:b/>
                <w:color w:val="ff0000"/>
                <w:sz w:val="22"/>
                <w:szCs w:val="22"/>
              </w:rPr>
            </w:r>
          </w:p>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знаний в области оценочной</w:t>
            </w:r>
            <w:r>
              <w:rPr>
                <w:rFonts w:ascii="Times New Roman" w:hAnsi="Times New Roman" w:cs="Times New Roman"/>
                <w:b/>
                <w:color w:val="ff0000"/>
                <w:sz w:val="22"/>
                <w:szCs w:val="22"/>
              </w:rPr>
            </w:r>
            <w:r>
              <w:rPr>
                <w:rFonts w:ascii="Times New Roman" w:hAnsi="Times New Roman" w:cs="Times New Roman"/>
                <w:b/>
                <w:color w:val="ff0000"/>
                <w:sz w:val="22"/>
                <w:szCs w:val="22"/>
              </w:rPr>
            </w:r>
          </w:p>
          <w:p>
            <w:pPr>
              <w:pStyle w:val="1160"/>
              <w:pBdr/>
              <w:spacing/>
              <w:ind w:right="0" w:firstLine="0" w:left="0"/>
              <w:rPr>
                <w:rFonts w:ascii="Times New Roman" w:hAnsi="Times New Roman" w:cs="Times New Roman"/>
                <w:b/>
                <w:sz w:val="22"/>
                <w:szCs w:val="22"/>
              </w:rPr>
            </w:pPr>
            <w:r>
              <w:rPr>
                <w:rFonts w:ascii="Times New Roman" w:hAnsi="Times New Roman" w:cs="Times New Roman"/>
                <w:b/>
                <w:color w:val="ff0000"/>
                <w:sz w:val="22"/>
                <w:szCs w:val="22"/>
              </w:rPr>
              <w:t xml:space="preserve">деятельности:</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160"/>
              <w:pBdr/>
              <w:spacing/>
              <w:ind w:right="0" w:firstLine="0" w:left="0"/>
              <w:jc w:val="both"/>
              <w:rPr>
                <w:rFonts w:ascii="Times New Roman" w:hAnsi="Times New Roman" w:cs="Times New Roman"/>
                <w:sz w:val="22"/>
                <w:szCs w:val="22"/>
              </w:rPr>
            </w:pPr>
            <w:r>
              <w:rPr>
                <w:rFonts w:ascii="Times New Roman" w:hAnsi="Times New Roman" w:cs="Times New Roman"/>
                <w:sz w:val="22"/>
                <w:szCs w:val="22"/>
              </w:rPr>
              <w:t xml:space="preserve">Диплом о высшем образовании </w:t>
            </w:r>
            <w:r>
              <w:rPr>
                <w:rFonts w:ascii="Times New Roman" w:hAnsi="Times New Roman" w:cs="Times New Roman"/>
                <w:sz w:val="22"/>
                <w:szCs w:val="22"/>
                <w:lang w:val="en-US"/>
              </w:rPr>
              <w:t xml:space="preserve">$</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education_institution_name</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none"/>
              </w:rPr>
              <w:t xml:space="preserve">КЦ </w:t>
            </w:r>
            <w:r>
              <w:rPr>
                <w:rFonts w:ascii="Times New Roman" w:hAnsi="Times New Roman" w:cs="Times New Roman"/>
                <w:sz w:val="22"/>
                <w:szCs w:val="22"/>
                <w:highlight w:val="yellow"/>
              </w:rPr>
              <w:t xml:space="preserve">№</w:t>
            </w:r>
            <w:r>
              <w:rPr>
                <w:rFonts w:ascii="Times New Roman" w:hAnsi="Times New Roman" w:cs="Times New Roman"/>
                <w:sz w:val="22"/>
                <w:szCs w:val="22"/>
                <w:highlight w:val="yellow"/>
                <w:lang w:val="en-US"/>
              </w:rPr>
              <w:t xml:space="preserve">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diploma_series_number</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от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qualification_certificate_date</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по специальности «Юриспруденция», регистрационный номер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diploma_registration_number</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w:t>
            </w:r>
            <w:r>
              <w:rPr>
                <w:rFonts w:ascii="Times New Roman" w:hAnsi="Times New Roman" w:cs="Times New Roman"/>
                <w:sz w:val="22"/>
                <w:szCs w:val="22"/>
                <w:highlight w:val="none"/>
                <w:lang w:val="en-US"/>
              </w:rPr>
              <w:t xml:space="preserve"> </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Дополнительные документы:</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160"/>
              <w:pBdr/>
              <w:spacing/>
              <w:ind w:right="0" w:firstLine="0" w:left="0"/>
              <w:jc w:val="both"/>
              <w:rPr>
                <w:rFonts w:ascii="Times New Roman" w:hAnsi="Times New Roman" w:cs="Times New Roman"/>
                <w:sz w:val="22"/>
                <w:szCs w:val="22"/>
                <w:highlight w:val="red"/>
              </w:rPr>
            </w:pPr>
            <w:r>
              <w:rPr>
                <w:rFonts w:ascii="Times New Roman" w:hAnsi="Times New Roman" w:cs="Times New Roman"/>
                <w:sz w:val="22"/>
                <w:szCs w:val="22"/>
              </w:rPr>
              <w:t xml:space="preserve">Квалификационный аттестат в области оценочной деятельности по направлению «Оценка движимого имущества» номер </w:t>
            </w:r>
            <w:r>
              <w:rPr>
                <w:rFonts w:ascii="Times New Roman" w:hAnsi="Times New Roman" w:cs="Times New Roman"/>
                <w:sz w:val="22"/>
                <w:szCs w:val="22"/>
                <w:highlight w:val="yellow"/>
              </w:rPr>
              <w:t xml:space="preserve">№</w:t>
            </w:r>
            <w:r>
              <w:rPr>
                <w:rFonts w:ascii="Times New Roman" w:hAnsi="Times New Roman" w:cs="Times New Roman"/>
                <w:sz w:val="22"/>
                <w:szCs w:val="22"/>
                <w:highlight w:val="yellow"/>
                <w:lang w:val="en-US"/>
              </w:rPr>
              <w:t xml:space="preserve">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qualification_certificate_number</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от </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qualification_certificate_date</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w:t>
            </w:r>
            <w:r>
              <w:rPr>
                <w:rFonts w:ascii="Times New Roman" w:hAnsi="Times New Roman" w:cs="Times New Roman"/>
                <w:sz w:val="22"/>
                <w:szCs w:val="22"/>
                <w:highlight w:val="red"/>
              </w:rPr>
            </w:r>
            <w:r>
              <w:rPr>
                <w:rFonts w:ascii="Times New Roman" w:hAnsi="Times New Roman" w:cs="Times New Roman"/>
                <w:sz w:val="22"/>
                <w:szCs w:val="22"/>
                <w:highlight w:val="red"/>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Информация о страховании ответственности оценщика:</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160"/>
              <w:pBdr/>
              <w:spacing/>
              <w:ind w:right="0" w:firstLine="0" w:left="28"/>
              <w:jc w:val="both"/>
              <w:rPr>
                <w:rFonts w:ascii="Times New Roman" w:hAnsi="Times New Roman" w:cs="Times New Roman"/>
                <w:sz w:val="22"/>
                <w:szCs w:val="22"/>
              </w:rPr>
            </w:pPr>
            <w:r>
              <w:rPr>
                <w:rFonts w:ascii="Times New Roman" w:hAnsi="Times New Roman" w:cs="Times New Roman"/>
                <w:sz w:val="22"/>
                <w:szCs w:val="22"/>
                <w:highlight w:val="yellow"/>
              </w:rPr>
              <w:t xml:space="preserve">Ответственность Оценщика застрахована в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appraiser_insurer_name</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Полис страхования ответственности оценщика при осуществлении оценочной деятельности №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appraiser_insurance_policy_number</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Страховая сумма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appraiser_insurance_amount</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руб. 00 коп. (</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lang w:val="en-US"/>
              </w:rPr>
              <w:t xml:space="preserve">user_appraiser_insurance_amount_words</w:t>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rPr>
              <w:t xml:space="preserve"> рублей 00 коп.</w:t>
            </w:r>
            <w:r>
              <w:rPr>
                <w:rFonts w:ascii="Times New Roman" w:hAnsi="Times New Roman" w:cs="Times New Roman"/>
                <w:sz w:val="22"/>
                <w:szCs w:val="22"/>
                <w:highlight w:val="yellow"/>
              </w:rPr>
              <w:t xml:space="preserve">). Срок действия договора (полиса): с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appraiser_insurance_valid_from</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до </w:t>
            </w:r>
            <w:r>
              <w:rPr>
                <w:rFonts w:ascii="Times New Roman" w:hAnsi="Times New Roman" w:cs="Times New Roman"/>
                <w:sz w:val="22"/>
                <w:szCs w:val="22"/>
                <w:highlight w:val="yellow"/>
                <w:lang w:val="en-US"/>
              </w:rPr>
              <w:t xml:space="preserve">${user_</w:t>
            </w:r>
            <w:r>
              <w:rPr>
                <w:rFonts w:ascii="Times New Roman" w:hAnsi="Times New Roman" w:cs="Times New Roman"/>
                <w:sz w:val="22"/>
                <w:szCs w:val="22"/>
                <w:highlight w:val="yellow"/>
                <w:lang w:val="en-US"/>
              </w:rPr>
              <w:t xml:space="preserve">appraiser_insurance_valid_to</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 включительно.</w:t>
            </w:r>
            <w:r>
              <w:rPr>
                <w:rFonts w:ascii="Times New Roman" w:hAnsi="Times New Roman" w:cs="Times New Roman"/>
                <w:sz w:val="22"/>
                <w:szCs w:val="22"/>
                <w:highlight w:val="yellow"/>
                <w:lang w:val="en-US"/>
              </w:rPr>
              <w:t xml:space="preserve"> </w:t>
            </w:r>
            <w:r>
              <w:rPr>
                <w:rFonts w:ascii="Times New Roman" w:hAnsi="Times New Roman" w:cs="Times New Roman"/>
                <w:sz w:val="22"/>
                <w:szCs w:val="22"/>
              </w:rPr>
            </w:r>
            <w:r>
              <w:rPr>
                <w:rFonts w:ascii="Times New Roman" w:hAnsi="Times New Roman" w:cs="Times New Roman"/>
                <w:sz w:val="22"/>
                <w:szCs w:val="22"/>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Style w:val="1160"/>
              <w:pBdr/>
              <w:spacing/>
              <w:ind w:right="0" w:firstLine="0" w:left="0"/>
              <w:rPr>
                <w:rFonts w:ascii="Times New Roman" w:hAnsi="Times New Roman" w:cs="Times New Roman"/>
                <w:b/>
                <w:color w:val="ff0000"/>
                <w:sz w:val="22"/>
                <w:szCs w:val="22"/>
              </w:rPr>
            </w:pPr>
            <w:r>
              <w:rPr>
                <w:rFonts w:ascii="Times New Roman" w:hAnsi="Times New Roman" w:cs="Times New Roman"/>
                <w:b/>
                <w:color w:val="ff0000"/>
                <w:sz w:val="22"/>
                <w:szCs w:val="22"/>
              </w:rPr>
              <w:t xml:space="preserve">Стаж работы в оценочной деятельности:</w:t>
            </w:r>
            <w:r>
              <w:rPr>
                <w:rFonts w:ascii="Times New Roman" w:hAnsi="Times New Roman" w:cs="Times New Roman"/>
                <w:b/>
                <w:color w:val="ff0000"/>
                <w:sz w:val="22"/>
                <w:szCs w:val="22"/>
              </w:rPr>
            </w:r>
            <w:r>
              <w:rPr>
                <w:rFonts w:ascii="Times New Roman" w:hAnsi="Times New Roman" w:cs="Times New Roman"/>
                <w:b/>
                <w:color w:val="ff0000"/>
                <w:sz w:val="22"/>
                <w:szCs w:val="22"/>
              </w:rP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Style w:val="1160"/>
              <w:pBdr/>
              <w:spacing/>
              <w:ind w:right="0" w:firstLine="0" w:left="0"/>
              <w:jc w:val="both"/>
              <w:rPr>
                <w:rFonts w:ascii="Times New Roman" w:hAnsi="Times New Roman" w:cs="Times New Roman"/>
                <w:sz w:val="22"/>
                <w:szCs w:val="22"/>
              </w:rPr>
            </w:pP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none"/>
              </w:rPr>
              <w:t xml:space="preserve">С </w:t>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lang w:val="en-US"/>
              </w:rPr>
              <w:t xml:space="preserve">user_appraisal_experience_start</w:t>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rPr>
              <w:t xml:space="preserve"> года</w:t>
            </w:r>
            <w:r>
              <w:rPr>
                <w:rFonts w:ascii="Times New Roman" w:hAnsi="Times New Roman" w:cs="Times New Roman"/>
                <w:sz w:val="22"/>
                <w:szCs w:val="22"/>
                <w:highlight w:val="yellow"/>
                <w:lang w:val="en-US"/>
              </w:rPr>
              <w:t xml:space="preserve">)</w:t>
            </w:r>
            <w:r>
              <w:rPr>
                <w:rFonts w:ascii="Times New Roman" w:hAnsi="Times New Roman" w:cs="Times New Roman"/>
                <w:sz w:val="22"/>
                <w:szCs w:val="22"/>
                <w:highlight w:val="yellow"/>
              </w:rPr>
              <w:t xml:space="preserve">.</w:t>
            </w:r>
            <w:r>
              <w:rPr>
                <w:rFonts w:ascii="Times New Roman" w:hAnsi="Times New Roman" w:cs="Times New Roman"/>
                <w:sz w:val="22"/>
                <w:szCs w:val="22"/>
              </w:rPr>
            </w:r>
            <w:r>
              <w:rPr>
                <w:rFonts w:ascii="Times New Roman" w:hAnsi="Times New Roman" w:cs="Times New Roman"/>
                <w:sz w:val="22"/>
                <w:szCs w:val="22"/>
              </w:rPr>
            </w:r>
          </w:p>
        </w:tc>
      </w:tr>
    </w:tbl>
    <w:p>
      <w:pPr>
        <w:pStyle w:val="1039"/>
        <w:keepNext w:val="false"/>
        <w:widowControl w:val="false"/>
        <w:numPr>
          <w:ilvl w:val="0"/>
          <w:numId w:val="1"/>
        </w:numPr>
        <w:pBdr/>
        <w:spacing w:after="60" w:before="0"/>
        <w:ind w:firstLine="0"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3" w:name="__RefHeading___Toc212536947"/>
      <w:r/>
      <w:bookmarkEnd w:id="3"/>
      <w:r>
        <w:rPr>
          <w:rFonts w:ascii="Times New Roman" w:hAnsi="Times New Roman" w:cs="Times New Roman"/>
        </w:rPr>
        <w:t xml:space="preserve">4. СВЕДЕНИЯ О ЗАКАЗЧИКЕ ОЦЕНКИ</w:t>
      </w:r>
      <w:r>
        <w:rPr>
          <w:rFonts w:ascii="Times New Roman" w:hAnsi="Times New Roman" w:cs="Times New Roman"/>
        </w:rPr>
      </w:r>
      <w:r>
        <w:rPr>
          <w:rFonts w:ascii="Times New Roman" w:hAnsi="Times New Roman" w:cs="Times New Roman"/>
        </w:rPr>
      </w:r>
    </w:p>
    <w:p>
      <w:pPr>
        <w:pStyle w:val="1038"/>
        <w:widowControl w:val="false"/>
        <w:numPr>
          <w:ilvl w:val="0"/>
          <w:numId w:val="4"/>
        </w:numPr>
        <w:pBdr/>
        <w:spacing/>
        <w:ind w:right="0" w:hanging="360" w:left="1985"/>
        <w:jc w:val="right"/>
        <w:rPr/>
      </w:pPr>
      <w:r/>
      <w:r/>
    </w:p>
    <w:tbl>
      <w:tblPr>
        <w:tblW w:w="10031"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506"/>
        <w:gridCol w:w="6525"/>
      </w:tblGrid>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jc w:val="both"/>
              <w:rPr>
                <w:rFonts w:ascii="Times New Roman" w:hAnsi="Times New Roman" w:cs="Times New Roman"/>
                <w:b/>
                <w:bCs/>
                <w:color w:val="ff0000"/>
                <w:sz w:val="22"/>
                <w:szCs w:val="22"/>
              </w:rPr>
            </w:pPr>
            <w:r>
              <w:rPr>
                <w:rFonts w:ascii="Times New Roman" w:hAnsi="Times New Roman" w:cs="Times New Roman"/>
                <w:b/>
                <w:bCs/>
                <w:color w:val="ff0000"/>
                <w:sz w:val="22"/>
                <w:szCs w:val="22"/>
              </w:rPr>
              <w:t xml:space="preserve">Заказчик:</w:t>
            </w:r>
            <w:r>
              <w:rPr>
                <w:rFonts w:ascii="Times New Roman" w:hAnsi="Times New Roman" w:cs="Times New Roman"/>
                <w:b/>
                <w:bCs/>
                <w:color w:val="ff0000"/>
                <w:sz w:val="22"/>
                <w:szCs w:val="22"/>
              </w:rPr>
            </w:r>
            <w:r>
              <w:rPr>
                <w:rFonts w:ascii="Times New Roman" w:hAnsi="Times New Roman" w:cs="Times New Roman"/>
                <w:b/>
                <w:bCs/>
                <w:color w:val="ff0000"/>
                <w:sz w:val="22"/>
                <w:szCs w:val="22"/>
              </w:rPr>
            </w:r>
          </w:p>
        </w:tc>
        <w:tc>
          <w:tcPr>
            <w:tcBorders>
              <w:top w:val="single" w:color="000000" w:sz="4" w:space="0"/>
              <w:left w:val="single" w:color="000000" w:sz="4" w:space="0"/>
              <w:bottom w:val="single" w:color="000000" w:sz="4" w:space="0"/>
              <w:right w:val="single" w:color="000000" w:sz="4" w:space="0"/>
            </w:tcBorders>
            <w:tcW w:w="6525" w:type="dxa"/>
            <w:vAlign w:val="center"/>
            <w:textDirection w:val="lrTb"/>
            <w:noWrap w:val="false"/>
          </w:tcPr>
          <w:p>
            <w:pPr>
              <w:pStyle w:val="1038"/>
              <w:widowControl w:val="false"/>
              <w:pBdr/>
              <w:spacing/>
              <w:ind/>
              <w:jc w:val="both"/>
              <w:rPr>
                <w:sz w:val="22"/>
                <w:szCs w:val="22"/>
                <w:highlight w:val="yellow"/>
              </w:rPr>
            </w:pPr>
            <w:r>
              <w:rPr>
                <w:sz w:val="22"/>
                <w:szCs w:val="22"/>
                <w:highlight w:val="none"/>
                <w:lang w:val="en-US"/>
              </w:rPr>
              <w:t xml:space="preserve">${</w:t>
            </w:r>
            <w:r>
              <w:rPr>
                <w:sz w:val="22"/>
                <w:szCs w:val="22"/>
                <w:highlight w:val="none"/>
                <w:lang w:val="en-US"/>
              </w:rPr>
              <w:t xml:space="preserve">customer_fullname</w:t>
            </w:r>
            <w:r>
              <w:rPr>
                <w:sz w:val="22"/>
                <w:szCs w:val="22"/>
                <w:highlight w:val="none"/>
                <w:lang w:val="en-US"/>
              </w:rPr>
              <w:t xml:space="preserve">}</w:t>
            </w:r>
            <w:r>
              <w:rPr>
                <w:sz w:val="22"/>
                <w:szCs w:val="22"/>
                <w:highlight w:val="yellow"/>
              </w:rPr>
            </w:r>
            <w:r>
              <w:rPr>
                <w:sz w:val="22"/>
                <w:szCs w:val="22"/>
                <w:highlight w:val="yellow"/>
              </w:rPr>
            </w:r>
          </w:p>
        </w:tc>
      </w:tr>
      <w:tr>
        <w:trPr>
          <w:trHeight w:val="91"/>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Style w:val="1160"/>
              <w:pBdr/>
              <w:spacing/>
              <w:ind w:right="0" w:firstLine="0" w:left="0"/>
              <w:jc w:val="both"/>
              <w:rPr>
                <w:rFonts w:ascii="Times New Roman" w:hAnsi="Times New Roman" w:cs="Times New Roman"/>
                <w:b/>
                <w:bCs/>
                <w:color w:val="ff0000"/>
                <w:sz w:val="22"/>
                <w:szCs w:val="22"/>
              </w:rPr>
            </w:pPr>
            <w:r>
              <w:rPr>
                <w:rFonts w:ascii="Times New Roman" w:hAnsi="Times New Roman" w:cs="Times New Roman"/>
                <w:b/>
                <w:bCs/>
                <w:color w:val="ff0000"/>
                <w:sz w:val="22"/>
                <w:szCs w:val="22"/>
              </w:rPr>
              <w:t xml:space="preserve">Адрес:</w:t>
            </w:r>
            <w:r>
              <w:rPr>
                <w:rFonts w:ascii="Times New Roman" w:hAnsi="Times New Roman" w:cs="Times New Roman"/>
                <w:b/>
                <w:bCs/>
                <w:color w:val="ff0000"/>
                <w:sz w:val="22"/>
                <w:szCs w:val="22"/>
              </w:rPr>
            </w:r>
            <w:r>
              <w:rPr>
                <w:rFonts w:ascii="Times New Roman" w:hAnsi="Times New Roman" w:cs="Times New Roman"/>
                <w:b/>
                <w:bCs/>
                <w:color w:val="ff0000"/>
                <w:sz w:val="22"/>
                <w:szCs w:val="22"/>
              </w:rPr>
            </w:r>
          </w:p>
        </w:tc>
        <w:tc>
          <w:tcPr>
            <w:tcBorders>
              <w:top w:val="single" w:color="000000" w:sz="4" w:space="0"/>
              <w:left w:val="single" w:color="000000" w:sz="4" w:space="0"/>
              <w:bottom w:val="single" w:color="000000" w:sz="4" w:space="0"/>
              <w:right w:val="single" w:color="000000" w:sz="4" w:space="0"/>
            </w:tcBorders>
            <w:tcW w:w="6525" w:type="dxa"/>
            <w:vAlign w:val="center"/>
            <w:textDirection w:val="lrTb"/>
            <w:noWrap w:val="false"/>
          </w:tcPr>
          <w:p>
            <w:pPr>
              <w:pStyle w:val="1038"/>
              <w:widowControl w:val="false"/>
              <w:pBdr/>
              <w:spacing/>
              <w:ind/>
              <w:jc w:val="both"/>
              <w:rPr>
                <w:sz w:val="22"/>
                <w:szCs w:val="22"/>
                <w:highlight w:val="yellow"/>
              </w:rPr>
            </w:pPr>
            <w:r>
              <w:rPr>
                <w:sz w:val="22"/>
                <w:szCs w:val="22"/>
                <w:highlight w:val="none"/>
                <w:lang w:val="en-US"/>
              </w:rPr>
              <w:t xml:space="preserve">${</w:t>
            </w:r>
            <w:r>
              <w:rPr>
                <w:sz w:val="22"/>
                <w:szCs w:val="22"/>
                <w:highlight w:val="none"/>
                <w:lang w:val="en-US"/>
              </w:rPr>
              <w:t xml:space="preserve">customer_registration_address</w:t>
            </w:r>
            <w:r>
              <w:rPr>
                <w:sz w:val="22"/>
                <w:szCs w:val="22"/>
                <w:highlight w:val="none"/>
                <w:lang w:val="en-US"/>
              </w:rPr>
              <w:t xml:space="preserve">}</w:t>
            </w:r>
            <w:r>
              <w:rPr>
                <w:sz w:val="22"/>
                <w:szCs w:val="22"/>
                <w:highlight w:val="yellow"/>
              </w:rPr>
            </w:r>
            <w:r>
              <w:rPr>
                <w:sz w:val="22"/>
                <w:szCs w:val="22"/>
                <w:highlight w:val="yellow"/>
              </w:rPr>
            </w:r>
          </w:p>
        </w:tc>
      </w:tr>
    </w:tbl>
    <w:p>
      <w:pPr>
        <w:pStyle w:val="1038"/>
        <w:widowControl w:val="false"/>
        <w:pBdr/>
        <w:spacing/>
        <w:ind/>
        <w:rPr/>
      </w:pPr>
      <w:r/>
      <w:r/>
    </w:p>
    <w:p>
      <w:pPr>
        <w:pStyle w:val="1038"/>
        <w:widowControl w:val="false"/>
        <w:pBdr/>
        <w:spacing/>
        <w:ind/>
        <w:rPr/>
      </w:pPr>
      <w: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4" w:name="__RefHeading___Toc212536948"/>
      <w:r/>
      <w:bookmarkEnd w:id="4"/>
      <w:r>
        <w:rPr>
          <w:rFonts w:ascii="Times New Roman" w:hAnsi="Times New Roman" w:cs="Times New Roman"/>
        </w:rPr>
        <w:t xml:space="preserve">5. СВЕДЕНИЯ О НЕЗАВИСИМОСТИ</w:t>
      </w:r>
      <w:r>
        <w:rPr>
          <w:rFonts w:ascii="Times New Roman" w:hAnsi="Times New Roman" w:cs="Times New Roman"/>
        </w:rPr>
      </w:r>
      <w:r>
        <w:rPr>
          <w:rFonts w:ascii="Times New Roman" w:hAnsi="Times New Roman" w:cs="Times New Roman"/>
        </w:rPr>
      </w:r>
    </w:p>
    <w:p>
      <w:pPr>
        <w:pStyle w:val="1038"/>
        <w:widowControl w:val="false"/>
        <w:pBdr/>
        <w:spacing/>
        <w:ind w:right="0" w:firstLine="709"/>
        <w:jc w:val="both"/>
        <w:rPr>
          <w:sz w:val="24"/>
          <w:szCs w:val="24"/>
        </w:rPr>
      </w:pPr>
      <w:r>
        <w:rPr>
          <w:sz w:val="24"/>
          <w:szCs w:val="24"/>
        </w:rPr>
      </w:r>
      <w:r>
        <w:rPr>
          <w:sz w:val="24"/>
          <w:szCs w:val="24"/>
        </w:rPr>
      </w:r>
      <w:r>
        <w:rPr>
          <w:sz w:val="24"/>
          <w:szCs w:val="24"/>
        </w:rPr>
      </w:r>
    </w:p>
    <w:p>
      <w:pPr>
        <w:pStyle w:val="1038"/>
        <w:widowControl w:val="false"/>
        <w:pBdr/>
        <w:spacing/>
        <w:ind w:right="0" w:firstLine="709"/>
        <w:jc w:val="both"/>
        <w:rPr>
          <w:sz w:val="22"/>
          <w:szCs w:val="22"/>
        </w:rPr>
      </w:pPr>
      <w:r>
        <w:rPr>
          <w:sz w:val="22"/>
          <w:szCs w:val="22"/>
        </w:rPr>
        <w:t xml:space="preserve">Сведения о независимости частнопрактикующего оценщика в соответствии с требованиями статьи 16 Федерального закона:</w:t>
      </w:r>
      <w:r>
        <w:rPr>
          <w:sz w:val="22"/>
          <w:szCs w:val="22"/>
        </w:rPr>
      </w:r>
      <w:r>
        <w:rPr>
          <w:sz w:val="22"/>
          <w:szCs w:val="22"/>
        </w:rPr>
      </w:r>
    </w:p>
    <w:p>
      <w:pPr>
        <w:pStyle w:val="1213"/>
        <w:widowControl w:val="false"/>
        <w:numPr>
          <w:ilvl w:val="0"/>
          <w:numId w:val="5"/>
        </w:numPr>
        <w:pBdr/>
        <w:spacing/>
        <w:ind w:right="0" w:hanging="360" w:left="284"/>
        <w:jc w:val="both"/>
        <w:rPr>
          <w:sz w:val="22"/>
          <w:szCs w:val="22"/>
        </w:rPr>
      </w:pPr>
      <w:r>
        <w:rPr>
          <w:sz w:val="22"/>
          <w:szCs w:val="22"/>
        </w:rPr>
        <w:t xml:space="preserve">Оценщик п</w:t>
      </w:r>
      <w:r>
        <w:rPr>
          <w:sz w:val="22"/>
          <w:szCs w:val="22"/>
        </w:rPr>
        <w:t xml:space="preserve">одтверждает полное соблюдение принципов независимости, установленных ст. 16 Федерального закона от 29.07.1998 г. №135-ФЗ «Об оценочной деятельности в Российской Федерации», при осуществлении оценочной деятельности и составлении настоящего Отчета об оценке;</w:t>
      </w:r>
      <w:r>
        <w:rPr>
          <w:sz w:val="22"/>
          <w:szCs w:val="22"/>
        </w:rPr>
      </w:r>
      <w:r>
        <w:rPr>
          <w:sz w:val="22"/>
          <w:szCs w:val="22"/>
        </w:rPr>
      </w:r>
    </w:p>
    <w:p>
      <w:pPr>
        <w:pStyle w:val="1213"/>
        <w:widowControl w:val="false"/>
        <w:numPr>
          <w:ilvl w:val="0"/>
          <w:numId w:val="5"/>
        </w:numPr>
        <w:pBdr/>
        <w:spacing/>
        <w:ind w:right="0" w:hanging="360" w:left="284"/>
        <w:jc w:val="both"/>
        <w:rPr>
          <w:sz w:val="22"/>
          <w:szCs w:val="22"/>
        </w:rPr>
      </w:pPr>
      <w:r>
        <w:rPr>
          <w:sz w:val="22"/>
          <w:szCs w:val="22"/>
        </w:rPr>
        <w:t xml:space="preserve">Оценщик лицом, имеющим имущественный интерес в объекте оценки. Оценщик не состоит с Заказчиком в близком родстве или свойстве;</w:t>
      </w:r>
      <w:r>
        <w:rPr>
          <w:sz w:val="22"/>
          <w:szCs w:val="22"/>
        </w:rPr>
      </w:r>
      <w:r>
        <w:rPr>
          <w:sz w:val="22"/>
          <w:szCs w:val="22"/>
        </w:rPr>
      </w:r>
    </w:p>
    <w:p>
      <w:pPr>
        <w:pStyle w:val="1213"/>
        <w:widowControl w:val="false"/>
        <w:numPr>
          <w:ilvl w:val="0"/>
          <w:numId w:val="5"/>
        </w:numPr>
        <w:pBdr/>
        <w:spacing/>
        <w:ind w:right="0" w:hanging="360" w:left="284"/>
        <w:jc w:val="both"/>
        <w:rPr>
          <w:sz w:val="22"/>
          <w:szCs w:val="22"/>
        </w:rPr>
      </w:pPr>
      <w:r>
        <w:rPr>
          <w:sz w:val="22"/>
          <w:szCs w:val="22"/>
        </w:rPr>
        <w:t xml:space="preserve">Оценщик не имеет в отношении Объекта оценки вещных или обязательственных прав вне договора и не являются участниками (членами) или кредиторами физического лица – заказчика, равно как и заказчик не является кредитором или страховщиком Оценщика;</w:t>
      </w:r>
      <w:r>
        <w:rPr>
          <w:sz w:val="22"/>
          <w:szCs w:val="22"/>
        </w:rPr>
      </w:r>
      <w:r>
        <w:rPr>
          <w:sz w:val="22"/>
          <w:szCs w:val="22"/>
        </w:rPr>
      </w:r>
    </w:p>
    <w:p>
      <w:pPr>
        <w:pStyle w:val="1213"/>
        <w:widowControl w:val="false"/>
        <w:numPr>
          <w:ilvl w:val="0"/>
          <w:numId w:val="5"/>
        </w:numPr>
        <w:pBdr/>
        <w:spacing/>
        <w:ind w:right="0" w:hanging="360" w:left="284"/>
        <w:jc w:val="both"/>
        <w:rPr>
          <w:sz w:val="22"/>
          <w:szCs w:val="22"/>
        </w:rPr>
      </w:pPr>
      <w:r>
        <w:rPr>
          <w:sz w:val="22"/>
          <w:szCs w:val="22"/>
        </w:rPr>
        <w:t xml:space="preserve">размер оплаты Оценщику за проведение оценки Объекта оценки не зависит от итоговой величины стоимости Объекта оценки, указанной в настоящем Отчете об оценке.</w:t>
      </w:r>
      <w:r>
        <w:rPr>
          <w:sz w:val="22"/>
          <w:szCs w:val="22"/>
        </w:rPr>
      </w:r>
      <w:r>
        <w:rPr>
          <w:sz w:val="22"/>
          <w:szCs w:val="22"/>
        </w:rP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5" w:name="__RefHeading___Toc212536949"/>
      <w:r/>
      <w:bookmarkEnd w:id="5"/>
      <w:r>
        <w:rPr>
          <w:rFonts w:ascii="Times New Roman" w:hAnsi="Times New Roman" w:cs="Times New Roman"/>
        </w:rPr>
        <w:t xml:space="preserve">6. СВЕДЕНИЯ О ВНЕШНИХ ОРГАНИЗАЦИЯХ И СПЕЦИАЛИСТАХ</w:t>
      </w:r>
      <w:r>
        <w:rPr>
          <w:rFonts w:ascii="Times New Roman" w:hAnsi="Times New Roman" w:cs="Times New Roman"/>
        </w:rPr>
      </w:r>
      <w:r>
        <w:rPr>
          <w:rFonts w:ascii="Times New Roman" w:hAnsi="Times New Roman" w:cs="Times New Roman"/>
        </w:rPr>
      </w:r>
    </w:p>
    <w:p>
      <w:pPr>
        <w:pStyle w:val="1038"/>
        <w:widowControl w:val="false"/>
        <w:pBdr/>
        <w:spacing/>
        <w:ind w:right="0" w:firstLine="709"/>
        <w:jc w:val="both"/>
        <w:rPr>
          <w:sz w:val="22"/>
          <w:szCs w:val="22"/>
        </w:rPr>
      </w:pPr>
      <w:r>
        <w:rPr>
          <w:sz w:val="22"/>
          <w:szCs w:val="22"/>
        </w:rPr>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При проведении оценки и подготовке отчета об оценке не привлекались внешние организации и квалифицированные отраслевые специалисты.</w:t>
      </w:r>
      <w:r>
        <w:rPr>
          <w:sz w:val="22"/>
          <w:szCs w:val="22"/>
        </w:rPr>
      </w:r>
      <w:r>
        <w:rPr>
          <w:sz w:val="22"/>
          <w:szCs w:val="22"/>
        </w:rPr>
      </w:r>
    </w:p>
    <w:p>
      <w:pPr>
        <w:pStyle w:val="1038"/>
        <w:widowControl w:val="false"/>
        <w:pBdr/>
        <w:spacing/>
        <w:ind/>
        <w:rPr/>
      </w:pPr>
      <w: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6" w:name="__RefHeading___Toc212536950"/>
      <w:r/>
      <w:bookmarkEnd w:id="6"/>
      <w:r>
        <w:rPr>
          <w:rFonts w:ascii="Times New Roman" w:hAnsi="Times New Roman" w:cs="Times New Roman"/>
        </w:rPr>
        <w:t xml:space="preserve">7. СТАНДАРТЫ ОЦЕНКИ И МЕТОДИЧЕСКИЕ РЕКОМЕНДАЦИИ</w:t>
      </w:r>
      <w:r>
        <w:rPr>
          <w:rFonts w:ascii="Times New Roman" w:hAnsi="Times New Roman" w:cs="Times New Roman"/>
        </w:rPr>
      </w:r>
      <w:r>
        <w:rPr>
          <w:rFonts w:ascii="Times New Roman" w:hAnsi="Times New Roman" w:cs="Times New Roman"/>
        </w:rPr>
      </w:r>
    </w:p>
    <w:p>
      <w:pPr>
        <w:pStyle w:val="1213"/>
        <w:widowControl w:val="false"/>
        <w:numPr>
          <w:ilvl w:val="0"/>
          <w:numId w:val="7"/>
        </w:numPr>
        <w:pBdr/>
        <w:spacing/>
        <w:ind w:right="0" w:hanging="360" w:left="284"/>
        <w:jc w:val="both"/>
        <w:rPr>
          <w:sz w:val="22"/>
          <w:szCs w:val="22"/>
        </w:rPr>
      </w:pPr>
      <w:r>
        <w:rPr>
          <w:sz w:val="22"/>
          <w:szCs w:val="22"/>
        </w:rPr>
        <w:t xml:space="preserve">Гражданский кодекс РФ.</w:t>
      </w:r>
      <w:r>
        <w:rPr>
          <w:sz w:val="22"/>
          <w:szCs w:val="22"/>
        </w:rPr>
      </w:r>
      <w:r>
        <w:rPr>
          <w:sz w:val="22"/>
          <w:szCs w:val="22"/>
        </w:rPr>
      </w:r>
    </w:p>
    <w:p>
      <w:pPr>
        <w:pStyle w:val="1213"/>
        <w:widowControl w:val="false"/>
        <w:numPr>
          <w:ilvl w:val="0"/>
          <w:numId w:val="7"/>
        </w:numPr>
        <w:pBdr/>
        <w:spacing/>
        <w:ind w:right="0" w:hanging="360" w:left="284"/>
        <w:jc w:val="both"/>
        <w:rPr>
          <w:sz w:val="22"/>
          <w:szCs w:val="22"/>
        </w:rPr>
      </w:pPr>
      <w:r>
        <w:rPr>
          <w:sz w:val="22"/>
          <w:szCs w:val="22"/>
        </w:rPr>
        <w:t xml:space="preserve">Налоговый кодекс РФ.</w:t>
      </w:r>
      <w:r>
        <w:rPr>
          <w:sz w:val="22"/>
          <w:szCs w:val="22"/>
        </w:rPr>
      </w:r>
      <w:r>
        <w:rPr>
          <w:sz w:val="22"/>
          <w:szCs w:val="22"/>
        </w:rPr>
      </w:r>
    </w:p>
    <w:p>
      <w:pPr>
        <w:pStyle w:val="1213"/>
        <w:widowControl w:val="false"/>
        <w:numPr>
          <w:ilvl w:val="0"/>
          <w:numId w:val="7"/>
        </w:numPr>
        <w:pBdr/>
        <w:spacing/>
        <w:ind w:right="0" w:hanging="360" w:left="284"/>
        <w:jc w:val="both"/>
        <w:rPr>
          <w:sz w:val="22"/>
          <w:szCs w:val="22"/>
        </w:rPr>
      </w:pPr>
      <w:r>
        <w:rPr>
          <w:sz w:val="22"/>
          <w:szCs w:val="22"/>
        </w:rPr>
        <w:t xml:space="preserve">Федеральный закон "Об оценочной деятельности в Российской Федерации" от 29.07.1998 N 135-ФЗ.</w:t>
      </w:r>
      <w:r>
        <w:rPr>
          <w:sz w:val="22"/>
          <w:szCs w:val="22"/>
        </w:rPr>
      </w:r>
      <w:r>
        <w:rPr>
          <w:sz w:val="22"/>
          <w:szCs w:val="22"/>
        </w:rPr>
      </w:r>
    </w:p>
    <w:p>
      <w:pPr>
        <w:pStyle w:val="1213"/>
        <w:widowControl w:val="false"/>
        <w:numPr>
          <w:ilvl w:val="0"/>
          <w:numId w:val="7"/>
        </w:numPr>
        <w:pBdr/>
        <w:spacing/>
        <w:ind w:right="0" w:hanging="360" w:left="284"/>
        <w:jc w:val="both"/>
        <w:rPr>
          <w:bCs/>
          <w:sz w:val="22"/>
          <w:szCs w:val="22"/>
        </w:rPr>
      </w:pPr>
      <w:r>
        <w:rPr>
          <w:sz w:val="22"/>
          <w:szCs w:val="22"/>
        </w:rPr>
        <w:t xml:space="preserve">Федеральный стандарт оценки</w:t>
      </w:r>
      <w:r>
        <w:rPr>
          <w:bCs/>
          <w:sz w:val="22"/>
          <w:szCs w:val="22"/>
        </w:rPr>
        <w:t xml:space="preserve"> «Структура федеральных стандартов оценки и основные понятия, используемые в федеральных стандартах оценки (ФСО I)», утвержденный Приказом Министерства экономического развития РФ от 14 апреля 2022 г. № 200.</w:t>
      </w:r>
      <w:r>
        <w:rPr>
          <w:bCs/>
          <w:sz w:val="22"/>
          <w:szCs w:val="22"/>
        </w:rPr>
      </w:r>
      <w:r>
        <w:rPr>
          <w:bCs/>
          <w:sz w:val="22"/>
          <w:szCs w:val="22"/>
        </w:rPr>
      </w:r>
    </w:p>
    <w:p>
      <w:pPr>
        <w:pStyle w:val="1213"/>
        <w:widowControl w:val="false"/>
        <w:numPr>
          <w:ilvl w:val="0"/>
          <w:numId w:val="7"/>
        </w:numPr>
        <w:pBdr/>
        <w:spacing/>
        <w:ind w:right="0" w:hanging="360" w:left="284"/>
        <w:jc w:val="both"/>
        <w:rPr>
          <w:sz w:val="22"/>
          <w:szCs w:val="22"/>
        </w:rPr>
      </w:pPr>
      <w:r>
        <w:rPr>
          <w:sz w:val="22"/>
          <w:szCs w:val="22"/>
        </w:rPr>
        <w:t xml:space="preserve">Федеральный стандарт оценки «Виды стоимости (ФСО II), </w:t>
      </w:r>
      <w:r>
        <w:rPr>
          <w:bCs/>
          <w:sz w:val="22"/>
          <w:szCs w:val="22"/>
        </w:rPr>
        <w:t xml:space="preserve">утвержденный Приказом Министерства экономического развития РФ от 14 апреля 2022 г. № 200.</w:t>
      </w:r>
      <w:r>
        <w:rPr>
          <w:sz w:val="22"/>
          <w:szCs w:val="22"/>
        </w:rPr>
      </w:r>
      <w:r>
        <w:rPr>
          <w:sz w:val="22"/>
          <w:szCs w:val="22"/>
        </w:rPr>
      </w:r>
    </w:p>
    <w:p>
      <w:pPr>
        <w:pStyle w:val="1213"/>
        <w:widowControl w:val="false"/>
        <w:numPr>
          <w:ilvl w:val="0"/>
          <w:numId w:val="7"/>
        </w:numPr>
        <w:pBdr/>
        <w:spacing/>
        <w:ind w:right="0" w:hanging="360" w:left="284"/>
        <w:jc w:val="both"/>
        <w:rPr>
          <w:bCs/>
          <w:sz w:val="22"/>
          <w:szCs w:val="22"/>
        </w:rPr>
      </w:pPr>
      <w:r>
        <w:rPr>
          <w:sz w:val="22"/>
          <w:szCs w:val="22"/>
        </w:rPr>
        <w:t xml:space="preserve">Федеральный стандарт оценки «Процесс оценки (ФСО III)», </w:t>
      </w:r>
      <w:r>
        <w:rPr>
          <w:bCs/>
          <w:sz w:val="22"/>
          <w:szCs w:val="22"/>
        </w:rPr>
        <w:t xml:space="preserve">утвержденный Приказом Министерства экономического развития РФ от 14 апреля 2022 г. № 200. </w:t>
      </w:r>
      <w:r>
        <w:rPr>
          <w:bCs/>
          <w:sz w:val="22"/>
          <w:szCs w:val="22"/>
        </w:rPr>
      </w:r>
      <w:r>
        <w:rPr>
          <w:bCs/>
          <w:sz w:val="22"/>
          <w:szCs w:val="22"/>
        </w:rPr>
      </w:r>
    </w:p>
    <w:p>
      <w:pPr>
        <w:pStyle w:val="1213"/>
        <w:widowControl w:val="false"/>
        <w:numPr>
          <w:ilvl w:val="0"/>
          <w:numId w:val="7"/>
        </w:numPr>
        <w:pBdr/>
        <w:spacing/>
        <w:ind w:right="0" w:hanging="360" w:left="284"/>
        <w:jc w:val="both"/>
        <w:rPr>
          <w:sz w:val="22"/>
          <w:szCs w:val="22"/>
        </w:rPr>
      </w:pPr>
      <w:r>
        <w:rPr>
          <w:sz w:val="22"/>
          <w:szCs w:val="22"/>
        </w:rPr>
        <w:t xml:space="preserve">Федеральный стандарт оценки «Задание на оценку (ФСО IV)», </w:t>
      </w:r>
      <w:r>
        <w:rPr>
          <w:bCs/>
          <w:sz w:val="22"/>
          <w:szCs w:val="22"/>
        </w:rPr>
        <w:t xml:space="preserve">утвержденный Приказом Министерства экономического развития РФ от 14 апреля 2022 г. № 200. </w:t>
      </w:r>
      <w:r>
        <w:rPr>
          <w:sz w:val="22"/>
          <w:szCs w:val="22"/>
        </w:rPr>
      </w:r>
      <w:r>
        <w:rPr>
          <w:sz w:val="22"/>
          <w:szCs w:val="22"/>
        </w:rPr>
      </w:r>
    </w:p>
    <w:p>
      <w:pPr>
        <w:pStyle w:val="1213"/>
        <w:widowControl w:val="false"/>
        <w:numPr>
          <w:ilvl w:val="0"/>
          <w:numId w:val="7"/>
        </w:numPr>
        <w:pBdr/>
        <w:spacing/>
        <w:ind w:right="0" w:hanging="360" w:left="284"/>
        <w:jc w:val="both"/>
        <w:rPr>
          <w:bCs/>
          <w:sz w:val="22"/>
          <w:szCs w:val="22"/>
        </w:rPr>
      </w:pPr>
      <w:r>
        <w:rPr>
          <w:sz w:val="22"/>
          <w:szCs w:val="22"/>
        </w:rPr>
        <w:t xml:space="preserve">Федеральный стандарт оценки «Подходы и методы оценки (ФСО V)», </w:t>
      </w:r>
      <w:r>
        <w:rPr>
          <w:bCs/>
          <w:sz w:val="22"/>
          <w:szCs w:val="22"/>
        </w:rPr>
        <w:t xml:space="preserve">утвержденный Приказом Министерства экономического развития РФ от 14 апреля 2022 г. № 200. </w:t>
      </w:r>
      <w:r>
        <w:rPr>
          <w:bCs/>
          <w:sz w:val="22"/>
          <w:szCs w:val="22"/>
        </w:rPr>
      </w:r>
      <w:r>
        <w:rPr>
          <w:bCs/>
          <w:sz w:val="22"/>
          <w:szCs w:val="22"/>
        </w:rPr>
      </w:r>
    </w:p>
    <w:p>
      <w:pPr>
        <w:pStyle w:val="1213"/>
        <w:widowControl w:val="false"/>
        <w:numPr>
          <w:ilvl w:val="0"/>
          <w:numId w:val="7"/>
        </w:numPr>
        <w:pBdr/>
        <w:spacing/>
        <w:ind w:right="0" w:hanging="360" w:left="284"/>
        <w:jc w:val="both"/>
        <w:rPr>
          <w:bCs/>
          <w:sz w:val="22"/>
          <w:szCs w:val="22"/>
        </w:rPr>
      </w:pPr>
      <w:r>
        <w:rPr>
          <w:sz w:val="22"/>
          <w:szCs w:val="22"/>
        </w:rPr>
        <w:t xml:space="preserve">Федеральный стандарт оценки «Отчет об оценке (ФСО VI)», </w:t>
      </w:r>
      <w:r>
        <w:rPr>
          <w:bCs/>
          <w:sz w:val="22"/>
          <w:szCs w:val="22"/>
        </w:rPr>
        <w:t xml:space="preserve">утвержденный Приказом Министерства экономического развития РФ от 14 апреля 2022 г. № 200. </w:t>
      </w:r>
      <w:r>
        <w:rPr>
          <w:bCs/>
          <w:sz w:val="22"/>
          <w:szCs w:val="22"/>
        </w:rPr>
      </w:r>
      <w:r>
        <w:rPr>
          <w:bCs/>
          <w:sz w:val="22"/>
          <w:szCs w:val="22"/>
        </w:rPr>
      </w:r>
    </w:p>
    <w:p>
      <w:pPr>
        <w:pStyle w:val="1213"/>
        <w:widowControl w:val="false"/>
        <w:numPr>
          <w:ilvl w:val="0"/>
          <w:numId w:val="7"/>
        </w:numPr>
        <w:pBdr/>
        <w:spacing/>
        <w:ind w:right="0" w:hanging="360" w:left="284"/>
        <w:jc w:val="both"/>
        <w:rPr>
          <w:bCs/>
          <w:sz w:val="22"/>
          <w:szCs w:val="22"/>
        </w:rPr>
      </w:pPr>
      <w:r>
        <w:rPr>
          <w:sz w:val="22"/>
          <w:szCs w:val="22"/>
        </w:rPr>
        <w:t xml:space="preserve">Федеральный стандарт оценки «Оценка стоимости машин и оборудования (ФСО №10)», утвержденный Приказом </w:t>
      </w:r>
      <w:r>
        <w:rPr>
          <w:bCs/>
          <w:sz w:val="22"/>
          <w:szCs w:val="22"/>
        </w:rPr>
        <w:t xml:space="preserve">Министерства экономического развития РФ от 01 июня 2015 №328.</w:t>
      </w:r>
      <w:r>
        <w:rPr>
          <w:bCs/>
          <w:sz w:val="22"/>
          <w:szCs w:val="22"/>
        </w:rPr>
      </w:r>
      <w:r>
        <w:rPr>
          <w:bCs/>
          <w:sz w:val="22"/>
          <w:szCs w:val="22"/>
        </w:rPr>
      </w:r>
    </w:p>
    <w:p>
      <w:pPr>
        <w:pStyle w:val="1213"/>
        <w:widowControl w:val="false"/>
        <w:numPr>
          <w:ilvl w:val="0"/>
          <w:numId w:val="7"/>
        </w:numPr>
        <w:pBdr/>
        <w:spacing/>
        <w:ind w:right="0" w:hanging="360" w:left="284"/>
        <w:jc w:val="both"/>
        <w:rPr>
          <w:bCs/>
          <w:sz w:val="22"/>
          <w:szCs w:val="22"/>
        </w:rPr>
      </w:pPr>
      <w:r>
        <w:rPr>
          <w:bCs/>
          <w:sz w:val="22"/>
          <w:szCs w:val="22"/>
        </w:rPr>
        <w:t xml:space="preserve">Справочник оценщика машин и оборудования. «Корректирующие коэффициенты и характеристики рынка машин и оборудования» под редакцией Лейфера Л.А., Нижний Новгород, 2023.</w:t>
      </w:r>
      <w:r>
        <w:rPr>
          <w:bCs/>
          <w:sz w:val="22"/>
          <w:szCs w:val="22"/>
        </w:rPr>
      </w:r>
      <w:r>
        <w:rPr>
          <w:bCs/>
          <w:sz w:val="22"/>
          <w:szCs w:val="22"/>
        </w:rPr>
      </w:r>
    </w:p>
    <w:p>
      <w:pPr>
        <w:pStyle w:val="1213"/>
        <w:widowControl w:val="false"/>
        <w:numPr>
          <w:ilvl w:val="0"/>
          <w:numId w:val="7"/>
        </w:numPr>
        <w:pBdr/>
        <w:spacing/>
        <w:ind w:right="0" w:hanging="360" w:left="284"/>
        <w:jc w:val="both"/>
        <w:rPr>
          <w:bCs/>
          <w:sz w:val="22"/>
          <w:szCs w:val="22"/>
        </w:rPr>
      </w:pPr>
      <w:r>
        <w:rPr>
          <w:bCs/>
          <w:sz w:val="22"/>
          <w:szCs w:val="22"/>
        </w:rPr>
        <w:t xml:space="preserve">Учебник «Оценка машин и оборудования» под редакцией Федотовой М.А., ИНФА-М, 2018.</w:t>
      </w:r>
      <w:r>
        <w:rPr>
          <w:bCs/>
          <w:sz w:val="22"/>
          <w:szCs w:val="22"/>
        </w:rPr>
      </w:r>
      <w:r>
        <w:rPr>
          <w:bCs/>
          <w:sz w:val="22"/>
          <w:szCs w:val="22"/>
        </w:rPr>
      </w:r>
    </w:p>
    <w:p>
      <w:pPr>
        <w:pStyle w:val="1213"/>
        <w:widowControl w:val="false"/>
        <w:numPr>
          <w:ilvl w:val="0"/>
          <w:numId w:val="7"/>
        </w:numPr>
        <w:pBdr/>
        <w:spacing/>
        <w:ind w:right="0" w:hanging="360" w:left="284"/>
        <w:jc w:val="both"/>
        <w:rPr>
          <w:bCs/>
          <w:sz w:val="22"/>
          <w:szCs w:val="22"/>
        </w:rPr>
      </w:pPr>
      <w:r>
        <w:rPr>
          <w:bCs/>
          <w:sz w:val="22"/>
          <w:szCs w:val="22"/>
        </w:rPr>
        <w:t xml:space="preserve">Методические рекомендации по проведению судебных автотехнических экспертиз и исследований колесных транспортных средств в целях определения размера ущерба, стоимости восстановительного ремонта и оценки», ФБУ РФЦСЭ при Минюсте России, 2018.</w:t>
      </w:r>
      <w:r>
        <w:rPr>
          <w:bCs/>
          <w:sz w:val="22"/>
          <w:szCs w:val="22"/>
        </w:rPr>
      </w:r>
      <w:r>
        <w:rPr>
          <w:bCs/>
          <w:sz w:val="22"/>
          <w:szCs w:val="22"/>
        </w:rPr>
      </w:r>
    </w:p>
    <w:p>
      <w:pPr>
        <w:pStyle w:val="1213"/>
        <w:widowControl w:val="false"/>
        <w:numPr>
          <w:ilvl w:val="0"/>
          <w:numId w:val="7"/>
        </w:numPr>
        <w:pBdr/>
        <w:spacing/>
        <w:ind w:right="0" w:hanging="360" w:left="284"/>
        <w:jc w:val="both"/>
        <w:rPr>
          <w:bCs/>
          <w:sz w:val="22"/>
          <w:szCs w:val="22"/>
        </w:rPr>
      </w:pPr>
      <w:r>
        <w:rPr>
          <w:bCs/>
          <w:sz w:val="22"/>
          <w:szCs w:val="22"/>
        </w:rPr>
        <w:t xml:space="preserve">Информация с сайтов Интернет ресурсов.</w:t>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213"/>
        <w:widowControl w:val="false"/>
        <w:pBdr/>
        <w:spacing/>
        <w:ind w:right="0" w:firstLine="0" w:left="284"/>
        <w:jc w:val="both"/>
        <w:rPr>
          <w:bCs/>
          <w:sz w:val="22"/>
          <w:szCs w:val="22"/>
          <w:lang w:val="en-US"/>
        </w:rPr>
      </w:pPr>
      <w:r>
        <w:rPr>
          <w:bCs/>
          <w:sz w:val="22"/>
          <w:szCs w:val="22"/>
          <w:lang w:val="en-US"/>
        </w:rPr>
      </w:r>
      <w:r>
        <w:rPr>
          <w:bCs/>
          <w:sz w:val="22"/>
          <w:szCs w:val="22"/>
          <w:lang w:val="en-US"/>
        </w:rPr>
      </w:r>
      <w:r>
        <w:rPr>
          <w:bCs/>
          <w:sz w:val="22"/>
          <w:szCs w:val="22"/>
          <w:lang w:val="en-US"/>
        </w:rPr>
      </w:r>
    </w:p>
    <w:p>
      <w:pPr>
        <w:pStyle w:val="1213"/>
        <w:widowControl w:val="false"/>
        <w:pBdr/>
        <w:spacing/>
        <w:ind w:right="0" w:firstLine="0" w:left="284"/>
        <w:jc w:val="both"/>
        <w:rPr>
          <w:bCs/>
          <w:sz w:val="22"/>
          <w:szCs w:val="22"/>
          <w:lang w:val="en-US"/>
        </w:rPr>
      </w:pPr>
      <w:r>
        <w:rPr>
          <w:bCs/>
          <w:sz w:val="22"/>
          <w:szCs w:val="22"/>
          <w:lang w:val="en-US"/>
        </w:rPr>
      </w:r>
      <w:r>
        <w:rPr>
          <w:bCs/>
          <w:sz w:val="22"/>
          <w:szCs w:val="22"/>
          <w:lang w:val="en-US"/>
        </w:rPr>
      </w:r>
      <w:r>
        <w:rPr>
          <w:bCs/>
          <w:sz w:val="22"/>
          <w:szCs w:val="22"/>
          <w:lang w:val="en-US"/>
        </w:rPr>
      </w:r>
    </w:p>
    <w:p>
      <w:pPr>
        <w:pStyle w:val="1213"/>
        <w:widowControl w:val="false"/>
        <w:pBdr/>
        <w:spacing/>
        <w:ind w:right="0" w:firstLine="0" w:left="284"/>
        <w:jc w:val="both"/>
        <w:rPr>
          <w:bCs/>
          <w:sz w:val="22"/>
          <w:szCs w:val="22"/>
        </w:rPr>
      </w:pPr>
      <w:r>
        <w:rPr>
          <w:bCs/>
          <w:sz w:val="22"/>
          <w:szCs w:val="22"/>
        </w:rPr>
      </w:r>
      <w:r>
        <w:rPr>
          <w:bCs/>
          <w:sz w:val="22"/>
          <w:szCs w:val="22"/>
        </w:rPr>
      </w:r>
      <w:r>
        <w:rPr>
          <w:bCs/>
          <w:sz w:val="22"/>
          <w:szCs w:val="22"/>
        </w:rP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7" w:name="__RefHeading___Toc212536951"/>
      <w:r/>
      <w:bookmarkEnd w:id="7"/>
      <w:r>
        <w:rPr>
          <w:rFonts w:ascii="Times New Roman" w:hAnsi="Times New Roman" w:cs="Times New Roman"/>
        </w:rPr>
        <w:t xml:space="preserve">8. ОПИСАНИЕ ОБЪЕКТА ОЦЕНКИ</w:t>
      </w:r>
      <w:r>
        <w:rPr>
          <w:rFonts w:ascii="Times New Roman" w:hAnsi="Times New Roman" w:cs="Times New Roman"/>
        </w:rPr>
      </w:r>
      <w:r>
        <w:rPr>
          <w:rFonts w:ascii="Times New Roman" w:hAnsi="Times New Roman" w:cs="Times New Roman"/>
        </w:rPr>
      </w:r>
    </w:p>
    <w:p>
      <w:pPr>
        <w:pStyle w:val="1038"/>
        <w:widowControl w:val="false"/>
        <w:numPr>
          <w:ilvl w:val="0"/>
          <w:numId w:val="4"/>
        </w:numPr>
        <w:pBdr/>
        <w:spacing/>
        <w:ind w:right="0" w:hanging="360" w:left="2694"/>
        <w:jc w:val="right"/>
        <w:rPr/>
      </w:pPr>
      <w:r/>
      <w:r/>
    </w:p>
    <w:tbl>
      <w:tblPr>
        <w:tblW w:w="9780" w:type="dxa"/>
        <w:tblInd w:w="250" w:type="dxa"/>
        <w:tblBorders/>
        <w:tblLayout w:type="fixed"/>
        <w:tblCellMar>
          <w:left w:w="108" w:type="dxa"/>
          <w:top w:w="0" w:type="dxa"/>
          <w:right w:w="108" w:type="dxa"/>
          <w:bottom w:w="0" w:type="dxa"/>
        </w:tblCellMar>
        <w:tblLook w:val="04A0" w:firstRow="1" w:lastRow="0" w:firstColumn="1" w:lastColumn="0" w:noHBand="0" w:noVBand="1"/>
      </w:tblPr>
      <w:tblGrid>
        <w:gridCol w:w="3823"/>
        <w:gridCol w:w="5957"/>
      </w:tblGrid>
      <w:tr>
        <w:trPr/>
        <w:tc>
          <w:tcPr>
            <w:gridSpan w:val="2"/>
            <w:shd w:val="clear" w:color="auto" w:fill="ededed"/>
            <w:tcBorders>
              <w:top w:val="single" w:color="000000" w:sz="4" w:space="0"/>
              <w:left w:val="single" w:color="000000" w:sz="4" w:space="0"/>
              <w:bottom w:val="single" w:color="000000" w:sz="4" w:space="0"/>
              <w:right w:val="single" w:color="000000" w:sz="4" w:space="0"/>
            </w:tcBorders>
            <w:tcW w:w="9780" w:type="dxa"/>
            <w:textDirection w:val="lrTb"/>
            <w:noWrap w:val="false"/>
          </w:tcPr>
          <w:p>
            <w:pPr>
              <w:pStyle w:val="1038"/>
              <w:widowControl w:val="false"/>
              <w:pBdr/>
              <w:spacing/>
              <w:ind/>
              <w:jc w:val="center"/>
              <w:rPr>
                <w:b/>
                <w:sz w:val="22"/>
                <w:szCs w:val="22"/>
              </w:rPr>
            </w:pPr>
            <w:r>
              <w:rPr>
                <w:b/>
                <w:sz w:val="22"/>
                <w:szCs w:val="22"/>
              </w:rPr>
              <w:t xml:space="preserve">Количественных и качественных характеристик объекта оценки</w:t>
            </w:r>
            <w:r>
              <w:rPr>
                <w:b/>
                <w:sz w:val="22"/>
                <w:szCs w:val="22"/>
              </w:rPr>
            </w:r>
            <w:r>
              <w:rPr>
                <w:b/>
                <w:sz w:val="22"/>
                <w:szCs w:val="22"/>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pBdr/>
              <w:spacing/>
              <w:ind/>
              <w:rPr>
                <w:color w:val="ff0000"/>
                <w:sz w:val="22"/>
                <w:szCs w:val="22"/>
              </w:rPr>
            </w:pPr>
            <w:r>
              <w:rPr>
                <w:color w:val="ff0000"/>
                <w:sz w:val="22"/>
                <w:szCs w:val="22"/>
              </w:rPr>
              <w:t xml:space="preserve">Марка, модель ТС:</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widowControl w:val="false"/>
              <w:pBdr/>
              <w:spacing/>
              <w:ind/>
              <w:jc w:val="both"/>
              <w:rPr>
                <w:sz w:val="22"/>
                <w:szCs w:val="22"/>
                <w:highlight w:val="yellow"/>
                <w:lang w:val="en-US"/>
              </w:rPr>
            </w:pPr>
            <w:r>
              <w:rPr>
                <w:sz w:val="22"/>
                <w:szCs w:val="22"/>
                <w:highlight w:val="yellow"/>
              </w:rPr>
            </w:r>
            <w:r>
              <w:rPr>
                <w:sz w:val="22"/>
                <w:szCs w:val="22"/>
                <w:highlight w:val="yellow"/>
              </w:rPr>
              <w:t xml:space="preserve">${vehicle_brand_name} ${vehicle_model_name}</w:t>
            </w:r>
            <w:r>
              <w:rPr>
                <w:sz w:val="22"/>
                <w:szCs w:val="22"/>
                <w:highlight w:val="yellow"/>
              </w:rPr>
              <w:t xml:space="preserve"> </w:t>
            </w:r>
            <w:r>
              <w:rPr>
                <w:sz w:val="22"/>
                <w:szCs w:val="22"/>
                <w:highlight w:val="yellow"/>
                <w:lang w:val="en-US"/>
              </w:rPr>
            </w:r>
            <w:r>
              <w:rPr>
                <w:sz w:val="22"/>
                <w:szCs w:val="22"/>
                <w:highlight w:val="yellow"/>
                <w:lang w:val="en-US"/>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pBdr/>
              <w:spacing/>
              <w:ind/>
              <w:rPr>
                <w:color w:val="ff0000"/>
                <w:sz w:val="22"/>
                <w:szCs w:val="22"/>
              </w:rPr>
            </w:pPr>
            <w:r>
              <w:rPr>
                <w:color w:val="ff0000"/>
                <w:sz w:val="22"/>
                <w:szCs w:val="22"/>
              </w:rPr>
              <w:t xml:space="preserve">Идентификационный номер (VIN):</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widowControl w:val="false"/>
              <w:pBdr/>
              <w:spacing/>
              <w:ind/>
              <w:jc w:val="both"/>
              <w:rPr>
                <w:sz w:val="22"/>
                <w:szCs w:val="22"/>
                <w:highlight w:val="yellow"/>
              </w:rPr>
            </w:pPr>
            <w:r>
              <w:rPr>
                <w:sz w:val="22"/>
                <w:szCs w:val="22"/>
                <w:highlight w:val="yellow"/>
              </w:rPr>
            </w:r>
            <w:r>
              <w:rPr>
                <w:sz w:val="22"/>
                <w:szCs w:val="22"/>
                <w:highlight w:val="yellow"/>
              </w:rPr>
              <w:t xml:space="preserve">${vehicle_</w:t>
            </w:r>
            <w:r>
              <w:rPr>
                <w:sz w:val="22"/>
                <w:szCs w:val="22"/>
                <w:highlight w:val="yellow"/>
                <w:lang w:val="en-US"/>
              </w:rPr>
              <w:t xml:space="preserve">vin</w:t>
            </w:r>
            <w:r>
              <w:rPr>
                <w:sz w:val="22"/>
                <w:szCs w:val="22"/>
                <w:highlight w:val="yellow"/>
              </w:rPr>
              <w:t xml:space="preserve">}</w:t>
            </w:r>
            <w:r>
              <w:rPr>
                <w:sz w:val="22"/>
                <w:szCs w:val="22"/>
                <w:highlight w:val="yellow"/>
              </w:rPr>
            </w:r>
            <w:r>
              <w:rPr>
                <w:sz w:val="22"/>
                <w:szCs w:val="22"/>
                <w:highlight w:val="yellow"/>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pBdr/>
              <w:spacing/>
              <w:ind/>
              <w:rPr>
                <w:color w:val="ff0000"/>
                <w:sz w:val="22"/>
                <w:szCs w:val="22"/>
              </w:rPr>
            </w:pPr>
            <w:r>
              <w:rPr>
                <w:color w:val="ff0000"/>
                <w:sz w:val="22"/>
                <w:szCs w:val="22"/>
              </w:rPr>
              <w:t xml:space="preserve">Государственный регистрационный знак:</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pBdr/>
              <w:tabs>
                <w:tab w:val="left" w:leader="none" w:pos="2034"/>
              </w:tabs>
              <w:spacing/>
              <w:ind/>
              <w:rPr>
                <w:sz w:val="22"/>
                <w:szCs w:val="22"/>
                <w:highlight w:val="yellow"/>
              </w:rPr>
            </w:pPr>
            <w:r>
              <w:rPr>
                <w:sz w:val="22"/>
                <w:szCs w:val="22"/>
                <w:highlight w:val="yellow"/>
              </w:rPr>
            </w:r>
            <w:r>
              <w:rPr>
                <w:sz w:val="22"/>
                <w:szCs w:val="22"/>
                <w:highlight w:val="yellow"/>
              </w:rPr>
              <w:t xml:space="preserve">${vehicle_</w:t>
            </w:r>
            <w:r>
              <w:rPr>
                <w:sz w:val="22"/>
                <w:szCs w:val="22"/>
                <w:highlight w:val="yellow"/>
              </w:rPr>
              <w:t xml:space="preserve">registration_number</w:t>
            </w:r>
            <w:r>
              <w:rPr>
                <w:sz w:val="22"/>
                <w:szCs w:val="22"/>
                <w:highlight w:val="yellow"/>
              </w:rPr>
              <w:t xml:space="preserve">}</w:t>
            </w:r>
            <w:r>
              <w:rPr>
                <w:sz w:val="22"/>
                <w:szCs w:val="22"/>
                <w:highlight w:val="yellow"/>
              </w:rPr>
            </w:r>
            <w:r>
              <w:rPr>
                <w:sz w:val="22"/>
                <w:szCs w:val="22"/>
                <w:highlight w:val="yellow"/>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pBdr/>
              <w:spacing/>
              <w:ind/>
              <w:rPr>
                <w:color w:val="ff0000"/>
                <w:sz w:val="22"/>
                <w:szCs w:val="22"/>
              </w:rPr>
            </w:pPr>
            <w:r>
              <w:rPr>
                <w:color w:val="ff0000"/>
                <w:sz w:val="22"/>
                <w:szCs w:val="22"/>
              </w:rPr>
              <w:t xml:space="preserve">Год изготовления ТС:</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pBdr/>
              <w:spacing/>
              <w:ind w:right="0" w:hanging="34" w:left="34"/>
              <w:rPr>
                <w:sz w:val="22"/>
                <w:szCs w:val="22"/>
                <w:highlight w:val="yellow"/>
              </w:rPr>
            </w:pPr>
            <w:r>
              <w:rPr>
                <w:sz w:val="22"/>
                <w:szCs w:val="22"/>
                <w:highlight w:val="yellow"/>
              </w:rPr>
            </w:r>
            <w:r>
              <w:rPr>
                <w:sz w:val="22"/>
                <w:szCs w:val="22"/>
                <w:highlight w:val="yellow"/>
              </w:rPr>
              <w:t xml:space="preserve">${vehicle_</w:t>
            </w:r>
            <w:r>
              <w:rPr>
                <w:sz w:val="22"/>
                <w:szCs w:val="22"/>
                <w:highlight w:val="yellow"/>
                <w:lang w:val="en-US"/>
              </w:rPr>
              <w:t xml:space="preserve">year</w:t>
            </w:r>
            <w:r>
              <w:rPr>
                <w:sz w:val="22"/>
                <w:szCs w:val="22"/>
                <w:highlight w:val="yellow"/>
              </w:rPr>
              <w:t xml:space="preserve">}</w:t>
            </w:r>
            <w:r>
              <w:rPr>
                <w:sz w:val="22"/>
                <w:szCs w:val="22"/>
                <w:highlight w:val="yellow"/>
              </w:rPr>
            </w:r>
            <w:r>
              <w:rPr>
                <w:sz w:val="22"/>
                <w:szCs w:val="22"/>
                <w:highlight w:val="yellow"/>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pBdr/>
              <w:spacing/>
              <w:ind/>
              <w:rPr>
                <w:color w:val="ff0000"/>
                <w:sz w:val="22"/>
                <w:szCs w:val="22"/>
              </w:rPr>
            </w:pPr>
            <w:r>
              <w:rPr>
                <w:color w:val="ff0000"/>
                <w:sz w:val="22"/>
                <w:szCs w:val="22"/>
              </w:rPr>
              <w:t xml:space="preserve">Тип кузова</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pBdr/>
              <w:spacing/>
              <w:ind w:right="0" w:hanging="34" w:left="34"/>
              <w:rPr>
                <w:sz w:val="22"/>
                <w:szCs w:val="22"/>
                <w:highlight w:val="yellow"/>
              </w:rPr>
            </w:pPr>
            <w:r>
              <w:rPr>
                <w:sz w:val="22"/>
                <w:szCs w:val="22"/>
                <w:highlight w:val="yellow"/>
              </w:rPr>
            </w:r>
            <w:r>
              <w:rPr>
                <w:sz w:val="22"/>
                <w:szCs w:val="22"/>
                <w:highlight w:val="yellow"/>
              </w:rPr>
              <w:t xml:space="preserve">${vehicle_</w:t>
            </w:r>
            <w:r>
              <w:rPr>
                <w:sz w:val="22"/>
                <w:szCs w:val="22"/>
                <w:highlight w:val="yellow"/>
              </w:rPr>
              <w:t xml:space="preserve">configuration_name</w:t>
            </w:r>
            <w:r>
              <w:rPr>
                <w:sz w:val="22"/>
                <w:szCs w:val="22"/>
                <w:highlight w:val="yellow"/>
              </w:rPr>
              <w:t xml:space="preserve">}</w:t>
            </w:r>
            <w:r>
              <w:rPr>
                <w:sz w:val="22"/>
                <w:szCs w:val="22"/>
                <w:highlight w:val="yellow"/>
              </w:rPr>
            </w:r>
            <w:r>
              <w:rPr>
                <w:sz w:val="22"/>
                <w:szCs w:val="22"/>
                <w:highlight w:val="yellow"/>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pBdr/>
              <w:spacing/>
              <w:ind/>
              <w:rPr>
                <w:color w:val="ff0000"/>
                <w:sz w:val="22"/>
                <w:szCs w:val="22"/>
              </w:rPr>
            </w:pPr>
            <w:r>
              <w:rPr>
                <w:color w:val="ff0000"/>
                <w:sz w:val="22"/>
                <w:szCs w:val="22"/>
              </w:rPr>
              <w:t xml:space="preserve">Рабочий объем двигателя, (</w:t>
            </w:r>
            <w:r>
              <w:rPr>
                <w:color w:val="ff0000"/>
                <w:sz w:val="22"/>
                <w:szCs w:val="22"/>
              </w:rPr>
              <w:t xml:space="preserve">л):</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pBdr/>
              <w:spacing/>
              <w:ind w:right="0" w:hanging="34" w:left="34"/>
              <w:rPr>
                <w:sz w:val="22"/>
                <w:szCs w:val="22"/>
                <w:highlight w:val="yellow"/>
              </w:rPr>
            </w:pPr>
            <w:r>
              <w:rPr>
                <w:sz w:val="22"/>
                <w:szCs w:val="22"/>
                <w:highlight w:val="yellow"/>
              </w:rPr>
            </w:r>
            <w:r>
              <w:rPr>
                <w:sz w:val="22"/>
                <w:szCs w:val="22"/>
                <w:highlight w:val="yellow"/>
              </w:rPr>
              <w:t xml:space="preserve">${vehicle_</w:t>
            </w:r>
            <w:r>
              <w:rPr>
                <w:sz w:val="22"/>
                <w:szCs w:val="22"/>
                <w:highlight w:val="yellow"/>
              </w:rPr>
              <w:t xml:space="preserve">engine_capacity</w:t>
            </w:r>
            <w:r>
              <w:rPr>
                <w:sz w:val="22"/>
                <w:szCs w:val="22"/>
                <w:highlight w:val="yellow"/>
              </w:rPr>
              <w:t xml:space="preserve">}</w:t>
            </w:r>
            <w:r>
              <w:rPr>
                <w:sz w:val="22"/>
                <w:szCs w:val="22"/>
                <w:highlight w:val="yellow"/>
              </w:rPr>
            </w:r>
            <w:r>
              <w:rPr>
                <w:sz w:val="22"/>
                <w:szCs w:val="22"/>
                <w:highlight w:val="yellow"/>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widowControl w:val="false"/>
              <w:pBdr/>
              <w:spacing/>
              <w:ind/>
              <w:jc w:val="both"/>
              <w:rPr>
                <w:color w:val="ff0000"/>
                <w:sz w:val="22"/>
                <w:szCs w:val="22"/>
              </w:rPr>
            </w:pPr>
            <w:r>
              <w:rPr>
                <w:color w:val="ff0000"/>
                <w:sz w:val="22"/>
                <w:szCs w:val="22"/>
              </w:rPr>
              <w:t xml:space="preserve">Мощность двигателя, (л.с.):</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pBdr/>
              <w:spacing/>
              <w:ind w:right="0" w:hanging="34" w:left="34"/>
              <w:rPr>
                <w:sz w:val="22"/>
                <w:szCs w:val="22"/>
                <w:highlight w:val="yellow"/>
              </w:rPr>
            </w:pPr>
            <w:r>
              <w:rPr>
                <w:sz w:val="22"/>
                <w:szCs w:val="22"/>
                <w:highlight w:val="yellow"/>
              </w:rPr>
            </w:r>
            <w:r>
              <w:rPr>
                <w:sz w:val="22"/>
                <w:szCs w:val="22"/>
                <w:highlight w:val="yellow"/>
              </w:rPr>
              <w:t xml:space="preserve">${vehicle_</w:t>
            </w:r>
            <w:r>
              <w:rPr>
                <w:sz w:val="22"/>
                <w:szCs w:val="22"/>
                <w:highlight w:val="yellow"/>
                <w:lang w:val="en-US"/>
              </w:rPr>
              <w:t xml:space="preserve">power</w:t>
            </w:r>
            <w:r>
              <w:rPr>
                <w:sz w:val="22"/>
                <w:szCs w:val="22"/>
                <w:highlight w:val="yellow"/>
              </w:rPr>
              <w:t xml:space="preserve">}</w:t>
            </w:r>
            <w:r>
              <w:rPr>
                <w:sz w:val="22"/>
                <w:szCs w:val="22"/>
                <w:highlight w:val="yellow"/>
              </w:rPr>
            </w:r>
            <w:r>
              <w:rPr>
                <w:sz w:val="22"/>
                <w:szCs w:val="22"/>
                <w:highlight w:val="yellow"/>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pBdr/>
              <w:spacing/>
              <w:ind/>
              <w:rPr>
                <w:sz w:val="22"/>
                <w:szCs w:val="22"/>
              </w:rPr>
            </w:pPr>
            <w:r>
              <w:rPr>
                <w:sz w:val="22"/>
                <w:szCs w:val="22"/>
              </w:rPr>
              <w:t xml:space="preserve">Наименование права:</w:t>
            </w: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pBdr/>
              <w:spacing/>
              <w:ind/>
              <w:rPr>
                <w:sz w:val="22"/>
                <w:szCs w:val="22"/>
              </w:rPr>
            </w:pPr>
            <w:r>
              <w:rPr>
                <w:sz w:val="22"/>
                <w:szCs w:val="22"/>
              </w:rPr>
              <w:t xml:space="preserve">Право собственности</w:t>
            </w:r>
            <w:r>
              <w:rPr>
                <w:sz w:val="22"/>
                <w:szCs w:val="22"/>
              </w:rPr>
            </w:r>
            <w:r>
              <w:rPr>
                <w:sz w:val="22"/>
                <w:szCs w:val="22"/>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Style w:val="1038"/>
              <w:widowControl w:val="false"/>
              <w:pBdr/>
              <w:spacing/>
              <w:ind/>
              <w:jc w:val="both"/>
              <w:rPr>
                <w:color w:val="ff0000"/>
                <w:sz w:val="22"/>
                <w:szCs w:val="22"/>
              </w:rPr>
            </w:pPr>
            <w:r>
              <w:rPr>
                <w:color w:val="ff0000"/>
                <w:sz w:val="22"/>
                <w:szCs w:val="22"/>
              </w:rPr>
              <w:t xml:space="preserve">Возраст объекта оценка по состоянию на дату оценки, лет:</w:t>
            </w:r>
            <w:r>
              <w:rPr>
                <w:color w:val="ff0000"/>
                <w:sz w:val="22"/>
                <w:szCs w:val="22"/>
              </w:rPr>
            </w:r>
            <w:r>
              <w:rPr>
                <w:color w:val="ff0000"/>
                <w:sz w:val="22"/>
                <w:szCs w:val="22"/>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Style w:val="1038"/>
              <w:pBdr/>
              <w:tabs>
                <w:tab w:val="left" w:leader="none" w:pos="974"/>
              </w:tabs>
              <w:spacing/>
              <w:ind/>
              <w:rPr>
                <w:sz w:val="22"/>
                <w:szCs w:val="22"/>
                <w:highlight w:val="yellow"/>
              </w:rPr>
            </w:pPr>
            <w:r>
              <w:rPr>
                <w:sz w:val="22"/>
                <w:szCs w:val="22"/>
                <w:highlight w:val="none"/>
              </w:rPr>
            </w:r>
            <w:r>
              <w:rPr>
                <w:sz w:val="22"/>
                <w:szCs w:val="22"/>
                <w:highlight w:val="none"/>
              </w:rPr>
              <w:t xml:space="preserve">${vehicle_</w:t>
            </w:r>
            <w:r>
              <w:rPr>
                <w:sz w:val="22"/>
                <w:szCs w:val="22"/>
                <w:highlight w:val="none"/>
                <w:lang w:val="en-US"/>
              </w:rPr>
              <w:t xml:space="preserve">age</w:t>
            </w:r>
            <w:r>
              <w:rPr>
                <w:sz w:val="22"/>
                <w:szCs w:val="22"/>
                <w:highlight w:val="none"/>
              </w:rPr>
              <w:t xml:space="preserve">}</w:t>
            </w:r>
            <w:r>
              <w:rPr>
                <w:sz w:val="22"/>
                <w:szCs w:val="22"/>
                <w:highlight w:val="yellow"/>
              </w:rPr>
            </w:r>
            <w:r>
              <w:rPr>
                <w:sz w:val="22"/>
                <w:szCs w:val="22"/>
                <w:highlight w:val="yellow"/>
              </w:rPr>
            </w:r>
          </w:p>
        </w:tc>
      </w:tr>
      <w:tr>
        <w:trPr/>
        <w:tc>
          <w:tcPr>
            <w:gridSpan w:val="2"/>
            <w:shd w:val="clear" w:color="auto" w:fill="ededed"/>
            <w:tcBorders>
              <w:top w:val="single" w:color="000000" w:sz="4" w:space="0"/>
              <w:left w:val="single" w:color="000000" w:sz="4" w:space="0"/>
              <w:bottom w:val="single" w:color="000000" w:sz="4" w:space="0"/>
              <w:right w:val="single" w:color="000000" w:sz="4" w:space="0"/>
            </w:tcBorders>
            <w:tcW w:w="9780" w:type="dxa"/>
            <w:textDirection w:val="lrTb"/>
            <w:noWrap w:val="false"/>
          </w:tcPr>
          <w:p>
            <w:pPr>
              <w:pStyle w:val="1038"/>
              <w:widowControl w:val="false"/>
              <w:pBdr/>
              <w:spacing/>
              <w:ind/>
              <w:jc w:val="center"/>
              <w:rPr>
                <w:b/>
                <w:color w:val="ff0000"/>
                <w:sz w:val="22"/>
                <w:szCs w:val="22"/>
              </w:rPr>
            </w:pPr>
            <w:r>
              <w:rPr>
                <w:b/>
                <w:color w:val="ff0000"/>
                <w:sz w:val="22"/>
                <w:szCs w:val="22"/>
              </w:rPr>
              <w:t xml:space="preserve">Перечень документов, устанавливающих количественно-качественные характеристики</w:t>
            </w:r>
            <w:r>
              <w:rPr>
                <w:b/>
                <w:color w:val="ff0000"/>
                <w:sz w:val="22"/>
                <w:szCs w:val="22"/>
              </w:rPr>
            </w:r>
            <w:r>
              <w:rPr>
                <w:b/>
                <w:color w:val="ff0000"/>
                <w:sz w:val="22"/>
                <w:szCs w:val="22"/>
              </w:rPr>
            </w:r>
          </w:p>
        </w:tc>
      </w:tr>
      <w:tr>
        <w:trPr/>
        <w:tc>
          <w:tcPr>
            <w:gridSpan w:val="2"/>
            <w:tcBorders>
              <w:top w:val="single" w:color="000000" w:sz="4" w:space="0"/>
              <w:left w:val="single" w:color="000000" w:sz="4" w:space="0"/>
              <w:bottom w:val="single" w:color="000000" w:sz="4" w:space="0"/>
              <w:right w:val="single" w:color="000000" w:sz="4" w:space="0"/>
            </w:tcBorders>
            <w:tcW w:w="9780" w:type="dxa"/>
            <w:textDirection w:val="lrTb"/>
            <w:noWrap w:val="false"/>
          </w:tcPr>
          <w:p>
            <w:pPr>
              <w:pStyle w:val="1038"/>
              <w:numPr>
                <w:ilvl w:val="0"/>
                <w:numId w:val="17"/>
              </w:numPr>
              <w:pBdr/>
              <w:spacing/>
              <w:ind w:right="0" w:hanging="425" w:left="851"/>
              <w:rPr>
                <w:sz w:val="22"/>
                <w:szCs w:val="22"/>
                <w:highlight w:val="yellow"/>
              </w:rPr>
            </w:pPr>
            <w:r>
              <w:rPr>
                <w:color w:val="ff0000"/>
                <w:sz w:val="22"/>
                <w:szCs w:val="22"/>
              </w:rPr>
              <w:t xml:space="preserve">Свидетельство о смерти </w:t>
            </w:r>
            <w:r>
              <w:rPr>
                <w:sz w:val="22"/>
                <w:szCs w:val="22"/>
                <w:highlight w:val="yellow"/>
                <w:lang w:val="en-US"/>
              </w:rPr>
              <w:t xml:space="preserve">${</w:t>
            </w:r>
            <w:r>
              <w:rPr>
                <w:sz w:val="22"/>
                <w:szCs w:val="22"/>
                <w:highlight w:val="yellow"/>
                <w:lang w:val="en-US"/>
              </w:rPr>
              <w:t xml:space="preserve">owner_death_certificate_number</w:t>
            </w:r>
            <w:r>
              <w:rPr>
                <w:sz w:val="22"/>
                <w:szCs w:val="22"/>
                <w:highlight w:val="yellow"/>
                <w:lang w:val="en-US"/>
              </w:rPr>
              <w:t xml:space="preserve">}</w:t>
            </w:r>
            <w:r>
              <w:rPr>
                <w:sz w:val="22"/>
                <w:szCs w:val="22"/>
                <w:highlight w:val="yellow"/>
              </w:rPr>
              <w:t xml:space="preserve"> от </w:t>
            </w:r>
            <w:r>
              <w:rPr>
                <w:sz w:val="22"/>
                <w:szCs w:val="22"/>
                <w:highlight w:val="yellow"/>
                <w:lang w:val="en-US"/>
              </w:rPr>
              <w:t xml:space="preserve">${</w:t>
            </w:r>
            <w:r>
              <w:rPr>
                <w:sz w:val="22"/>
                <w:szCs w:val="22"/>
                <w:highlight w:val="yellow"/>
                <w:lang w:val="en-US"/>
              </w:rPr>
              <w:t xml:space="preserve">owner_deathdate</w:t>
            </w:r>
            <w:r>
              <w:rPr>
                <w:sz w:val="22"/>
                <w:szCs w:val="22"/>
                <w:highlight w:val="yellow"/>
                <w:lang w:val="en-US"/>
              </w:rPr>
              <w:t xml:space="preserve">}</w:t>
            </w:r>
            <w:r>
              <w:rPr>
                <w:sz w:val="22"/>
                <w:szCs w:val="22"/>
                <w:highlight w:val="yellow"/>
              </w:rPr>
              <w:t xml:space="preserve">.</w:t>
            </w:r>
            <w:r>
              <w:rPr>
                <w:sz w:val="22"/>
                <w:szCs w:val="22"/>
                <w:highlight w:val="yellow"/>
              </w:rPr>
            </w:r>
            <w:r>
              <w:rPr>
                <w:sz w:val="22"/>
                <w:szCs w:val="22"/>
                <w:highlight w:val="yellow"/>
              </w:rPr>
            </w:r>
          </w:p>
          <w:p>
            <w:pPr>
              <w:pStyle w:val="1038"/>
              <w:numPr>
                <w:ilvl w:val="0"/>
                <w:numId w:val="17"/>
              </w:numPr>
              <w:pBdr/>
              <w:spacing/>
              <w:ind w:right="0" w:hanging="425" w:left="851"/>
              <w:rPr>
                <w:sz w:val="22"/>
                <w:szCs w:val="22"/>
                <w:highlight w:val="yellow"/>
              </w:rPr>
            </w:pPr>
            <w:r>
              <w:rPr>
                <w:sz w:val="22"/>
                <w:szCs w:val="22"/>
                <w:highlight w:val="none"/>
              </w:rPr>
            </w:r>
            <w:r>
              <w:rPr>
                <w:color w:val="ee0000"/>
                <w:sz w:val="22"/>
                <w:szCs w:val="22"/>
              </w:rPr>
              <w:t xml:space="preserve">Свидетельство о регистрации ТС</w:t>
            </w:r>
            <w:r>
              <w:rPr>
                <w:sz w:val="22"/>
                <w:szCs w:val="22"/>
              </w:rPr>
              <w:t xml:space="preserve"> </w:t>
            </w:r>
            <w:r>
              <w:rPr>
                <w:sz w:val="22"/>
                <w:szCs w:val="22"/>
                <w:lang w:val="en-US"/>
              </w:rPr>
              <w:t xml:space="preserve">${</w:t>
            </w:r>
            <w:r>
              <w:rPr>
                <w:sz w:val="22"/>
                <w:szCs w:val="22"/>
                <w:lang w:val="en-US"/>
              </w:rPr>
              <w:t xml:space="preserve">vehicle_registration_certificate</w:t>
            </w:r>
            <w:r>
              <w:rPr>
                <w:sz w:val="22"/>
                <w:szCs w:val="22"/>
                <w:lang w:val="en-US"/>
              </w:rPr>
              <w:t xml:space="preserve">}</w:t>
            </w:r>
            <w:r>
              <w:rPr>
                <w:sz w:val="22"/>
                <w:szCs w:val="22"/>
                <w:highlight w:val="yellow"/>
              </w:rPr>
              <w:t xml:space="preserve"> от </w:t>
            </w:r>
            <w:r>
              <w:rPr>
                <w:sz w:val="22"/>
                <w:szCs w:val="22"/>
                <w:highlight w:val="yellow"/>
                <w:lang w:val="en-US"/>
              </w:rPr>
              <w:t xml:space="preserve">${</w:t>
            </w:r>
            <w:r>
              <w:rPr>
                <w:sz w:val="22"/>
                <w:szCs w:val="22"/>
                <w:highlight w:val="yellow"/>
                <w:lang w:val="en-US"/>
              </w:rPr>
              <w:t xml:space="preserve">vehicle_operation_start_date</w:t>
            </w:r>
            <w:r>
              <w:rPr>
                <w:sz w:val="22"/>
                <w:szCs w:val="22"/>
                <w:highlight w:val="yellow"/>
                <w:lang w:val="en-US"/>
              </w:rPr>
              <w:t xml:space="preserve">}</w:t>
            </w:r>
            <w:r>
              <w:rPr>
                <w:sz w:val="22"/>
                <w:szCs w:val="22"/>
                <w:highlight w:val="yellow"/>
              </w:rPr>
              <w:t xml:space="preserve">.</w:t>
            </w:r>
            <w:r>
              <w:rPr>
                <w:sz w:val="22"/>
                <w:szCs w:val="22"/>
                <w:highlight w:val="yellow"/>
              </w:rPr>
            </w:r>
            <w:r>
              <w:rPr>
                <w:sz w:val="22"/>
                <w:szCs w:val="22"/>
                <w:highlight w:val="yellow"/>
              </w:rPr>
            </w:r>
          </w:p>
        </w:tc>
      </w:tr>
      <w:tr>
        <w:trPr/>
        <w:tc>
          <w:tcPr>
            <w:gridSpan w:val="2"/>
            <w:shd w:val="clear" w:color="auto" w:fill="ffffff"/>
            <w:tcBorders>
              <w:top w:val="single" w:color="000000" w:sz="4" w:space="0"/>
              <w:left w:val="single" w:color="000000" w:sz="4" w:space="0"/>
              <w:bottom w:val="single" w:color="000000" w:sz="4" w:space="0"/>
              <w:right w:val="single" w:color="000000" w:sz="4" w:space="0"/>
            </w:tcBorders>
            <w:tcW w:w="9780" w:type="dxa"/>
            <w:textDirection w:val="lrTb"/>
            <w:noWrap w:val="false"/>
          </w:tcPr>
          <w:p>
            <w:pPr>
              <w:pStyle w:val="1213"/>
              <w:widowControl w:val="false"/>
              <w:pBdr/>
              <w:spacing/>
              <w:ind w:right="0" w:firstLine="0" w:left="360"/>
              <w:rPr>
                <w:b/>
                <w:bCs/>
                <w:iCs/>
                <w:color w:val="ff0000"/>
                <w:sz w:val="22"/>
                <w:szCs w:val="22"/>
              </w:rPr>
            </w:pPr>
            <w:r>
              <w:rPr>
                <w:b/>
                <w:iCs/>
                <w:color w:val="ff0000"/>
                <w:sz w:val="22"/>
                <w:szCs w:val="22"/>
              </w:rPr>
              <w:t xml:space="preserve">Техническое состояние</w:t>
            </w:r>
            <w:r>
              <w:rPr>
                <w:b/>
                <w:bCs/>
                <w:iCs/>
                <w:color w:val="ff0000"/>
                <w:sz w:val="22"/>
                <w:szCs w:val="22"/>
              </w:rPr>
            </w:r>
            <w:r>
              <w:rPr>
                <w:b/>
                <w:bCs/>
                <w:iCs/>
                <w:color w:val="ff0000"/>
                <w:sz w:val="22"/>
                <w:szCs w:val="22"/>
              </w:rPr>
            </w:r>
          </w:p>
        </w:tc>
      </w:tr>
      <w:tr>
        <w:trPr/>
        <w:tc>
          <w:tcPr>
            <w:gridSpan w:val="2"/>
            <w:shd w:val="clear" w:color="auto" w:fill="ffffff"/>
            <w:tcBorders>
              <w:top w:val="single" w:color="000000" w:sz="4" w:space="0"/>
              <w:left w:val="single" w:color="000000" w:sz="4" w:space="0"/>
              <w:bottom w:val="single" w:color="000000" w:sz="4" w:space="0"/>
              <w:right w:val="single" w:color="000000" w:sz="4" w:space="0"/>
            </w:tcBorders>
            <w:tcW w:w="9780" w:type="dxa"/>
            <w:textDirection w:val="lrTb"/>
            <w:noWrap w:val="false"/>
          </w:tcPr>
          <w:p>
            <w:pPr>
              <w:pStyle w:val="1038"/>
              <w:widowControl w:val="false"/>
              <w:pBdr/>
              <w:spacing/>
              <w:ind w:right="0" w:firstLine="567"/>
              <w:jc w:val="both"/>
              <w:rPr>
                <w:sz w:val="22"/>
                <w:szCs w:val="22"/>
              </w:rPr>
            </w:pPr>
            <w:r>
              <w:rPr>
                <w:sz w:val="22"/>
                <w:szCs w:val="22"/>
                <w:highlight w:val="none"/>
                <w:lang w:val="en-US"/>
              </w:rPr>
              <w:t xml:space="preserve">${vehicle_</w:t>
            </w:r>
            <w:r>
              <w:rPr>
                <w:sz w:val="22"/>
                <w:szCs w:val="22"/>
                <w:highlight w:val="none"/>
                <w:lang w:val="en-US"/>
              </w:rPr>
              <w:t xml:space="preserve">technical_condition</w:t>
            </w:r>
            <w:r>
              <w:rPr>
                <w:sz w:val="22"/>
                <w:szCs w:val="22"/>
                <w:highlight w:val="none"/>
                <w:lang w:val="en-US"/>
              </w:rPr>
              <w:t xml:space="preserve">}</w:t>
            </w:r>
            <w:r>
              <w:rPr>
                <w:sz w:val="22"/>
                <w:szCs w:val="22"/>
                <w:highlight w:val="none"/>
                <w:lang w:val="en-US"/>
              </w:rPr>
              <w:t xml:space="preserve">.</w:t>
            </w:r>
            <w:r>
              <w:rPr>
                <w:sz w:val="22"/>
                <w:szCs w:val="22"/>
                <w:highlight w:val="none"/>
                <w:lang w:val="ru-RU"/>
              </w:rPr>
              <w:t xml:space="preserve"> </w:t>
            </w:r>
            <w:r>
              <w:rPr>
                <w:sz w:val="22"/>
                <w:szCs w:val="22"/>
                <w:highlight w:val="none"/>
                <w:lang w:val="en-US"/>
              </w:rPr>
              <w:t xml:space="preserve">${</w:t>
            </w:r>
            <w:r>
              <w:rPr>
                <w:sz w:val="22"/>
                <w:szCs w:val="22"/>
                <w:highlight w:val="none"/>
                <w:lang w:val="en-US"/>
              </w:rPr>
              <w:t xml:space="preserve">vehicle_technical_condition_details</w:t>
            </w:r>
            <w:r>
              <w:rPr>
                <w:sz w:val="22"/>
                <w:szCs w:val="22"/>
                <w:highlight w:val="none"/>
                <w:lang w:val="en-US"/>
              </w:rPr>
              <w:t xml:space="preserve">}</w:t>
            </w:r>
            <w:r>
              <w:rPr>
                <w:sz w:val="22"/>
                <w:szCs w:val="22"/>
              </w:rPr>
            </w:r>
            <w:r>
              <w:rPr>
                <w:sz w:val="22"/>
                <w:szCs w:val="22"/>
              </w:rPr>
            </w:r>
          </w:p>
        </w:tc>
      </w:tr>
    </w:tbl>
    <w:p>
      <w:pPr>
        <w:pStyle w:val="1038"/>
        <w:widowControl w:val="false"/>
        <w:pBdr/>
        <w:spacing/>
        <w:ind/>
        <w:jc w:val="center"/>
        <w:rPr>
          <w:i/>
          <w:highlight w:val="cyan"/>
        </w:rPr>
      </w:pPr>
      <w:r>
        <w:rPr>
          <w:i/>
          <w:highlight w:val="cyan"/>
        </w:rPr>
      </w:r>
      <w:r>
        <w:rPr>
          <w:i/>
          <w:highlight w:val="cyan"/>
        </w:rPr>
      </w:r>
      <w:r>
        <w:rPr>
          <w:i/>
          <w:highlight w:val="cyan"/>
        </w:rPr>
      </w:r>
    </w:p>
    <w:p>
      <w:pPr>
        <w:pStyle w:val="1040"/>
        <w:keepNext w:val="false"/>
        <w:widowControl w:val="false"/>
        <w:numPr>
          <w:ilvl w:val="1"/>
          <w:numId w:val="1"/>
        </w:numPr>
        <w:pBdr/>
        <w:spacing/>
        <w:ind w:firstLine="0" w:left="0"/>
        <w:jc w:val="center"/>
        <w:rPr>
          <w:b/>
          <w:sz w:val="22"/>
          <w:szCs w:val="22"/>
        </w:rPr>
      </w:pPr>
      <w:r/>
      <w:bookmarkStart w:id="8" w:name="__RefHeading___Toc212536952"/>
      <w:r/>
      <w:bookmarkEnd w:id="8"/>
      <w:r>
        <w:rPr>
          <w:b/>
          <w:sz w:val="22"/>
          <w:szCs w:val="22"/>
        </w:rPr>
        <w:t xml:space="preserve">8.1. Перечень использованных документов</w:t>
      </w:r>
      <w:r>
        <w:rPr>
          <w:b/>
          <w:sz w:val="22"/>
          <w:szCs w:val="22"/>
        </w:rPr>
      </w:r>
      <w:r>
        <w:rPr>
          <w:b/>
          <w:sz w:val="22"/>
          <w:szCs w:val="22"/>
        </w:rPr>
      </w:r>
    </w:p>
    <w:p>
      <w:pPr>
        <w:pStyle w:val="1038"/>
        <w:widowControl w:val="false"/>
        <w:pBdr/>
        <w:spacing/>
        <w:ind w:right="0" w:firstLine="709"/>
        <w:jc w:val="both"/>
        <w:rPr>
          <w:sz w:val="22"/>
          <w:szCs w:val="22"/>
        </w:rPr>
      </w:pPr>
      <w:r>
        <w:rPr>
          <w:sz w:val="22"/>
          <w:szCs w:val="22"/>
        </w:rPr>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В настоящем разделе приведен перечень документов, используемых оценщиком и устанавливающих количественные и качественные характеристики объекта оценки, а также перечень иных информационных источников:</w:t>
      </w:r>
      <w:r>
        <w:rPr>
          <w:sz w:val="22"/>
          <w:szCs w:val="22"/>
        </w:rPr>
      </w:r>
      <w:r>
        <w:rPr>
          <w:sz w:val="22"/>
          <w:szCs w:val="22"/>
        </w:rPr>
      </w:r>
    </w:p>
    <w:p>
      <w:pPr>
        <w:pStyle w:val="1038"/>
        <w:widowControl w:val="false"/>
        <w:pBdr/>
        <w:spacing/>
        <w:ind w:right="0" w:firstLine="709"/>
        <w:jc w:val="both"/>
        <w:rPr>
          <w:iCs/>
          <w:sz w:val="22"/>
          <w:szCs w:val="22"/>
        </w:rPr>
      </w:pPr>
      <w:r>
        <w:rPr>
          <w:iCs/>
          <w:sz w:val="22"/>
          <w:szCs w:val="22"/>
        </w:rPr>
      </w:r>
      <w:r>
        <w:rPr>
          <w:iCs/>
          <w:sz w:val="22"/>
          <w:szCs w:val="22"/>
        </w:rPr>
      </w:r>
      <w:r>
        <w:rPr>
          <w:iCs/>
          <w:sz w:val="22"/>
          <w:szCs w:val="22"/>
        </w:rPr>
      </w:r>
    </w:p>
    <w:p>
      <w:pPr>
        <w:pStyle w:val="1038"/>
        <w:numPr>
          <w:ilvl w:val="0"/>
          <w:numId w:val="6"/>
        </w:numPr>
        <w:pBdr/>
        <w:spacing/>
        <w:ind w:right="0" w:hanging="425" w:left="851"/>
        <w:rPr>
          <w:sz w:val="22"/>
          <w:szCs w:val="22"/>
          <w:highlight w:val="yellow"/>
        </w:rPr>
      </w:pPr>
      <w:r>
        <w:rPr>
          <w:color w:val="ff0000"/>
          <w:sz w:val="22"/>
          <w:szCs w:val="22"/>
        </w:rPr>
        <w:t xml:space="preserve">Свидетельство о смерти </w:t>
      </w:r>
      <w:r>
        <w:rPr>
          <w:sz w:val="22"/>
          <w:szCs w:val="22"/>
          <w:highlight w:val="yellow"/>
          <w:lang w:val="en-US"/>
        </w:rPr>
        <w:t xml:space="preserve">${</w:t>
      </w:r>
      <w:r>
        <w:rPr>
          <w:sz w:val="22"/>
          <w:szCs w:val="22"/>
          <w:highlight w:val="yellow"/>
          <w:lang w:val="en-US"/>
        </w:rPr>
        <w:t xml:space="preserve">owner_death_certificate_number</w:t>
      </w:r>
      <w:r>
        <w:rPr>
          <w:sz w:val="22"/>
          <w:szCs w:val="22"/>
          <w:highlight w:val="yellow"/>
          <w:lang w:val="en-US"/>
        </w:rPr>
        <w:t xml:space="preserve">}</w:t>
      </w:r>
      <w:r>
        <w:rPr>
          <w:sz w:val="22"/>
          <w:szCs w:val="22"/>
          <w:highlight w:val="yellow"/>
        </w:rPr>
        <w:t xml:space="preserve"> от </w:t>
      </w:r>
      <w:r>
        <w:rPr>
          <w:sz w:val="22"/>
          <w:szCs w:val="22"/>
          <w:highlight w:val="yellow"/>
          <w:lang w:val="en-US"/>
        </w:rPr>
        <w:t xml:space="preserve">${</w:t>
      </w:r>
      <w:r>
        <w:rPr>
          <w:sz w:val="22"/>
          <w:szCs w:val="22"/>
          <w:highlight w:val="yellow"/>
          <w:lang w:val="en-US"/>
        </w:rPr>
        <w:t xml:space="preserve">owner_deathdate</w:t>
      </w:r>
      <w:r>
        <w:rPr>
          <w:sz w:val="22"/>
          <w:szCs w:val="22"/>
          <w:highlight w:val="yellow"/>
          <w:lang w:val="en-US"/>
        </w:rPr>
        <w:t xml:space="preserve">}</w:t>
      </w:r>
      <w:r>
        <w:rPr>
          <w:sz w:val="22"/>
          <w:szCs w:val="22"/>
          <w:highlight w:val="yellow"/>
        </w:rPr>
        <w:t xml:space="preserve">.</w:t>
      </w:r>
      <w:r>
        <w:rPr>
          <w:sz w:val="22"/>
          <w:szCs w:val="22"/>
          <w:highlight w:val="yellow"/>
        </w:rPr>
      </w:r>
      <w:r>
        <w:rPr>
          <w:sz w:val="22"/>
          <w:szCs w:val="22"/>
          <w:highlight w:val="yellow"/>
        </w:rPr>
      </w:r>
    </w:p>
    <w:p>
      <w:pPr>
        <w:pStyle w:val="1038"/>
        <w:numPr>
          <w:ilvl w:val="0"/>
          <w:numId w:val="6"/>
        </w:numPr>
        <w:pBdr/>
        <w:spacing/>
        <w:ind w:right="0" w:hanging="425" w:left="851"/>
        <w:rPr>
          <w:sz w:val="22"/>
          <w:szCs w:val="22"/>
          <w:highlight w:val="yellow"/>
        </w:rPr>
      </w:pPr>
      <w:r>
        <w:rPr>
          <w:sz w:val="22"/>
          <w:szCs w:val="22"/>
          <w:highlight w:val="none"/>
        </w:rPr>
      </w:r>
      <w:r>
        <w:rPr>
          <w:color w:val="ee0000"/>
          <w:sz w:val="22"/>
          <w:szCs w:val="22"/>
        </w:rPr>
        <w:t xml:space="preserve">Свидетельство о регистрации ТС</w:t>
      </w:r>
      <w:r>
        <w:rPr>
          <w:sz w:val="22"/>
          <w:szCs w:val="22"/>
        </w:rPr>
        <w:t xml:space="preserve"> </w:t>
      </w:r>
      <w:r>
        <w:rPr>
          <w:sz w:val="22"/>
          <w:szCs w:val="22"/>
          <w:lang w:val="en-US"/>
        </w:rPr>
        <w:t xml:space="preserve">${</w:t>
      </w:r>
      <w:r>
        <w:rPr>
          <w:sz w:val="22"/>
          <w:szCs w:val="22"/>
          <w:lang w:val="en-US"/>
        </w:rPr>
        <w:t xml:space="preserve">vehicle_registration_certificate</w:t>
      </w:r>
      <w:r>
        <w:rPr>
          <w:sz w:val="22"/>
          <w:szCs w:val="22"/>
          <w:lang w:val="en-US"/>
        </w:rPr>
        <w:t xml:space="preserve">}</w:t>
      </w:r>
      <w:r>
        <w:rPr>
          <w:sz w:val="22"/>
          <w:szCs w:val="22"/>
          <w:highlight w:val="yellow"/>
        </w:rPr>
        <w:t xml:space="preserve"> от </w:t>
      </w:r>
      <w:r>
        <w:rPr>
          <w:sz w:val="22"/>
          <w:szCs w:val="22"/>
          <w:highlight w:val="yellow"/>
          <w:lang w:val="en-US"/>
        </w:rPr>
        <w:t xml:space="preserve">${</w:t>
      </w:r>
      <w:r>
        <w:rPr>
          <w:sz w:val="22"/>
          <w:szCs w:val="22"/>
          <w:highlight w:val="yellow"/>
          <w:lang w:val="en-US"/>
        </w:rPr>
        <w:t xml:space="preserve">vehicle_operation_start_date</w:t>
      </w:r>
      <w:r>
        <w:rPr>
          <w:sz w:val="22"/>
          <w:szCs w:val="22"/>
          <w:highlight w:val="yellow"/>
          <w:lang w:val="en-US"/>
        </w:rPr>
        <w:t xml:space="preserve">}</w:t>
      </w:r>
      <w:r>
        <w:rPr>
          <w:sz w:val="22"/>
          <w:szCs w:val="22"/>
          <w:highlight w:val="yellow"/>
        </w:rPr>
        <w:t xml:space="preserve">.</w:t>
      </w:r>
      <w:r>
        <w:rPr>
          <w:sz w:val="22"/>
          <w:szCs w:val="22"/>
          <w:highlight w:val="yellow"/>
        </w:rPr>
      </w:r>
      <w:r>
        <w:rPr>
          <w:sz w:val="22"/>
          <w:szCs w:val="22"/>
          <w:highlight w:val="yellow"/>
        </w:rPr>
      </w:r>
    </w:p>
    <w:p>
      <w:pPr>
        <w:pStyle w:val="1213"/>
        <w:widowControl w:val="false"/>
        <w:pBdr/>
        <w:spacing/>
        <w:ind w:right="0" w:hanging="11" w:left="720"/>
        <w:jc w:val="both"/>
        <w:rPr>
          <w:iCs/>
          <w:sz w:val="22"/>
          <w:szCs w:val="22"/>
        </w:rPr>
      </w:pPr>
      <w:r>
        <w:rPr>
          <w:iCs/>
          <w:sz w:val="22"/>
          <w:szCs w:val="22"/>
        </w:rPr>
      </w:r>
      <w:r>
        <w:rPr>
          <w:iCs/>
          <w:sz w:val="22"/>
          <w:szCs w:val="22"/>
        </w:rPr>
      </w:r>
      <w:r>
        <w:rPr>
          <w:iCs/>
          <w:sz w:val="22"/>
          <w:szCs w:val="22"/>
        </w:rPr>
      </w:r>
    </w:p>
    <w:p>
      <w:pPr>
        <w:pStyle w:val="1213"/>
        <w:widowControl w:val="false"/>
        <w:pBdr/>
        <w:spacing/>
        <w:ind w:right="0" w:firstLine="567" w:left="0"/>
        <w:jc w:val="both"/>
        <w:rPr>
          <w:iCs/>
          <w:sz w:val="22"/>
          <w:szCs w:val="22"/>
        </w:rPr>
      </w:pPr>
      <w:r>
        <w:rPr>
          <w:iCs/>
          <w:sz w:val="22"/>
          <w:szCs w:val="22"/>
        </w:rPr>
        <w:t xml:space="preserve">Иные источники информации указаны по тексту данного Отчета в виде ссылок на такой источник.</w:t>
      </w:r>
      <w:r>
        <w:rPr>
          <w:iCs/>
          <w:sz w:val="22"/>
          <w:szCs w:val="22"/>
        </w:rPr>
      </w:r>
      <w:r>
        <w:rPr>
          <w:iCs/>
          <w:sz w:val="22"/>
          <w:szCs w:val="22"/>
        </w:rPr>
      </w:r>
    </w:p>
    <w:p>
      <w:pPr>
        <w:pStyle w:val="1038"/>
        <w:widowControl w:val="false"/>
        <w:pBdr/>
        <w:spacing/>
        <w:ind w:right="0" w:left="360"/>
        <w:rPr>
          <w:iCs/>
          <w:sz w:val="22"/>
          <w:szCs w:val="22"/>
        </w:rPr>
      </w:pPr>
      <w:r>
        <w:rPr>
          <w:iCs/>
          <w:sz w:val="22"/>
          <w:szCs w:val="22"/>
        </w:rPr>
      </w:r>
      <w:r>
        <w:rPr>
          <w:iCs/>
          <w:sz w:val="22"/>
          <w:szCs w:val="22"/>
        </w:rPr>
      </w:r>
      <w:r>
        <w:rPr>
          <w:iCs/>
          <w:sz w:val="22"/>
          <w:szCs w:val="22"/>
        </w:rPr>
      </w:r>
    </w:p>
    <w:p>
      <w:pPr>
        <w:pStyle w:val="1038"/>
        <w:widowControl w:val="false"/>
        <w:pBdr/>
        <w:spacing/>
        <w:ind w:right="0" w:firstLine="567"/>
        <w:jc w:val="both"/>
        <w:rPr>
          <w:sz w:val="22"/>
          <w:szCs w:val="22"/>
        </w:rPr>
      </w:pPr>
      <w:r>
        <w:rPr>
          <w:sz w:val="22"/>
          <w:szCs w:val="22"/>
        </w:rPr>
        <w:t xml:space="preserve">Использованная при проведении оценки информация удовлетворяет требованиям надежности, суще</w:t>
      </w:r>
      <w:r>
        <w:rPr>
          <w:sz w:val="22"/>
          <w:szCs w:val="22"/>
        </w:rPr>
        <w:t xml:space="preserve">ственности и достаточности, так как приведена органами государственной власти Российской Федерации или со ссылкой на сайты таких органов. У оценщика не было оснований ставить эту информацию под сомнения и не было причин проводить проверку такой информации.</w:t>
      </w:r>
      <w:r>
        <w:rPr>
          <w:sz w:val="22"/>
          <w:szCs w:val="22"/>
        </w:rPr>
      </w:r>
      <w:r>
        <w:rPr>
          <w:sz w:val="22"/>
          <w:szCs w:val="22"/>
        </w:rP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lang w:val="en-US"/>
        </w:rPr>
      </w:pPr>
      <w:r>
        <w:rPr>
          <w:lang w:val="en-US"/>
        </w:rPr>
      </w:r>
      <w:r>
        <w:rPr>
          <w:lang w:val="en-US"/>
        </w:rPr>
      </w:r>
      <w:r>
        <w:rPr>
          <w:lang w:val="en-US"/>
        </w:rPr>
      </w:r>
    </w:p>
    <w:p>
      <w:pPr>
        <w:pStyle w:val="1038"/>
        <w:widowControl w:val="false"/>
        <w:pBdr/>
        <w:spacing/>
        <w:ind/>
        <w:rPr>
          <w:lang w:val="en-US"/>
        </w:rPr>
      </w:pPr>
      <w:r>
        <w:rPr>
          <w:lang w:val="en-US"/>
        </w:rPr>
      </w:r>
      <w:r>
        <w:rPr>
          <w:lang w:val="en-US"/>
        </w:rPr>
      </w:r>
      <w:r>
        <w:rPr>
          <w:lang w:val="en-US"/>
        </w:rPr>
      </w:r>
    </w:p>
    <w:p>
      <w:pPr>
        <w:pStyle w:val="1038"/>
        <w:widowControl w:val="false"/>
        <w:pBdr/>
        <w:spacing/>
        <w:ind/>
        <w:rPr>
          <w:lang w:val="en-US"/>
        </w:rPr>
      </w:pPr>
      <w:r>
        <w:rPr>
          <w:lang w:val="en-US"/>
        </w:rPr>
      </w:r>
      <w:r>
        <w:rPr>
          <w:lang w:val="en-US"/>
        </w:rPr>
      </w:r>
      <w:r>
        <w:rPr>
          <w:lang w:val="en-US"/>
        </w:rP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8"/>
        <w:widowControl w:val="false"/>
        <w:pBdr/>
        <w:spacing/>
        <w:ind/>
        <w:rPr/>
      </w:pPr>
      <w: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9" w:name="__RefHeading___Toc212536953"/>
      <w:r/>
      <w:bookmarkEnd w:id="9"/>
      <w:r>
        <w:rPr>
          <w:rFonts w:ascii="Times New Roman" w:hAnsi="Times New Roman" w:cs="Times New Roman"/>
        </w:rPr>
        <w:t xml:space="preserve">10. ДОПУЩЕНИЯ И ОГРАНИЧЕНИЯ ОЦЕНКИ</w:t>
      </w:r>
      <w:r>
        <w:rPr>
          <w:rFonts w:ascii="Times New Roman" w:hAnsi="Times New Roman" w:cs="Times New Roman"/>
        </w:rPr>
      </w:r>
      <w:r>
        <w:rPr>
          <w:rFonts w:ascii="Times New Roman" w:hAnsi="Times New Roman" w:cs="Times New Roman"/>
        </w:rPr>
      </w:r>
    </w:p>
    <w:p>
      <w:pPr>
        <w:pStyle w:val="1038"/>
        <w:widowControl w:val="false"/>
        <w:pBdr/>
        <w:spacing/>
        <w:ind/>
        <w:jc w:val="center"/>
        <w:rPr>
          <w:b/>
          <w:sz w:val="24"/>
          <w:szCs w:val="24"/>
        </w:rPr>
      </w:pPr>
      <w:r>
        <w:rPr>
          <w:b/>
          <w:sz w:val="24"/>
          <w:szCs w:val="24"/>
        </w:rPr>
      </w:r>
      <w:r>
        <w:rPr>
          <w:b/>
          <w:sz w:val="24"/>
          <w:szCs w:val="24"/>
        </w:rPr>
      </w:r>
      <w:r>
        <w:rPr>
          <w:b/>
          <w:sz w:val="24"/>
          <w:szCs w:val="24"/>
        </w:rPr>
      </w:r>
    </w:p>
    <w:p>
      <w:pPr>
        <w:pStyle w:val="1040"/>
        <w:keepNext w:val="false"/>
        <w:widowControl w:val="false"/>
        <w:numPr>
          <w:ilvl w:val="1"/>
          <w:numId w:val="1"/>
        </w:numPr>
        <w:pBdr/>
        <w:spacing/>
        <w:ind w:firstLine="0" w:left="0"/>
        <w:jc w:val="center"/>
        <w:rPr>
          <w:b/>
          <w:sz w:val="22"/>
          <w:szCs w:val="22"/>
        </w:rPr>
      </w:pPr>
      <w:r/>
      <w:bookmarkStart w:id="10" w:name="__RefHeading___Toc212536954"/>
      <w:r/>
      <w:bookmarkEnd w:id="10"/>
      <w:r>
        <w:rPr>
          <w:b/>
          <w:sz w:val="22"/>
          <w:szCs w:val="22"/>
        </w:rPr>
        <w:t xml:space="preserve">10.1. Специальные допущения</w:t>
      </w:r>
      <w:r>
        <w:rPr>
          <w:b/>
          <w:sz w:val="22"/>
          <w:szCs w:val="22"/>
        </w:rPr>
      </w:r>
      <w:r>
        <w:rPr>
          <w:b/>
          <w:sz w:val="22"/>
          <w:szCs w:val="22"/>
        </w:rPr>
      </w:r>
    </w:p>
    <w:p>
      <w:pPr>
        <w:pStyle w:val="1038"/>
        <w:widowControl w:val="false"/>
        <w:pBdr/>
        <w:spacing/>
        <w:ind w:right="0" w:firstLine="567"/>
        <w:rPr>
          <w:sz w:val="22"/>
          <w:szCs w:val="22"/>
        </w:rPr>
      </w:pPr>
      <w:r>
        <w:rPr>
          <w:sz w:val="22"/>
          <w:szCs w:val="22"/>
        </w:rPr>
      </w:r>
      <w:r>
        <w:rPr>
          <w:sz w:val="22"/>
          <w:szCs w:val="22"/>
        </w:rPr>
      </w:r>
      <w:r>
        <w:rPr>
          <w:sz w:val="22"/>
          <w:szCs w:val="22"/>
        </w:rPr>
      </w:r>
    </w:p>
    <w:p>
      <w:pPr>
        <w:pStyle w:val="1038"/>
        <w:widowControl w:val="false"/>
        <w:pBdr/>
        <w:spacing/>
        <w:ind w:right="0" w:firstLine="567"/>
        <w:rPr>
          <w:sz w:val="22"/>
          <w:szCs w:val="22"/>
        </w:rPr>
      </w:pPr>
      <w:r>
        <w:rPr>
          <w:sz w:val="22"/>
          <w:szCs w:val="22"/>
        </w:rPr>
        <w:t xml:space="preserve">Специальные допущения в данной оценке не предусмотрены. </w:t>
      </w:r>
      <w:r>
        <w:rPr>
          <w:sz w:val="22"/>
          <w:szCs w:val="22"/>
        </w:rPr>
      </w:r>
      <w:r>
        <w:rPr>
          <w:sz w:val="22"/>
          <w:szCs w:val="22"/>
        </w:rPr>
      </w:r>
    </w:p>
    <w:p>
      <w:pPr>
        <w:pStyle w:val="1038"/>
        <w:widowControl w:val="false"/>
        <w:pBdr/>
        <w:spacing/>
        <w:ind w:right="0" w:firstLine="567"/>
        <w:rPr>
          <w:sz w:val="22"/>
          <w:szCs w:val="22"/>
        </w:rPr>
      </w:pPr>
      <w:r>
        <w:rPr>
          <w:sz w:val="22"/>
          <w:szCs w:val="22"/>
        </w:rPr>
      </w:r>
      <w:r>
        <w:rPr>
          <w:sz w:val="22"/>
          <w:szCs w:val="22"/>
        </w:rPr>
      </w:r>
      <w:r>
        <w:rPr>
          <w:sz w:val="22"/>
          <w:szCs w:val="22"/>
        </w:rPr>
      </w:r>
    </w:p>
    <w:p>
      <w:pPr>
        <w:pStyle w:val="1040"/>
        <w:keepNext w:val="false"/>
        <w:widowControl w:val="false"/>
        <w:numPr>
          <w:ilvl w:val="1"/>
          <w:numId w:val="1"/>
        </w:numPr>
        <w:pBdr/>
        <w:spacing/>
        <w:ind w:firstLine="0" w:left="0"/>
        <w:jc w:val="center"/>
        <w:rPr>
          <w:b/>
          <w:sz w:val="22"/>
          <w:szCs w:val="22"/>
        </w:rPr>
      </w:pPr>
      <w:r/>
      <w:bookmarkStart w:id="11" w:name="__RefHeading___Toc212536955"/>
      <w:r/>
      <w:bookmarkEnd w:id="11"/>
      <w:r>
        <w:rPr>
          <w:b/>
          <w:sz w:val="22"/>
          <w:szCs w:val="22"/>
        </w:rPr>
        <w:t xml:space="preserve">10.2. Существенные допущения, не являющиеся специальными</w:t>
      </w:r>
      <w:r>
        <w:rPr>
          <w:b/>
          <w:sz w:val="22"/>
          <w:szCs w:val="22"/>
        </w:rPr>
      </w:r>
      <w:r>
        <w:rPr>
          <w:b/>
          <w:sz w:val="22"/>
          <w:szCs w:val="22"/>
        </w:rPr>
      </w:r>
    </w:p>
    <w:p>
      <w:pPr>
        <w:pStyle w:val="1038"/>
        <w:widowControl w:val="false"/>
        <w:pBdr/>
        <w:spacing/>
        <w:ind w:right="0" w:firstLine="567"/>
        <w:rPr>
          <w:b/>
          <w:sz w:val="22"/>
          <w:szCs w:val="22"/>
        </w:rPr>
      </w:pPr>
      <w:r>
        <w:rPr>
          <w:b/>
          <w:sz w:val="22"/>
          <w:szCs w:val="22"/>
        </w:rPr>
      </w:r>
      <w:r>
        <w:rPr>
          <w:b/>
          <w:sz w:val="22"/>
          <w:szCs w:val="22"/>
        </w:rPr>
      </w:r>
      <w:r>
        <w:rPr>
          <w:b/>
          <w:sz w:val="22"/>
          <w:szCs w:val="22"/>
        </w:rPr>
      </w:r>
    </w:p>
    <w:p>
      <w:pPr>
        <w:pStyle w:val="1038"/>
        <w:widowControl w:val="false"/>
        <w:pBdr/>
        <w:spacing/>
        <w:ind w:right="0" w:firstLine="567"/>
        <w:rPr>
          <w:sz w:val="22"/>
          <w:szCs w:val="22"/>
        </w:rPr>
      </w:pPr>
      <w:r>
        <w:rPr>
          <w:sz w:val="22"/>
          <w:szCs w:val="22"/>
        </w:rPr>
        <w:t xml:space="preserve">Существенных допущения влияющих на стоимость объекта оценки не выявлено. </w:t>
      </w:r>
      <w:r>
        <w:rPr>
          <w:sz w:val="22"/>
          <w:szCs w:val="22"/>
        </w:rPr>
      </w:r>
      <w:r>
        <w:rPr>
          <w:sz w:val="22"/>
          <w:szCs w:val="22"/>
        </w:rPr>
      </w:r>
    </w:p>
    <w:p>
      <w:pPr>
        <w:pStyle w:val="1038"/>
        <w:widowControl w:val="false"/>
        <w:pBdr/>
        <w:spacing/>
        <w:ind w:right="0" w:firstLine="567"/>
        <w:jc w:val="both"/>
        <w:rPr>
          <w:b/>
          <w:sz w:val="22"/>
          <w:szCs w:val="22"/>
        </w:rPr>
      </w:pPr>
      <w:r>
        <w:rPr>
          <w:b/>
          <w:sz w:val="22"/>
          <w:szCs w:val="22"/>
        </w:rPr>
      </w:r>
      <w:r>
        <w:rPr>
          <w:b/>
          <w:sz w:val="22"/>
          <w:szCs w:val="22"/>
        </w:rPr>
      </w:r>
      <w:r>
        <w:rPr>
          <w:b/>
          <w:sz w:val="22"/>
          <w:szCs w:val="22"/>
        </w:rPr>
      </w:r>
    </w:p>
    <w:p>
      <w:pPr>
        <w:pStyle w:val="1040"/>
        <w:keepNext w:val="false"/>
        <w:widowControl w:val="false"/>
        <w:numPr>
          <w:ilvl w:val="1"/>
          <w:numId w:val="1"/>
        </w:numPr>
        <w:pBdr/>
        <w:spacing/>
        <w:ind w:firstLine="0" w:left="0"/>
        <w:jc w:val="center"/>
        <w:rPr>
          <w:b/>
          <w:sz w:val="22"/>
          <w:szCs w:val="22"/>
        </w:rPr>
      </w:pPr>
      <w:r/>
      <w:bookmarkStart w:id="12" w:name="__RefHeading___Toc212536956"/>
      <w:r/>
      <w:bookmarkEnd w:id="12"/>
      <w:r>
        <w:rPr>
          <w:b/>
          <w:sz w:val="22"/>
          <w:szCs w:val="22"/>
        </w:rPr>
        <w:t xml:space="preserve">10.3. Прочие допущения</w:t>
      </w:r>
      <w:r>
        <w:rPr>
          <w:b/>
          <w:sz w:val="22"/>
          <w:szCs w:val="22"/>
        </w:rPr>
      </w:r>
      <w:r>
        <w:rPr>
          <w:b/>
          <w:sz w:val="22"/>
          <w:szCs w:val="22"/>
        </w:rPr>
      </w:r>
    </w:p>
    <w:p>
      <w:pPr>
        <w:pStyle w:val="1038"/>
        <w:widowControl w:val="false"/>
        <w:pBdr/>
        <w:spacing/>
        <w:ind w:right="0" w:firstLine="708"/>
        <w:jc w:val="both"/>
        <w:rPr>
          <w:sz w:val="22"/>
          <w:szCs w:val="22"/>
        </w:rPr>
      </w:pPr>
      <w:r>
        <w:rPr>
          <w:sz w:val="22"/>
          <w:szCs w:val="22"/>
        </w:rPr>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Помимо допущений, сделанных в задании на оценку, Оценщик руководствовался нижеприведенными допущениями.</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Настоящие условия подразумевают их полное однозначное понимание сторонами, а также факт того, что все положения, результаты переговоров и заявления, не оговоренные в тексте отчета, теряют силу. Нас</w:t>
      </w:r>
      <w:r>
        <w:rPr>
          <w:sz w:val="22"/>
          <w:szCs w:val="22"/>
        </w:rPr>
        <w:t xml:space="preserve">тоящие условия могут быть изменены только по соглашению сторон и должны быть оформлены в письменной форме. Настоящие условия распространяются в случае правопреемства, если право собственности на объект оценки полностью или частично перейдет к другому лицу.</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Настоящий отчет достоверен в полном объеме лишь для указанных в нем целей.</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Заказчик принимает на себя обязательство заранее освободить Оценщика от всякого рода расходов и материальной ответственности, происходящих из иска третьих сторон к Оценщику вследствие легального использования третьими сторонами результатов работы Оценщика.</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Достоверность информации, предоставленной Заказчиком, принимается оценщиком как достоверная, соответствующая правоустанавливающим и техническим документам. Оценка проводится на основании информации, предоставленной Заказчиком в Задании на оценку.</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Оценщик не обязан на основании отчета предоставлять дальнейшие консультации, давать свидетельские показания, представать перед судом или участвовать в иных юридических разбирательствах, если не заключено специального соглашения.</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Информация, полученная от Заказчика и сторонних спе</w:t>
      </w:r>
      <w:r>
        <w:rPr>
          <w:sz w:val="22"/>
          <w:szCs w:val="22"/>
        </w:rPr>
        <w:t xml:space="preserve">циалистов, представляется достоверной. Тем не менее, Оценщик не даёт гарантии или иные формы подтверждения ее полной достоверности. Оценщик исходил из того, что предоставленная ему исходная информация являлась точной и правдивой, и не проводил ее проверки.</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Оценщик не проводил юридическую проверку подлинности предоставленных документов.</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Оценщик не несет ответственности за описание правового состояния объекта оценки и вопросы, связанные с юридическим состоянием прав владения, пользования и распоряжения объектом оценки по предоставленным данным.</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В отчете используются модели и расчетные формулы, в основе которых лежат те или иные допущения. Эти допущения Оценщик отражает в отчете по мере обращения к ним. Принятые допущения следует учитывать при использовании представленных результатов.</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Мнение Оценщика относительно стоимости объекта действительно только на период действия отчета по</w:t>
      </w:r>
      <w:r>
        <w:rPr>
          <w:sz w:val="22"/>
          <w:szCs w:val="22"/>
        </w:rPr>
        <w:t xml:space="preserve"> оценке. Оценщик не принимает на себя никакой ответственности за изменение экономических, социальных, физических факторов; изменения федерального и местного законодательства, которые могут произойти после вышеуказанной даты и повлиять на стоимость объекта.</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Ни весь отчет, ни какая-либо его часть (особенно заключение о стоимости и данные об оценщи</w:t>
      </w:r>
      <w:r>
        <w:rPr>
          <w:sz w:val="22"/>
          <w:szCs w:val="22"/>
        </w:rPr>
        <w:t xml:space="preserve">ке, принимавшем участие в работе, и фирме, в которой он работает) не могут быть предоставлены Заказчиком для использования в целях рекламы, для мероприятий по связям с общественностью и по другим мотивам без предварительного письменного согласия Оценщика. </w:t>
      </w:r>
      <w:r>
        <w:rPr>
          <w:sz w:val="22"/>
          <w:szCs w:val="22"/>
        </w:rPr>
      </w:r>
      <w:r>
        <w:rPr>
          <w:sz w:val="22"/>
          <w:szCs w:val="22"/>
        </w:rPr>
      </w:r>
    </w:p>
    <w:p>
      <w:pPr>
        <w:pStyle w:val="1038"/>
        <w:widowControl w:val="false"/>
        <w:pBdr/>
        <w:spacing/>
        <w:ind w:right="0" w:firstLine="708"/>
        <w:jc w:val="both"/>
        <w:rPr>
          <w:sz w:val="22"/>
          <w:szCs w:val="22"/>
        </w:rPr>
      </w:pPr>
      <w:r>
        <w:rPr>
          <w:sz w:val="22"/>
          <w:szCs w:val="22"/>
        </w:rPr>
        <w:t xml:space="preserve">Данная оценка является независимым оценочным суждением, которое может быть принято во внимание Заказчиком для оформления наследства.</w:t>
      </w:r>
      <w:r>
        <w:rPr>
          <w:sz w:val="22"/>
          <w:szCs w:val="22"/>
        </w:rPr>
      </w:r>
      <w:r>
        <w:rPr>
          <w:sz w:val="22"/>
          <w:szCs w:val="22"/>
        </w:rPr>
      </w:r>
    </w:p>
    <w:p>
      <w:pPr>
        <w:pStyle w:val="1038"/>
        <w:pBdr/>
        <w:spacing/>
        <w:ind/>
        <w:rPr>
          <w:sz w:val="24"/>
          <w:szCs w:val="24"/>
        </w:rPr>
      </w:pPr>
      <w:r>
        <w:rPr>
          <w:sz w:val="24"/>
          <w:szCs w:val="24"/>
        </w:rPr>
      </w:r>
      <w:r>
        <w:rPr>
          <w:sz w:val="24"/>
          <w:szCs w:val="24"/>
        </w:rPr>
      </w:r>
      <w:r>
        <w:rPr>
          <w:sz w:val="24"/>
          <w:szCs w:val="24"/>
        </w:rPr>
      </w:r>
    </w:p>
    <w:p>
      <w:pPr>
        <w:pStyle w:val="1038"/>
        <w:pBdr/>
        <w:spacing/>
        <w:ind/>
        <w:rPr>
          <w:sz w:val="24"/>
          <w:szCs w:val="24"/>
        </w:rPr>
      </w:pPr>
      <w:r>
        <w:rPr>
          <w:sz w:val="24"/>
          <w:szCs w:val="24"/>
        </w:rPr>
      </w:r>
      <w:r>
        <w:rPr>
          <w:sz w:val="24"/>
          <w:szCs w:val="24"/>
        </w:rPr>
      </w:r>
      <w:r>
        <w:rPr>
          <w:sz w:val="24"/>
          <w:szCs w:val="24"/>
        </w:rPr>
      </w:r>
    </w:p>
    <w:p>
      <w:pPr>
        <w:pStyle w:val="1038"/>
        <w:pBdr/>
        <w:spacing/>
        <w:ind/>
        <w:rPr>
          <w:sz w:val="24"/>
          <w:szCs w:val="24"/>
        </w:rPr>
      </w:pPr>
      <w:r>
        <w:rPr>
          <w:sz w:val="24"/>
          <w:szCs w:val="24"/>
        </w:rPr>
      </w:r>
      <w:r>
        <w:rPr>
          <w:sz w:val="24"/>
          <w:szCs w:val="24"/>
        </w:rPr>
      </w:r>
      <w:r>
        <w:rPr>
          <w:sz w:val="24"/>
          <w:szCs w:val="24"/>
        </w:rPr>
      </w:r>
    </w:p>
    <w:p>
      <w:pPr>
        <w:pStyle w:val="1038"/>
        <w:pBdr/>
        <w:spacing/>
        <w:ind/>
        <w:rPr>
          <w:sz w:val="24"/>
          <w:szCs w:val="24"/>
        </w:rPr>
      </w:pPr>
      <w:r>
        <w:rPr>
          <w:sz w:val="24"/>
          <w:szCs w:val="24"/>
        </w:rPr>
      </w:r>
      <w:r>
        <w:rPr>
          <w:sz w:val="24"/>
          <w:szCs w:val="24"/>
        </w:rPr>
      </w:r>
      <w:r>
        <w:rPr>
          <w:sz w:val="24"/>
          <w:szCs w:val="24"/>
        </w:rPr>
      </w:r>
    </w:p>
    <w:p>
      <w:pPr>
        <w:pStyle w:val="1038"/>
        <w:pBdr/>
        <w:spacing/>
        <w:ind/>
        <w:rPr>
          <w:sz w:val="24"/>
          <w:szCs w:val="24"/>
        </w:rPr>
      </w:pPr>
      <w:r>
        <w:rPr>
          <w:sz w:val="24"/>
          <w:szCs w:val="24"/>
        </w:rPr>
      </w:r>
      <w:r>
        <w:rPr>
          <w:sz w:val="24"/>
          <w:szCs w:val="24"/>
        </w:rPr>
      </w:r>
      <w:r>
        <w:rPr>
          <w:sz w:val="24"/>
          <w:szCs w:val="24"/>
        </w:rP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13" w:name="__RefHeading___Toc212536957"/>
      <w:r/>
      <w:bookmarkEnd w:id="13"/>
      <w:r>
        <w:rPr>
          <w:rFonts w:ascii="Times New Roman" w:hAnsi="Times New Roman" w:cs="Times New Roman"/>
        </w:rPr>
        <w:t xml:space="preserve">11. АНАЛИЗ РЫНКА ОБЪЕКТА ОЦЕНКИ И ДРУГИХ ВНЕШНИХ ФАКТОРОВ</w:t>
      </w:r>
      <w:r>
        <w:rPr>
          <w:rFonts w:ascii="Times New Roman" w:hAnsi="Times New Roman" w:cs="Times New Roman"/>
        </w:rPr>
      </w:r>
      <w:r>
        <w:rPr>
          <w:rFonts w:ascii="Times New Roman" w:hAnsi="Times New Roman" w:cs="Times New Roman"/>
        </w:rPr>
      </w:r>
    </w:p>
    <w:p>
      <w:pPr>
        <w:pStyle w:val="1038"/>
        <w:widowControl w:val="false"/>
        <w:pBdr/>
        <w:spacing/>
        <w:ind w:right="0" w:firstLine="709"/>
        <w:jc w:val="both"/>
        <w:rPr>
          <w:highlight w:val="cyan"/>
        </w:rPr>
      </w:pPr>
      <w:r>
        <w:rPr>
          <w:highlight w:val="cyan"/>
        </w:rPr>
      </w:r>
      <w:r>
        <w:rPr>
          <w:highlight w:val="cyan"/>
        </w:rPr>
      </w:r>
      <w:r>
        <w:rPr>
          <w:highlight w:val="cyan"/>
        </w:rPr>
      </w:r>
    </w:p>
    <w:p>
      <w:pPr>
        <w:pStyle w:val="1038"/>
        <w:pBdr/>
        <w:spacing/>
        <w:ind/>
        <w:jc w:val="center"/>
        <w:rPr>
          <w:b/>
          <w:sz w:val="22"/>
          <w:szCs w:val="22"/>
        </w:rPr>
      </w:pPr>
      <w:r>
        <w:rPr>
          <w:b/>
          <w:sz w:val="22"/>
          <w:szCs w:val="22"/>
        </w:rPr>
        <w:t xml:space="preserve">Анализ внешних факторов, влияющих на стоимость объекта оценки</w:t>
      </w:r>
      <w:r>
        <w:rPr>
          <w:b/>
          <w:sz w:val="22"/>
          <w:szCs w:val="22"/>
        </w:rPr>
      </w:r>
      <w:r>
        <w:rPr>
          <w:b/>
          <w:sz w:val="22"/>
          <w:szCs w:val="22"/>
        </w:rPr>
      </w:r>
    </w:p>
    <w:p>
      <w:pPr>
        <w:pStyle w:val="1038"/>
        <w:pBdr/>
        <w:spacing/>
        <w:ind/>
        <w:jc w:val="center"/>
        <w:rPr>
          <w:sz w:val="22"/>
          <w:szCs w:val="22"/>
        </w:rPr>
      </w:pPr>
      <w:r>
        <w:rPr>
          <w:sz w:val="22"/>
          <w:szCs w:val="22"/>
        </w:rPr>
      </w:r>
      <w:r>
        <w:rPr>
          <w:sz w:val="22"/>
          <w:szCs w:val="22"/>
        </w:rPr>
      </w:r>
      <w:r>
        <w:rPr>
          <w:sz w:val="22"/>
          <w:szCs w:val="22"/>
        </w:rPr>
      </w:r>
    </w:p>
    <w:p>
      <w:pPr>
        <w:pStyle w:val="1038"/>
        <w:pBdr/>
        <w:spacing/>
        <w:ind/>
        <w:jc w:val="center"/>
        <w:rPr>
          <w:sz w:val="22"/>
          <w:szCs w:val="22"/>
        </w:rPr>
      </w:pPr>
      <w:r>
        <w:rPr>
          <w:sz w:val="22"/>
          <w:szCs w:val="22"/>
        </w:rPr>
        <w:t xml:space="preserve">Основные экономические показатели России (по данным Росстата)</w:t>
      </w:r>
      <w:r>
        <w:rPr>
          <w:sz w:val="22"/>
          <w:szCs w:val="22"/>
        </w:rPr>
      </w:r>
      <w:r>
        <w:rPr>
          <w:sz w:val="22"/>
          <w:szCs w:val="22"/>
        </w:rPr>
      </w:r>
    </w:p>
    <w:p>
      <w:pPr>
        <w:pStyle w:val="1038"/>
        <w:pBdr/>
        <w:spacing/>
        <w:ind w:right="0" w:firstLine="720"/>
        <w:jc w:val="both"/>
        <w:rPr>
          <w:sz w:val="22"/>
          <w:szCs w:val="22"/>
        </w:rPr>
      </w:pPr>
      <w:r>
        <w:rPr>
          <w:sz w:val="22"/>
          <w:szCs w:val="22"/>
        </w:rPr>
        <w:t xml:space="preserve">Представлены наиб</w:t>
      </w:r>
      <w:r>
        <w:rPr>
          <w:sz w:val="22"/>
          <w:szCs w:val="22"/>
        </w:rPr>
        <w:t xml:space="preserve">олее значимые макроэкономические показатели, прямо или косвенно характеризующие состояние, динамику и перспективу экономики в целом, ключевых отраслей, доходы и задолженности по кредитам банков населения и бизнеса, влияющие на рынок в Российской Федерации.</w:t>
      </w:r>
      <w:r>
        <w:rPr>
          <w:sz w:val="22"/>
          <w:szCs w:val="22"/>
        </w:rPr>
      </w:r>
      <w:r>
        <w:rPr>
          <w:sz w:val="22"/>
          <w:szCs w:val="22"/>
        </w:rPr>
      </w:r>
    </w:p>
    <w:p>
      <w:pPr>
        <w:pStyle w:val="1038"/>
        <w:pBdr/>
        <w:spacing/>
        <w:ind w:right="0" w:firstLine="720"/>
        <w:jc w:val="both"/>
        <w:rPr>
          <w:sz w:val="22"/>
          <w:szCs w:val="22"/>
        </w:rPr>
      </w:pPr>
      <w:r>
        <w:rPr>
          <w:sz w:val="22"/>
          <w:szCs w:val="22"/>
        </w:rPr>
      </w:r>
      <w:r>
        <w:rPr>
          <w:sz w:val="22"/>
          <w:szCs w:val="22"/>
        </w:rPr>
      </w:r>
      <w:r>
        <w:rPr>
          <w:sz w:val="22"/>
          <w:szCs w:val="22"/>
        </w:rPr>
      </w:r>
    </w:p>
    <w:tbl>
      <w:tblPr>
        <w:tblW w:w="9918"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567"/>
        <w:gridCol w:w="5098"/>
        <w:gridCol w:w="989"/>
        <w:gridCol w:w="1085"/>
        <w:gridCol w:w="1045"/>
        <w:gridCol w:w="1134"/>
      </w:tblGrid>
      <w:tr>
        <w:trPr>
          <w:trHeight w:val="257"/>
        </w:trPr>
        <w:tc>
          <w:tcPr>
            <w:shd w:val="clear" w:color="auto" w:fill="c1e4f5"/>
            <w:tcBorders>
              <w:top w:val="single" w:color="000000" w:sz="4" w:space="0"/>
              <w:left w:val="single" w:color="000000" w:sz="4" w:space="0"/>
              <w:bottom w:val="single" w:color="000000" w:sz="4" w:space="0"/>
              <w:right w:val="single" w:color="000000" w:sz="4" w:space="0"/>
            </w:tcBorders>
            <w:tcW w:w="567" w:type="dxa"/>
            <w:vAlign w:val="center"/>
            <w:vMerge w:val="restart"/>
            <w:textDirection w:val="lrTb"/>
            <w:noWrap w:val="false"/>
          </w:tcPr>
          <w:p>
            <w:pPr>
              <w:pStyle w:val="1140"/>
              <w:widowControl w:val="false"/>
              <w:pBdr/>
              <w:spacing/>
              <w:ind/>
              <w:jc w:val="center"/>
              <w:rPr>
                <w:sz w:val="20"/>
                <w:szCs w:val="20"/>
              </w:rPr>
            </w:pPr>
            <w:r>
              <w:rPr>
                <w:sz w:val="20"/>
                <w:szCs w:val="20"/>
              </w:rPr>
              <w:t xml:space="preserve">№</w:t>
            </w:r>
            <w:r>
              <w:rPr>
                <w:sz w:val="20"/>
                <w:szCs w:val="20"/>
              </w:rPr>
            </w:r>
            <w:r>
              <w:rPr>
                <w:sz w:val="20"/>
                <w:szCs w:val="20"/>
              </w:rPr>
            </w:r>
          </w:p>
        </w:tc>
        <w:tc>
          <w:tcPr>
            <w:shd w:val="clear" w:color="auto" w:fill="c1e4f5"/>
            <w:tcBorders>
              <w:top w:val="single" w:color="000000" w:sz="4" w:space="0"/>
              <w:left w:val="single" w:color="000000" w:sz="4" w:space="0"/>
              <w:bottom w:val="single" w:color="000000" w:sz="4" w:space="0"/>
              <w:right w:val="single" w:color="000000" w:sz="4" w:space="0"/>
            </w:tcBorders>
            <w:tcW w:w="5098" w:type="dxa"/>
            <w:vAlign w:val="center"/>
            <w:vMerge w:val="restart"/>
            <w:textDirection w:val="lrTb"/>
            <w:noWrap w:val="false"/>
          </w:tcPr>
          <w:p>
            <w:pPr>
              <w:pStyle w:val="1038"/>
              <w:widowControl w:val="false"/>
              <w:pBdr/>
              <w:spacing w:after="0" w:before="0"/>
              <w:ind/>
              <w:contextualSpacing w:val="true"/>
              <w:rPr>
                <w:sz w:val="24"/>
                <w:szCs w:val="24"/>
              </w:rPr>
            </w:pPr>
            <w:r>
              <w:rPr>
                <w:sz w:val="24"/>
                <w:szCs w:val="24"/>
              </w:rPr>
            </w:r>
            <w:r>
              <w:rPr>
                <w:sz w:val="24"/>
                <w:szCs w:val="24"/>
              </w:rPr>
            </w:r>
            <w:r>
              <w:rPr>
                <w:sz w:val="24"/>
                <w:szCs w:val="24"/>
              </w:rPr>
            </w:r>
          </w:p>
        </w:tc>
        <w:tc>
          <w:tcPr>
            <w:shd w:val="clear" w:color="auto" w:fill="c1e4f5"/>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Style w:val="1038"/>
              <w:widowControl w:val="false"/>
              <w:pBdr/>
              <w:spacing w:after="0" w:before="0"/>
              <w:ind/>
              <w:contextualSpacing w:val="true"/>
              <w:jc w:val="center"/>
              <w:rPr/>
            </w:pPr>
            <w:r>
              <w:rPr>
                <w:rFonts w:eastAsia="Calibri"/>
              </w:rPr>
              <w:t xml:space="preserve">22/21</w:t>
            </w:r>
            <w:r/>
          </w:p>
        </w:tc>
        <w:tc>
          <w:tcPr>
            <w:shd w:val="clear" w:color="auto" w:fill="c1e4f5"/>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Style w:val="1038"/>
              <w:widowControl w:val="false"/>
              <w:pBdr/>
              <w:spacing w:after="0" w:before="0"/>
              <w:ind/>
              <w:contextualSpacing w:val="true"/>
              <w:jc w:val="center"/>
              <w:rPr>
                <w:rFonts w:eastAsia="Calibri"/>
              </w:rPr>
            </w:pPr>
            <w:r>
              <w:rPr>
                <w:rFonts w:eastAsia="Calibri"/>
              </w:rPr>
              <w:t xml:space="preserve">23/22</w:t>
            </w:r>
            <w:r>
              <w:rPr>
                <w:rFonts w:eastAsia="Calibri"/>
              </w:rPr>
            </w:r>
            <w:r>
              <w:rPr>
                <w:rFonts w:eastAsia="Calibri"/>
              </w:rPr>
            </w:r>
          </w:p>
        </w:tc>
        <w:tc>
          <w:tcPr>
            <w:shd w:val="clear" w:color="auto" w:fill="c1e4f5"/>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Style w:val="1038"/>
              <w:widowControl w:val="false"/>
              <w:pBdr/>
              <w:spacing w:after="0" w:before="0"/>
              <w:ind/>
              <w:contextualSpacing w:val="true"/>
              <w:jc w:val="center"/>
              <w:rPr>
                <w:rFonts w:eastAsia="Calibri"/>
              </w:rPr>
            </w:pPr>
            <w:r>
              <w:rPr>
                <w:rFonts w:eastAsia="Calibri"/>
              </w:rPr>
              <w:t xml:space="preserve">24/23</w:t>
            </w:r>
            <w:r>
              <w:rPr>
                <w:rFonts w:eastAsia="Calibri"/>
              </w:rPr>
            </w:r>
            <w:r>
              <w:rPr>
                <w:rFonts w:eastAsia="Calibri"/>
              </w:rP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rPr>
            </w:pPr>
            <w:r>
              <w:rPr>
                <w:rFonts w:eastAsia="Calibri"/>
              </w:rPr>
              <w:t xml:space="preserve">Янв-сент 25/24</w:t>
            </w:r>
            <w:r>
              <w:rPr>
                <w:rFonts w:eastAsia="Calibri"/>
              </w:rPr>
            </w:r>
            <w:r>
              <w:rPr>
                <w:rFonts w:eastAsia="Calibri"/>
              </w:rPr>
            </w:r>
          </w:p>
        </w:tc>
      </w:tr>
      <w:tr>
        <w:trPr>
          <w:trHeight w:val="219"/>
        </w:trPr>
        <w:tc>
          <w:tcPr>
            <w:shd w:val="clear" w:color="auto" w:fill="c1e4f5"/>
            <w:tcBorders>
              <w:top w:val="single" w:color="000000" w:sz="4" w:space="0"/>
              <w:left w:val="single" w:color="000000" w:sz="4" w:space="0"/>
              <w:bottom w:val="single" w:color="000000" w:sz="4" w:space="0"/>
              <w:right w:val="single" w:color="000000" w:sz="4" w:space="0"/>
            </w:tcBorders>
            <w:tcW w:w="567" w:type="dxa"/>
            <w:vAlign w:val="center"/>
            <w:vMerge w:val="continue"/>
            <w:textDirection w:val="lrTb"/>
            <w:noWrap w:val="false"/>
          </w:tcPr>
          <w:p>
            <w:pPr>
              <w:pStyle w:val="1038"/>
              <w:widowControl w:val="false"/>
              <w:pBdr/>
              <w:spacing w:after="0" w:before="0"/>
              <w:ind w:right="227" w:firstLine="57"/>
              <w:contextualSpacing w:val="true"/>
              <w:jc w:val="center"/>
              <w:rPr/>
            </w:pPr>
            <w:r/>
            <w:r/>
          </w:p>
        </w:tc>
        <w:tc>
          <w:tcPr>
            <w:shd w:val="clear" w:color="auto" w:fill="c1e4f5"/>
            <w:tcBorders>
              <w:top w:val="single" w:color="000000" w:sz="4" w:space="0"/>
              <w:left w:val="single" w:color="000000" w:sz="4" w:space="0"/>
              <w:bottom w:val="single" w:color="000000" w:sz="4" w:space="0"/>
              <w:right w:val="single" w:color="000000" w:sz="4" w:space="0"/>
            </w:tcBorders>
            <w:tcW w:w="5098" w:type="dxa"/>
            <w:vAlign w:val="center"/>
            <w:vMerge w:val="continue"/>
            <w:textDirection w:val="lrTb"/>
            <w:noWrap w:val="false"/>
          </w:tcPr>
          <w:p>
            <w:pPr>
              <w:pStyle w:val="1038"/>
              <w:widowControl w:val="false"/>
              <w:pBdr/>
              <w:spacing w:after="0" w:before="0"/>
              <w:ind/>
              <w:contextualSpacing w:val="true"/>
              <w:rPr>
                <w:sz w:val="24"/>
                <w:szCs w:val="24"/>
              </w:rPr>
            </w:pPr>
            <w:r>
              <w:rPr>
                <w:sz w:val="24"/>
                <w:szCs w:val="24"/>
              </w:rPr>
            </w:r>
            <w:r>
              <w:rPr>
                <w:sz w:val="24"/>
                <w:szCs w:val="24"/>
              </w:rPr>
            </w:r>
            <w:r>
              <w:rPr>
                <w:sz w:val="24"/>
                <w:szCs w:val="24"/>
              </w:rPr>
            </w:r>
          </w:p>
        </w:tc>
        <w:tc>
          <w:tcPr>
            <w:shd w:val="clear" w:color="auto" w:fill="c1e4f5"/>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Style w:val="1038"/>
              <w:widowControl w:val="false"/>
              <w:pBdr/>
              <w:spacing w:after="0" w:before="0"/>
              <w:ind/>
              <w:contextualSpacing w:val="true"/>
              <w:jc w:val="center"/>
              <w:rPr/>
            </w:pPr>
            <w:r>
              <w:rPr>
                <w:rFonts w:eastAsia="Calibri"/>
              </w:rPr>
              <w:t xml:space="preserve">+/- % г/г</w:t>
            </w:r>
            <w:r/>
          </w:p>
        </w:tc>
        <w:tc>
          <w:tcPr>
            <w:shd w:val="clear" w:color="auto" w:fill="c1e4f5"/>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Style w:val="1038"/>
              <w:widowControl w:val="false"/>
              <w:pBdr/>
              <w:spacing w:after="0" w:before="0"/>
              <w:ind/>
              <w:contextualSpacing w:val="true"/>
              <w:jc w:val="center"/>
              <w:rPr>
                <w:rFonts w:eastAsia="Calibri"/>
              </w:rPr>
            </w:pPr>
            <w:r>
              <w:rPr>
                <w:rFonts w:eastAsia="Calibri"/>
              </w:rPr>
              <w:t xml:space="preserve">+/- % г/г</w:t>
            </w:r>
            <w:r>
              <w:rPr>
                <w:rFonts w:eastAsia="Calibri"/>
              </w:rPr>
            </w:r>
            <w:r>
              <w:rPr>
                <w:rFonts w:eastAsia="Calibri"/>
              </w:rPr>
            </w:r>
          </w:p>
        </w:tc>
        <w:tc>
          <w:tcPr>
            <w:shd w:val="clear" w:color="auto" w:fill="c1e4f5"/>
            <w:tcBorders>
              <w:top w:val="single" w:color="000000" w:sz="4" w:space="0"/>
              <w:left w:val="single" w:color="000000" w:sz="4" w:space="0"/>
              <w:bottom w:val="single" w:color="000000" w:sz="4" w:space="0"/>
              <w:right w:val="single" w:color="000000" w:sz="4" w:space="0"/>
            </w:tcBorders>
            <w:tcW w:w="1045" w:type="dxa"/>
            <w:textDirection w:val="lrTb"/>
            <w:noWrap w:val="false"/>
          </w:tcPr>
          <w:p>
            <w:pPr>
              <w:pStyle w:val="1038"/>
              <w:widowControl w:val="false"/>
              <w:pBdr/>
              <w:spacing w:after="0" w:before="0"/>
              <w:ind/>
              <w:contextualSpacing w:val="true"/>
              <w:jc w:val="center"/>
              <w:rPr>
                <w:rFonts w:eastAsia="Calibri"/>
              </w:rPr>
            </w:pPr>
            <w:r>
              <w:rPr>
                <w:rFonts w:eastAsia="Calibri"/>
              </w:rPr>
              <w:t xml:space="preserve">+/- % г/г</w:t>
            </w:r>
            <w:r>
              <w:rPr>
                <w:rFonts w:eastAsia="Calibri"/>
              </w:rPr>
            </w:r>
            <w:r>
              <w:rPr>
                <w:rFonts w:eastAsia="Calibri"/>
              </w:rP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rPr>
            </w:pPr>
            <w:r>
              <w:rPr>
                <w:rFonts w:eastAsia="Calibri"/>
              </w:rPr>
              <w:t xml:space="preserve">+/- %</w:t>
            </w:r>
            <w:r>
              <w:rPr>
                <w:rFonts w:eastAsia="Calibri"/>
              </w:rPr>
            </w:r>
            <w:r>
              <w:rPr>
                <w:rFonts w:eastAsia="Calibri"/>
              </w:rPr>
            </w:r>
          </w:p>
        </w:tc>
      </w:tr>
      <w:tr>
        <w:trPr/>
        <w:tc>
          <w:tcPr>
            <w:tcBorders>
              <w:top w:val="single" w:color="000000" w:sz="4" w:space="0"/>
              <w:left w:val="single" w:color="000000" w:sz="4" w:space="0"/>
              <w:bottom w:val="single" w:color="000000" w:sz="4" w:space="0"/>
              <w:right w:val="single" w:color="000000" w:sz="4" w:space="0"/>
            </w:tcBorders>
            <w:tcW w:w="567" w:type="dxa"/>
            <w:vAlign w:val="center"/>
            <w:textDirection w:val="lrTb"/>
            <w:noWrap w:val="false"/>
          </w:tcPr>
          <w:p>
            <w:pPr>
              <w:pStyle w:val="1140"/>
              <w:widowControl w:val="false"/>
              <w:numPr>
                <w:ilvl w:val="0"/>
                <w:numId w:val="11"/>
              </w:numPr>
              <w:pBdr/>
              <w:tabs>
                <w:tab w:val="clear" w:leader="none" w:pos="709"/>
              </w:tabs>
              <w:spacing w:after="140" w:before="0" w:line="276" w:lineRule="auto"/>
              <w:ind w:right="510" w:firstLine="113" w:left="0"/>
              <w:jc w:val="righ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5098"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Валовой внутренний продукт (</w:t>
            </w:r>
            <w:r>
              <w:rPr>
                <w:rFonts w:eastAsia="Calibri"/>
                <w:b/>
                <w:bCs/>
              </w:rPr>
              <w:t xml:space="preserve">151,8</w:t>
            </w:r>
            <w:r>
              <w:rPr>
                <w:rFonts w:eastAsia="Calibri"/>
              </w:rPr>
              <w:t xml:space="preserve"> трлн. руб.)</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Style w:val="1038"/>
              <w:widowControl w:val="false"/>
              <w:pBdr/>
              <w:spacing w:after="0" w:before="0"/>
              <w:ind/>
              <w:contextualSpacing w:val="true"/>
              <w:jc w:val="center"/>
              <w:rPr/>
            </w:pPr>
            <w:r>
              <w:rPr>
                <w:rFonts w:eastAsia="Calibri"/>
                <w:b/>
                <w:bCs/>
                <w:color w:val="ff0000"/>
              </w:rPr>
              <w:t xml:space="preserve">-1,2</w:t>
            </w:r>
            <w:r/>
          </w:p>
        </w:tc>
        <w:tc>
          <w:tcPr>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Style w:val="1038"/>
              <w:widowControl w:val="false"/>
              <w:pBdr/>
              <w:spacing w:after="0" w:before="0"/>
              <w:ind/>
              <w:contextualSpacing w:val="true"/>
              <w:jc w:val="center"/>
              <w:rPr>
                <w:rFonts w:eastAsia="Calibri"/>
                <w:b/>
                <w:bCs/>
                <w:color w:val="ff0000"/>
              </w:rPr>
            </w:pPr>
            <w:r>
              <w:rPr>
                <w:rFonts w:eastAsia="Calibri"/>
                <w:b/>
                <w:bCs/>
                <w:color w:val="00b050"/>
              </w:rPr>
              <w:t xml:space="preserve">+4,1</w:t>
            </w:r>
            <w:r>
              <w:rPr>
                <w:rFonts w:eastAsia="Calibri"/>
                <w:b/>
                <w:bCs/>
                <w:color w:val="ff0000"/>
              </w:rPr>
            </w:r>
            <w:r>
              <w:rPr>
                <w:rFonts w:eastAsia="Calibri"/>
                <w:b/>
                <w:bCs/>
                <w:color w:val="ff0000"/>
              </w:rPr>
            </w:r>
          </w:p>
        </w:tc>
        <w:tc>
          <w:tcPr>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bCs/>
                <w:color w:val="00b050"/>
              </w:rPr>
              <w:t xml:space="preserve">+4,3</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bCs/>
                <w:color w:val="00b050"/>
              </w:rPr>
              <w:t xml:space="preserve">+1,0</w:t>
            </w:r>
            <w:r>
              <w:rPr>
                <w:rFonts w:eastAsia="Calibri"/>
                <w:b/>
                <w:bCs/>
                <w:color w:val="00b050"/>
              </w:rPr>
            </w:r>
            <w:r>
              <w:rPr>
                <w:rFonts w:eastAsia="Calibri"/>
                <w:b/>
                <w:bCs/>
                <w:color w:val="00b050"/>
              </w:rPr>
            </w:r>
          </w:p>
          <w:p>
            <w:pPr>
              <w:pStyle w:val="1038"/>
              <w:widowControl w:val="false"/>
              <w:pBdr/>
              <w:spacing w:after="0" w:before="0"/>
              <w:ind/>
              <w:contextualSpacing w:val="true"/>
              <w:jc w:val="center"/>
              <w:rPr>
                <w:rFonts w:eastAsia="Calibri"/>
                <w:b/>
                <w:bCs/>
                <w:sz w:val="12"/>
                <w:szCs w:val="12"/>
              </w:rPr>
            </w:pPr>
            <w:r>
              <w:rPr>
                <w:rFonts w:eastAsia="Calibri"/>
                <w:sz w:val="12"/>
                <w:szCs w:val="12"/>
              </w:rPr>
              <w:t xml:space="preserve">(предв. оценка)</w:t>
            </w:r>
            <w:r>
              <w:rPr>
                <w:rFonts w:eastAsia="Calibri"/>
                <w:b/>
                <w:bCs/>
                <w:sz w:val="12"/>
                <w:szCs w:val="12"/>
              </w:rPr>
            </w:r>
            <w:r>
              <w:rPr>
                <w:rFonts w:eastAsia="Calibri"/>
                <w:b/>
                <w:bCs/>
                <w:sz w:val="12"/>
                <w:szCs w:val="12"/>
              </w:rPr>
            </w:r>
          </w:p>
        </w:tc>
      </w:tr>
      <w:tr>
        <w:trPr/>
        <w:tc>
          <w:tcPr>
            <w:tcBorders>
              <w:top w:val="single" w:color="000000" w:sz="4" w:space="0"/>
              <w:left w:val="single" w:color="000000" w:sz="4" w:space="0"/>
              <w:bottom w:val="single" w:color="000000" w:sz="4" w:space="0"/>
              <w:right w:val="single" w:color="000000" w:sz="4" w:space="0"/>
            </w:tcBorders>
            <w:tcW w:w="567" w:type="dxa"/>
            <w:vAlign w:val="center"/>
            <w:textDirection w:val="lrTb"/>
            <w:noWrap w:val="false"/>
          </w:tcPr>
          <w:p>
            <w:pPr>
              <w:pStyle w:val="1140"/>
              <w:widowControl w:val="false"/>
              <w:numPr>
                <w:ilvl w:val="0"/>
                <w:numId w:val="11"/>
              </w:numPr>
              <w:pBdr/>
              <w:tabs>
                <w:tab w:val="clear" w:leader="none" w:pos="709"/>
              </w:tabs>
              <w:spacing w:after="140" w:before="0" w:line="276" w:lineRule="auto"/>
              <w:ind w:right="510" w:firstLine="113" w:left="0"/>
              <w:jc w:val="righ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5098"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Инвестиции в основной капитал (</w:t>
            </w:r>
            <w:r>
              <w:rPr>
                <w:rFonts w:eastAsia="Calibri"/>
                <w:b/>
                <w:bCs/>
              </w:rPr>
              <w:t xml:space="preserve">26,3</w:t>
            </w:r>
            <w:r>
              <w:rPr>
                <w:rFonts w:eastAsia="Calibri"/>
              </w:rPr>
              <w:t xml:space="preserve"> трлн. руб.)</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Style w:val="1038"/>
              <w:widowControl w:val="false"/>
              <w:pBdr/>
              <w:spacing w:after="0" w:before="0"/>
              <w:ind/>
              <w:contextualSpacing w:val="true"/>
              <w:jc w:val="center"/>
              <w:rPr>
                <w:rFonts w:eastAsia="Calibri"/>
                <w:b/>
                <w:bCs/>
                <w:color w:val="ff0000"/>
              </w:rPr>
            </w:pPr>
            <w:r>
              <w:rPr>
                <w:rFonts w:eastAsia="Calibri"/>
                <w:b/>
                <w:bCs/>
                <w:color w:val="00b050"/>
              </w:rPr>
              <w:t xml:space="preserve">+6,7</w:t>
            </w:r>
            <w:r>
              <w:rPr>
                <w:rFonts w:eastAsia="Calibri"/>
                <w:b/>
                <w:bCs/>
                <w:color w:val="ff0000"/>
              </w:rPr>
            </w:r>
            <w:r>
              <w:rPr>
                <w:rFonts w:eastAsia="Calibri"/>
                <w:b/>
                <w:bCs/>
                <w:color w:val="ff0000"/>
              </w:rPr>
            </w:r>
          </w:p>
        </w:tc>
        <w:tc>
          <w:tcPr>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bCs/>
                <w:color w:val="00b050"/>
              </w:rPr>
              <w:t xml:space="preserve">+9,8</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bCs/>
                <w:color w:val="00b050"/>
              </w:rPr>
              <w:t xml:space="preserve">+7,4</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bCs/>
                <w:color w:val="00b050"/>
              </w:rPr>
              <w:t xml:space="preserve">+0,5</w:t>
            </w:r>
            <w:r>
              <w:rPr>
                <w:rFonts w:eastAsia="Calibri"/>
                <w:b/>
                <w:bCs/>
                <w:color w:val="00b050"/>
              </w:rPr>
            </w:r>
            <w:r>
              <w:rPr>
                <w:rFonts w:eastAsia="Calibri"/>
                <w:b/>
                <w:bCs/>
                <w:color w:val="00b050"/>
              </w:rPr>
            </w:r>
          </w:p>
        </w:tc>
      </w:tr>
      <w:tr>
        <w:trPr/>
        <w:tc>
          <w:tcPr>
            <w:tcBorders>
              <w:top w:val="single" w:color="000000" w:sz="4" w:space="0"/>
              <w:left w:val="single" w:color="000000" w:sz="4" w:space="0"/>
              <w:bottom w:val="single" w:color="000000" w:sz="4" w:space="0"/>
              <w:right w:val="single" w:color="000000" w:sz="4" w:space="0"/>
            </w:tcBorders>
            <w:tcW w:w="567" w:type="dxa"/>
            <w:vAlign w:val="center"/>
            <w:textDirection w:val="lrTb"/>
            <w:noWrap w:val="false"/>
          </w:tcPr>
          <w:p>
            <w:pPr>
              <w:pStyle w:val="1140"/>
              <w:widowControl w:val="false"/>
              <w:numPr>
                <w:ilvl w:val="0"/>
                <w:numId w:val="11"/>
              </w:numPr>
              <w:pBdr/>
              <w:tabs>
                <w:tab w:val="clear" w:leader="none" w:pos="709"/>
              </w:tabs>
              <w:spacing w:after="140" w:before="0" w:line="276" w:lineRule="auto"/>
              <w:ind w:right="510" w:firstLine="113" w:left="0"/>
              <w:jc w:val="righ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5098"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Реальные располагаемые денежные доходы населения (за вычетом инфляции и выплат по кредитам и страховых)</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color w:val="ff0000"/>
              </w:rPr>
              <w:t xml:space="preserve">-</w:t>
            </w:r>
            <w:r>
              <w:rPr>
                <w:rFonts w:eastAsia="Calibri"/>
                <w:b/>
                <w:bCs/>
                <w:color w:val="ff0000"/>
              </w:rPr>
              <w:t xml:space="preserve">1,0</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bCs/>
                <w:color w:val="00b050"/>
              </w:rPr>
              <w:t xml:space="preserve">+6,1</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b/>
                <w:bCs/>
                <w:color w:val="00b050"/>
              </w:rPr>
              <w:t xml:space="preserve">+7,3</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bCs/>
                <w:color w:val="00b050"/>
              </w:rPr>
            </w:pPr>
            <w:r>
              <w:rPr>
                <w:rFonts w:eastAsia="Calibri"/>
                <w:sz w:val="16"/>
                <w:szCs w:val="16"/>
              </w:rPr>
              <w:t xml:space="preserve">(янв-сент)</w:t>
            </w:r>
            <w:r>
              <w:rPr>
                <w:rFonts w:eastAsia="Calibri"/>
                <w:b/>
                <w:bCs/>
                <w:color w:val="00b050"/>
              </w:rPr>
            </w:r>
            <w:r>
              <w:rPr>
                <w:rFonts w:eastAsia="Calibri"/>
                <w:b/>
                <w:bCs/>
                <w:color w:val="00b050"/>
              </w:rPr>
            </w:r>
          </w:p>
          <w:p>
            <w:pPr>
              <w:pStyle w:val="1038"/>
              <w:widowControl w:val="false"/>
              <w:pBdr/>
              <w:spacing w:after="0" w:before="0"/>
              <w:ind/>
              <w:contextualSpacing w:val="true"/>
              <w:jc w:val="center"/>
              <w:rPr>
                <w:rFonts w:eastAsia="Calibri"/>
                <w:b/>
                <w:bCs/>
                <w:color w:val="00b050"/>
              </w:rPr>
            </w:pPr>
            <w:r>
              <w:rPr>
                <w:rFonts w:eastAsia="Calibri"/>
                <w:b/>
                <w:bCs/>
                <w:color w:val="00b050"/>
              </w:rPr>
              <w:t xml:space="preserve">+9,2</w:t>
            </w:r>
            <w:r>
              <w:rPr>
                <w:rFonts w:eastAsia="Calibri"/>
                <w:b/>
                <w:bCs/>
                <w:color w:val="00b050"/>
              </w:rPr>
            </w:r>
            <w:r>
              <w:rPr>
                <w:rFonts w:eastAsia="Calibri"/>
                <w:b/>
                <w:bCs/>
                <w:color w:val="00b050"/>
              </w:rPr>
            </w:r>
          </w:p>
        </w:tc>
      </w:tr>
    </w:tbl>
    <w:p>
      <w:pPr>
        <w:pStyle w:val="1038"/>
        <w:pBdr/>
        <w:spacing/>
        <w:ind/>
        <w:jc w:val="center"/>
        <w:rPr>
          <w:b/>
          <w:sz w:val="22"/>
          <w:szCs w:val="22"/>
          <w:lang w:val="en-US" w:eastAsia="en-US"/>
        </w:rPr>
      </w:pPr>
      <w:r>
        <w:rPr>
          <w:b/>
          <w:sz w:val="22"/>
          <w:szCs w:val="22"/>
          <w:lang w:val="en-US" w:eastAsia="en-US"/>
        </w:rPr>
      </w:r>
      <w:r>
        <w:rPr>
          <w:b/>
          <w:sz w:val="22"/>
          <w:szCs w:val="22"/>
          <w:lang w:val="en-US" w:eastAsia="en-US"/>
        </w:rPr>
      </w:r>
      <w:r>
        <w:rPr>
          <w:b/>
          <w:sz w:val="22"/>
          <w:szCs w:val="22"/>
          <w:lang w:val="en-US" w:eastAsia="en-US"/>
        </w:rPr>
      </w:r>
    </w:p>
    <w:tbl>
      <w:tblPr>
        <w:tblW w:w="9928"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563"/>
        <w:gridCol w:w="6101"/>
        <w:gridCol w:w="996"/>
        <w:gridCol w:w="1134"/>
        <w:gridCol w:w="1134"/>
      </w:tblGrid>
      <w:tr>
        <w:trPr>
          <w:trHeight w:val="23"/>
        </w:trPr>
        <w:tc>
          <w:tcPr>
            <w:shd w:val="clear" w:color="auto" w:fill="c1e4f5"/>
            <w:tcBorders>
              <w:top w:val="single" w:color="000000" w:sz="4" w:space="0"/>
              <w:left w:val="single" w:color="000000" w:sz="4" w:space="0"/>
              <w:bottom w:val="single" w:color="000000" w:sz="4" w:space="0"/>
              <w:right w:val="single" w:color="000000" w:sz="4" w:space="0"/>
            </w:tcBorders>
            <w:tcW w:w="563" w:type="dxa"/>
            <w:vAlign w:val="center"/>
            <w:vMerge w:val="restart"/>
            <w:textDirection w:val="lrTb"/>
            <w:noWrap w:val="false"/>
          </w:tcPr>
          <w:p>
            <w:pPr>
              <w:pStyle w:val="1038"/>
              <w:widowControl w:val="false"/>
              <w:pBdr/>
              <w:spacing/>
              <w:ind w:right="172"/>
              <w:rPr/>
            </w:pPr>
            <w:r>
              <w:t xml:space="preserve">№</w:t>
            </w:r>
            <w:r/>
          </w:p>
        </w:tc>
        <w:tc>
          <w:tcPr>
            <w:shd w:val="clear" w:color="auto" w:fill="c1e4f5"/>
            <w:tcBorders>
              <w:top w:val="single" w:color="000000" w:sz="4" w:space="0"/>
              <w:left w:val="single" w:color="000000" w:sz="4" w:space="0"/>
              <w:bottom w:val="single" w:color="000000" w:sz="4" w:space="0"/>
              <w:right w:val="single" w:color="000000" w:sz="4" w:space="0"/>
            </w:tcBorders>
            <w:tcW w:w="6101" w:type="dxa"/>
            <w:vAlign w:val="center"/>
            <w:vMerge w:val="restart"/>
            <w:textDirection w:val="lrTb"/>
            <w:noWrap w:val="false"/>
          </w:tcPr>
          <w:p>
            <w:pPr>
              <w:pStyle w:val="1038"/>
              <w:widowControl w:val="false"/>
              <w:pBdr/>
              <w:spacing w:after="0" w:before="0"/>
              <w:ind/>
              <w:contextualSpacing w:val="true"/>
              <w:rPr/>
            </w:pPr>
            <w:r/>
            <w:r/>
          </w:p>
        </w:tc>
        <w:tc>
          <w:tcPr>
            <w:shd w:val="clear" w:color="auto" w:fill="c1e4f5"/>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pPr>
            <w:r>
              <w:rPr>
                <w:rStyle w:val="1089"/>
                <w:rFonts w:eastAsia="Calibri"/>
                <w:sz w:val="18"/>
                <w:szCs w:val="18"/>
              </w:rPr>
              <w:t xml:space="preserve">23/22</w:t>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pPr>
            <w:r>
              <w:rPr>
                <w:rStyle w:val="1089"/>
                <w:rFonts w:eastAsia="Calibri"/>
                <w:sz w:val="18"/>
                <w:szCs w:val="18"/>
              </w:rPr>
              <w:t xml:space="preserve">24/23</w:t>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rStyle w:val="1089"/>
                <w:rFonts w:eastAsia="Calibri"/>
                <w:sz w:val="18"/>
                <w:szCs w:val="18"/>
              </w:rPr>
            </w:pPr>
            <w:r>
              <w:rPr>
                <w:rStyle w:val="1089"/>
                <w:rFonts w:eastAsia="Calibri"/>
                <w:sz w:val="18"/>
                <w:szCs w:val="18"/>
              </w:rPr>
              <w:t xml:space="preserve">янв-нояб 25/24</w:t>
            </w:r>
            <w:r>
              <w:rPr>
                <w:rStyle w:val="1089"/>
                <w:rFonts w:eastAsia="Calibri"/>
                <w:sz w:val="18"/>
                <w:szCs w:val="18"/>
              </w:rPr>
            </w:r>
            <w:r>
              <w:rPr>
                <w:rStyle w:val="1089"/>
                <w:rFonts w:eastAsia="Calibri"/>
                <w:sz w:val="18"/>
                <w:szCs w:val="18"/>
              </w:rPr>
            </w:r>
          </w:p>
        </w:tc>
      </w:tr>
      <w:tr>
        <w:trPr/>
        <w:tc>
          <w:tcPr>
            <w:shd w:val="clear" w:color="auto" w:fill="c1e4f5"/>
            <w:tcBorders>
              <w:top w:val="single" w:color="000000" w:sz="4" w:space="0"/>
              <w:left w:val="single" w:color="000000" w:sz="4" w:space="0"/>
              <w:bottom w:val="single" w:color="000000" w:sz="4" w:space="0"/>
              <w:right w:val="single" w:color="000000" w:sz="4" w:space="0"/>
            </w:tcBorders>
            <w:tcW w:w="563" w:type="dxa"/>
            <w:vAlign w:val="center"/>
            <w:vMerge w:val="continue"/>
            <w:textDirection w:val="lrTb"/>
            <w:noWrap w:val="false"/>
          </w:tcPr>
          <w:p>
            <w:pPr>
              <w:pStyle w:val="1213"/>
              <w:widowControl w:val="false"/>
              <w:pBdr/>
              <w:spacing/>
              <w:ind w:right="172" w:firstLine="0" w:left="447"/>
              <w:rPr>
                <w:sz w:val="20"/>
                <w:szCs w:val="20"/>
              </w:rPr>
            </w:pPr>
            <w:r>
              <w:rPr>
                <w:sz w:val="20"/>
                <w:szCs w:val="20"/>
              </w:rPr>
            </w:r>
            <w:r>
              <w:rPr>
                <w:sz w:val="20"/>
                <w:szCs w:val="20"/>
              </w:rPr>
            </w:r>
            <w:r>
              <w:rPr>
                <w:sz w:val="20"/>
                <w:szCs w:val="20"/>
              </w:rPr>
            </w:r>
          </w:p>
        </w:tc>
        <w:tc>
          <w:tcPr>
            <w:shd w:val="clear" w:color="auto" w:fill="c1e4f5"/>
            <w:tcBorders>
              <w:top w:val="single" w:color="000000" w:sz="4" w:space="0"/>
              <w:left w:val="single" w:color="000000" w:sz="4" w:space="0"/>
              <w:bottom w:val="single" w:color="000000" w:sz="4" w:space="0"/>
              <w:right w:val="single" w:color="000000" w:sz="4" w:space="0"/>
            </w:tcBorders>
            <w:tcW w:w="6101" w:type="dxa"/>
            <w:vAlign w:val="center"/>
            <w:vMerge w:val="continue"/>
            <w:textDirection w:val="lrTb"/>
            <w:noWrap w:val="false"/>
          </w:tcPr>
          <w:p>
            <w:pPr>
              <w:pStyle w:val="1038"/>
              <w:widowControl w:val="false"/>
              <w:pBdr/>
              <w:spacing w:after="0" w:before="0"/>
              <w:ind/>
              <w:contextualSpacing w:val="true"/>
              <w:rPr/>
            </w:pPr>
            <w:r/>
            <w:r/>
          </w:p>
        </w:tc>
        <w:tc>
          <w:tcPr>
            <w:shd w:val="clear" w:color="auto" w:fill="c1e4f5"/>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color w:val="ff0000"/>
              </w:rPr>
            </w:pPr>
            <w:r>
              <w:rPr>
                <w:rFonts w:eastAsia="Calibri"/>
              </w:rPr>
              <w:t xml:space="preserve">+/- % г/г</w:t>
            </w:r>
            <w:r>
              <w:rPr>
                <w:color w:val="ff0000"/>
              </w:rPr>
            </w:r>
            <w:r>
              <w:rPr>
                <w:color w:val="ff0000"/>
              </w:rP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rPr>
            </w:pPr>
            <w:r>
              <w:rPr>
                <w:rFonts w:eastAsia="Calibri"/>
              </w:rPr>
              <w:t xml:space="preserve">+/- % г/г</w:t>
            </w:r>
            <w:r>
              <w:rPr>
                <w:rFonts w:eastAsia="Calibri"/>
              </w:rPr>
            </w:r>
            <w:r>
              <w:rPr>
                <w:rFonts w:eastAsia="Calibri"/>
              </w:rPr>
            </w:r>
          </w:p>
        </w:tc>
        <w:tc>
          <w:tcPr>
            <w:shd w:val="clear" w:color="auto" w:fill="c1e4f5"/>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rFonts w:eastAsia="Calibri"/>
              </w:rPr>
            </w:pPr>
            <w:r>
              <w:rPr>
                <w:rFonts w:eastAsia="Calibri"/>
              </w:rPr>
              <w:t xml:space="preserve">+/- %</w:t>
            </w:r>
            <w:r>
              <w:rPr>
                <w:rFonts w:eastAsia="Calibri"/>
              </w:rPr>
            </w:r>
            <w:r>
              <w:rPr>
                <w:rFonts w:eastAsia="Calibri"/>
              </w:rPr>
            </w:r>
          </w:p>
        </w:tc>
      </w:tr>
      <w:tr>
        <w:trPr>
          <w:trHeight w:val="123"/>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7"/>
              <w:widowControl w:val="false"/>
              <w:numPr>
                <w:ilvl w:val="0"/>
                <w:numId w:val="11"/>
              </w:numPr>
              <w:pBdr/>
              <w:tabs>
                <w:tab w:val="left" w:leader="none" w:pos="0"/>
                <w:tab w:val="left" w:leader="none" w:pos="284"/>
                <w:tab w:val="clear" w:leader="none" w:pos="709"/>
              </w:tabs>
              <w:spacing w:line="0" w:lineRule="atLeast"/>
              <w:ind w:right="340" w:firstLine="284"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pPr>
            <w:r>
              <w:t xml:space="preserve">Индекс выпуска товаров и услуг по базовым видам экономической деятельности</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00b050"/>
              </w:rPr>
              <w:t xml:space="preserve">+5,7</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00b050"/>
              </w:rPr>
              <w:t xml:space="preserve">+4,8</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+0</w:t>
            </w:r>
            <w:r>
              <w:rPr>
                <w:rFonts w:eastAsia="Calibri"/>
                <w:b/>
                <w:color w:val="00b050"/>
                <w:lang w:val="en-US"/>
              </w:rPr>
              <w:t xml:space="preserve">,</w:t>
            </w:r>
            <w:r>
              <w:rPr>
                <w:rFonts w:eastAsia="Calibri"/>
                <w:b/>
                <w:color w:val="00b050"/>
              </w:rPr>
              <w:t xml:space="preserve">9</w:t>
            </w:r>
            <w:r>
              <w:rPr>
                <w:rFonts w:eastAsia="Calibri"/>
                <w:b/>
                <w:color w:val="00b050"/>
              </w:rPr>
            </w:r>
            <w:r>
              <w:rPr>
                <w:rFonts w:eastAsia="Calibri"/>
                <w:b/>
                <w:color w:val="00b050"/>
              </w:rPr>
            </w:r>
          </w:p>
        </w:tc>
      </w:tr>
      <w:tr>
        <w:trPr>
          <w:trHeight w:val="123"/>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7"/>
              <w:widowControl w:val="false"/>
              <w:numPr>
                <w:ilvl w:val="0"/>
                <w:numId w:val="11"/>
              </w:numPr>
              <w:pBdr/>
              <w:tabs>
                <w:tab w:val="left" w:leader="none" w:pos="0"/>
                <w:tab w:val="left" w:leader="none" w:pos="284"/>
                <w:tab w:val="clear" w:leader="none" w:pos="709"/>
              </w:tabs>
              <w:spacing w:line="0" w:lineRule="atLeast"/>
              <w:ind w:right="0" w:firstLine="284"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Промышленное производство</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+4,3</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+4,6</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+0,8</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1"/>
              </w:numPr>
              <w:pBdr/>
              <w:tabs>
                <w:tab w:val="left" w:leader="none" w:pos="284"/>
                <w:tab w:val="clear" w:leader="none" w:pos="709"/>
              </w:tabs>
              <w:spacing/>
              <w:ind w:right="172" w:firstLine="284" w:left="0"/>
              <w:jc w:val="righ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pPr>
            <w:r>
              <w:rPr>
                <w:rFonts w:eastAsia="Calibri"/>
              </w:rPr>
              <w:t xml:space="preserve">Продукция сельского хозяйства</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color w:val="c9211e"/>
              </w:rPr>
            </w:pPr>
            <w:r>
              <w:rPr>
                <w:rFonts w:eastAsia="Calibri"/>
                <w:b/>
                <w:color w:val="00b050"/>
              </w:rPr>
              <w:t xml:space="preserve">+0,2</w:t>
            </w:r>
            <w:r>
              <w:rPr>
                <w:color w:val="c9211e"/>
              </w:rPr>
            </w:r>
            <w:r>
              <w:rPr>
                <w:color w:val="c9211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color w:val="c9211e"/>
              </w:rPr>
            </w:pPr>
            <w:r>
              <w:rPr>
                <w:rFonts w:eastAsia="Calibri"/>
                <w:b/>
                <w:color w:val="ff0000"/>
              </w:rPr>
              <w:t xml:space="preserve">-3,2</w:t>
            </w:r>
            <w:r>
              <w:rPr>
                <w:color w:val="c9211e"/>
              </w:rPr>
            </w:r>
            <w:r>
              <w:rPr>
                <w:color w:val="c9211e"/>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00b050"/>
              </w:rPr>
              <w:t xml:space="preserve">+5,4</w:t>
            </w:r>
            <w:r>
              <w:rPr>
                <w:rFonts w:eastAsia="Calibri"/>
                <w:b/>
                <w:color w:val="ff0000"/>
              </w:rPr>
            </w:r>
            <w:r>
              <w:rPr>
                <w:rFonts w:eastAsia="Calibri"/>
                <w:b/>
                <w:color w:val="ff000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1"/>
              </w:numPr>
              <w:pBdr/>
              <w:tabs>
                <w:tab w:val="left" w:leader="none" w:pos="284"/>
                <w:tab w:val="clear" w:leader="none" w:pos="709"/>
              </w:tabs>
              <w:spacing/>
              <w:ind w:right="172" w:firstLine="284" w:left="0"/>
              <w:jc w:val="righ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Строительство всего (</w:t>
            </w:r>
            <w:r>
              <w:rPr>
                <w:rFonts w:eastAsia="Calibri"/>
                <w:b/>
                <w:bCs/>
              </w:rPr>
              <w:t xml:space="preserve">15,8</w:t>
            </w:r>
            <w:r>
              <w:rPr>
                <w:rFonts w:eastAsia="Calibri"/>
              </w:rPr>
              <w:t xml:space="preserve"> трлн. руб.)</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+9,0</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+2,1</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+2,7</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1"/>
              </w:numPr>
              <w:pBdr/>
              <w:tabs>
                <w:tab w:val="left" w:leader="none" w:pos="284"/>
                <w:tab w:val="clear" w:leader="none" w:pos="709"/>
              </w:tabs>
              <w:spacing/>
              <w:ind w:right="172" w:firstLine="284" w:left="0"/>
              <w:jc w:val="righ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Введено в эксплуатацию общей площади зданий</w:t>
            </w:r>
            <w:r>
              <w:rPr>
                <w:rFonts w:eastAsia="Calibri"/>
              </w:rPr>
            </w:r>
            <w:r>
              <w:rPr>
                <w:rFonts w:eastAsia="Calibri"/>
              </w:rPr>
            </w:r>
          </w:p>
          <w:p>
            <w:pPr>
              <w:pStyle w:val="1038"/>
              <w:widowControl w:val="false"/>
              <w:pBdr/>
              <w:spacing w:after="0" w:before="0"/>
              <w:ind/>
              <w:contextualSpacing w:val="true"/>
              <w:rPr/>
            </w:pPr>
            <w:r>
              <w:rPr>
                <w:rFonts w:eastAsia="Calibri"/>
              </w:rPr>
              <w:t xml:space="preserve">(янв–</w:t>
            </w:r>
            <w:r>
              <w:rPr>
                <w:rFonts w:eastAsia="Calibri"/>
                <w:b/>
                <w:bCs/>
              </w:rPr>
              <w:t xml:space="preserve">сент - 116,8</w:t>
            </w:r>
            <w:r>
              <w:rPr>
                <w:rFonts w:eastAsia="Calibri"/>
              </w:rPr>
              <w:t xml:space="preserve"> млн. кв.м.)</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b/>
                <w:bCs/>
                <w:color w:val="00b050"/>
              </w:rPr>
            </w:pPr>
            <w:r>
              <w:rPr>
                <w:b/>
                <w:bCs/>
                <w:color w:val="00b050"/>
              </w:rPr>
            </w:r>
            <w:r>
              <w:rPr>
                <w:b/>
                <w:bCs/>
                <w:color w:val="00b050"/>
              </w:rPr>
            </w:r>
            <w:r>
              <w:rPr>
                <w:b/>
                <w:bCs/>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b/>
                <w:bCs/>
                <w:color w:val="00b050"/>
              </w:rPr>
            </w:pPr>
            <w:r>
              <w:rPr>
                <w:b/>
                <w:bCs/>
                <w:color w:val="00b050"/>
              </w:rPr>
            </w:r>
            <w:r>
              <w:rPr>
                <w:b/>
                <w:bCs/>
                <w:color w:val="00b050"/>
              </w:rPr>
            </w:r>
            <w:r>
              <w:rPr>
                <w:b/>
                <w:bCs/>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b/>
                <w:bCs/>
                <w:color w:val="00b050"/>
              </w:rPr>
            </w:pPr>
            <w:r>
              <w:rPr>
                <w:b/>
                <w:bCs/>
                <w:color w:val="00b050"/>
              </w:rPr>
            </w:r>
            <w:r>
              <w:rPr>
                <w:b/>
                <w:bCs/>
                <w:color w:val="00b050"/>
              </w:rPr>
            </w:r>
            <w:r>
              <w:rPr>
                <w:b/>
                <w:bCs/>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038"/>
              <w:widowControl w:val="false"/>
              <w:pBdr/>
              <w:tabs>
                <w:tab w:val="left" w:leader="none" w:pos="284"/>
                <w:tab w:val="clear" w:leader="none" w:pos="709"/>
              </w:tabs>
              <w:spacing/>
              <w:ind w:right="172" w:left="284"/>
              <w:jc w:val="center"/>
              <w:rPr>
                <w:rFonts w:eastAsia="Calibri"/>
              </w:rPr>
            </w:pPr>
            <w:r>
              <w:rPr>
                <w:rFonts w:eastAsia="Calibri"/>
              </w:rPr>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pPr>
            <w:r>
              <w:rPr>
                <w:rFonts w:eastAsia="Calibri"/>
              </w:rPr>
              <w:t xml:space="preserve">  </w:t>
            </w:r>
            <w:r>
              <w:rPr>
                <w:rFonts w:eastAsia="Calibri"/>
              </w:rPr>
              <w:t xml:space="preserve">-  жилых помещений (янв–</w:t>
            </w:r>
            <w:r>
              <w:rPr>
                <w:rFonts w:eastAsia="Calibri"/>
                <w:b/>
                <w:bCs/>
              </w:rPr>
              <w:t xml:space="preserve">нояб</w:t>
            </w:r>
            <w:r>
              <w:rPr>
                <w:rFonts w:eastAsia="Calibri"/>
              </w:rPr>
              <w:t xml:space="preserve"> - </w:t>
            </w:r>
            <w:r>
              <w:rPr>
                <w:rFonts w:eastAsia="Calibri"/>
                <w:b/>
                <w:bCs/>
              </w:rPr>
              <w:t xml:space="preserve">91,5</w:t>
            </w:r>
            <w:r>
              <w:rPr>
                <w:rFonts w:eastAsia="Calibri"/>
              </w:rPr>
              <w:t xml:space="preserve"> кв.м)</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color w:val="069a2e"/>
              </w:rPr>
            </w:pPr>
            <w:r>
              <w:rPr>
                <w:rFonts w:eastAsia="Calibri"/>
                <w:b/>
                <w:color w:val="00b050"/>
              </w:rPr>
              <w:t xml:space="preserve">+7,5</w:t>
            </w:r>
            <w:r>
              <w:rPr>
                <w:color w:val="069a2e"/>
              </w:rPr>
            </w:r>
            <w:r>
              <w:rPr>
                <w:color w:val="069a2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color w:val="069a2e"/>
              </w:rPr>
            </w:pPr>
            <w:r>
              <w:rPr>
                <w:rFonts w:eastAsia="Calibri"/>
                <w:b/>
                <w:color w:val="00b050"/>
              </w:rPr>
              <w:t xml:space="preserve">+0,7</w:t>
            </w:r>
            <w:r>
              <w:rPr>
                <w:color w:val="069a2e"/>
              </w:rPr>
            </w:r>
            <w:r>
              <w:rPr>
                <w:color w:val="069a2e"/>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ff0000"/>
              </w:rPr>
              <w:t xml:space="preserve">-2,4</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0"/>
              </w:numPr>
              <w:pBdr/>
              <w:spacing/>
              <w:ind w:right="172" w:hanging="531" w:left="644"/>
              <w:jc w:val="lef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pPr>
            <w:r>
              <w:rPr>
                <w:rFonts w:eastAsia="Calibri"/>
              </w:rPr>
              <w:t xml:space="preserve">Грузооборот транспорта (</w:t>
            </w:r>
            <w:r>
              <w:rPr>
                <w:rFonts w:eastAsia="Calibri"/>
                <w:b/>
              </w:rPr>
              <w:t xml:space="preserve">5 049,3 </w:t>
            </w:r>
            <w:r>
              <w:rPr>
                <w:rFonts w:eastAsia="Calibri"/>
              </w:rPr>
              <w:t xml:space="preserve">млрд. т-км.)</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ff0000"/>
              </w:rPr>
              <w:t xml:space="preserve">-0,6</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+0,4</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ff0000"/>
              </w:rPr>
              <w:t xml:space="preserve">-0,7</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0"/>
              </w:numPr>
              <w:pBdr/>
              <w:spacing/>
              <w:ind w:right="172" w:hanging="531" w:left="644"/>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Пассажирооборот транспорта общего пользования</w:t>
            </w:r>
            <w:r>
              <w:rPr>
                <w:rFonts w:eastAsia="Calibri"/>
              </w:rPr>
            </w:r>
            <w:r>
              <w:rPr>
                <w:rFonts w:eastAsia="Calibri"/>
              </w:rPr>
            </w:r>
          </w:p>
          <w:p>
            <w:pPr>
              <w:pStyle w:val="1038"/>
              <w:widowControl w:val="false"/>
              <w:pBdr/>
              <w:spacing w:after="0" w:before="0"/>
              <w:ind/>
              <w:contextualSpacing w:val="true"/>
              <w:rPr>
                <w:rFonts w:eastAsia="Calibri"/>
              </w:rPr>
            </w:pPr>
            <w:r>
              <w:rPr>
                <w:rFonts w:eastAsia="Calibri"/>
                <w:bCs/>
              </w:rPr>
              <w:t xml:space="preserve">(</w:t>
            </w:r>
            <w:r>
              <w:rPr>
                <w:rFonts w:eastAsia="Calibri"/>
              </w:rPr>
              <w:t xml:space="preserve">янв–</w:t>
            </w:r>
            <w:r>
              <w:rPr>
                <w:rFonts w:eastAsia="Calibri"/>
                <w:b/>
                <w:bCs/>
              </w:rPr>
              <w:t xml:space="preserve">сент -</w:t>
            </w:r>
            <w:r>
              <w:rPr>
                <w:rFonts w:eastAsia="Calibri"/>
                <w:b/>
              </w:rPr>
              <w:t xml:space="preserve"> 446,0 </w:t>
            </w:r>
            <w:r>
              <w:rPr>
                <w:rFonts w:eastAsia="Calibri"/>
              </w:rPr>
              <w:t xml:space="preserve">млрд. пасс-км.)</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+12,8</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+6,3</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ff0000"/>
              </w:rPr>
              <w:t xml:space="preserve">-0,6</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0"/>
              </w:numPr>
              <w:pBdr/>
              <w:spacing/>
              <w:ind w:right="172" w:hanging="426" w:left="447"/>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pPr>
            <w:r>
              <w:rPr>
                <w:rFonts w:eastAsia="Calibri"/>
              </w:rPr>
              <w:t xml:space="preserve">Оборот розничной торговли</w:t>
            </w:r>
            <w:r>
              <w:rPr>
                <w:rFonts w:eastAsia="Calibri"/>
                <w:color w:val="000000"/>
              </w:rPr>
              <w:t xml:space="preserve"> – </w:t>
            </w:r>
            <w:r>
              <w:rPr>
                <w:rFonts w:eastAsia="Calibri"/>
                <w:b/>
                <w:color w:val="000000"/>
              </w:rPr>
              <w:t xml:space="preserve">55,2 </w:t>
            </w:r>
            <w:r>
              <w:rPr>
                <w:rFonts w:eastAsia="Calibri"/>
                <w:color w:val="000000"/>
              </w:rPr>
              <w:t xml:space="preserve">трлн. руб.</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ind/>
              <w:jc w:val="center"/>
              <w:rPr>
                <w:rFonts w:eastAsia="Calibri"/>
                <w:b/>
                <w:color w:val="ff0000"/>
              </w:rPr>
            </w:pPr>
            <w:r>
              <w:rPr>
                <w:rFonts w:eastAsia="Calibri"/>
                <w:b/>
                <w:color w:val="00b050"/>
              </w:rPr>
              <w:t xml:space="preserve">+6,4</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ind/>
              <w:jc w:val="center"/>
              <w:rPr>
                <w:rFonts w:eastAsia="Calibri"/>
                <w:b/>
                <w:color w:val="ff0000"/>
              </w:rPr>
            </w:pPr>
            <w:r>
              <w:rPr>
                <w:rFonts w:eastAsia="Calibri"/>
                <w:b/>
                <w:color w:val="00b050"/>
              </w:rPr>
              <w:t xml:space="preserve">+7,2</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ind/>
              <w:jc w:val="center"/>
              <w:rPr>
                <w:rFonts w:eastAsia="Calibri"/>
                <w:b/>
                <w:color w:val="00b050"/>
              </w:rPr>
            </w:pPr>
            <w:r>
              <w:rPr>
                <w:rFonts w:eastAsia="Calibri"/>
                <w:b/>
                <w:color w:val="00b050"/>
              </w:rPr>
              <w:t xml:space="preserve">+2,5</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0"/>
              </w:numPr>
              <w:pBdr/>
              <w:spacing/>
              <w:ind w:right="172" w:hanging="426" w:left="447"/>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Оборот общественного питания</w:t>
            </w:r>
            <w:r>
              <w:rPr>
                <w:rFonts w:eastAsia="Calibri"/>
                <w:color w:val="000000"/>
              </w:rPr>
              <w:t xml:space="preserve"> – </w:t>
            </w:r>
            <w:r>
              <w:rPr>
                <w:rFonts w:eastAsia="Calibri"/>
                <w:b/>
                <w:color w:val="000000"/>
              </w:rPr>
              <w:t xml:space="preserve">3,87 </w:t>
            </w:r>
            <w:r>
              <w:rPr>
                <w:rFonts w:eastAsia="Calibri"/>
                <w:color w:val="000000"/>
              </w:rPr>
              <w:t xml:space="preserve">трлн.</w:t>
            </w:r>
            <w:r>
              <w:rPr>
                <w:rFonts w:eastAsia="Calibri"/>
              </w:rPr>
              <w:t xml:space="preserve"> </w:t>
            </w:r>
            <w:r>
              <w:rPr>
                <w:rFonts w:eastAsia="Calibri"/>
                <w:color w:val="000000"/>
              </w:rPr>
              <w:t xml:space="preserve">руб.</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ind/>
              <w:jc w:val="center"/>
              <w:rPr>
                <w:rFonts w:eastAsia="Calibri"/>
                <w:b/>
                <w:color w:val="00b050"/>
              </w:rPr>
            </w:pPr>
            <w:r>
              <w:rPr>
                <w:rFonts w:eastAsia="Calibri"/>
                <w:b/>
                <w:bCs/>
                <w:color w:val="00b050"/>
              </w:rPr>
              <w:t xml:space="preserve">+13,9</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ind/>
              <w:jc w:val="center"/>
              <w:rPr>
                <w:rFonts w:eastAsia="Calibri"/>
                <w:b/>
                <w:color w:val="00b050"/>
              </w:rPr>
            </w:pPr>
            <w:r>
              <w:rPr>
                <w:rFonts w:eastAsia="Calibri"/>
                <w:b/>
                <w:bCs/>
                <w:color w:val="00b050"/>
              </w:rPr>
              <w:t xml:space="preserve">+9,0</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ind/>
              <w:jc w:val="center"/>
              <w:rPr>
                <w:rFonts w:eastAsia="Calibri"/>
                <w:b/>
                <w:color w:val="00b050"/>
              </w:rPr>
            </w:pPr>
            <w:r>
              <w:rPr>
                <w:rFonts w:eastAsia="Calibri"/>
                <w:b/>
                <w:color w:val="00b050"/>
              </w:rPr>
              <w:t xml:space="preserve">+8,7</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0"/>
              </w:numPr>
              <w:pBdr/>
              <w:spacing/>
              <w:ind w:right="172" w:hanging="426" w:left="447"/>
              <w:rPr>
                <w:color w:val="000000"/>
                <w:sz w:val="20"/>
                <w:szCs w:val="20"/>
              </w:rPr>
            </w:pPr>
            <w:r>
              <w:rPr>
                <w:color w:val="000000"/>
                <w:sz w:val="20"/>
                <w:szCs w:val="20"/>
              </w:rPr>
            </w:r>
            <w:r>
              <w:rPr>
                <w:color w:val="000000"/>
                <w:sz w:val="20"/>
                <w:szCs w:val="20"/>
              </w:rPr>
            </w:r>
            <w:r>
              <w:rPr>
                <w:color w:val="000000"/>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pPr>
            <w:r>
              <w:rPr>
                <w:rFonts w:eastAsia="Calibri"/>
                <w:color w:val="000000"/>
              </w:rPr>
              <w:t xml:space="preserve">Объем платных услуг населению –</w:t>
            </w:r>
            <w:r>
              <w:rPr>
                <w:rFonts w:eastAsia="Calibri"/>
                <w:b/>
                <w:color w:val="000000"/>
              </w:rPr>
              <w:t xml:space="preserve">18,1</w:t>
            </w:r>
            <w:r>
              <w:rPr>
                <w:rFonts w:eastAsia="Calibri"/>
                <w:color w:val="000000"/>
              </w:rPr>
              <w:t xml:space="preserve"> трлн.</w:t>
            </w:r>
            <w:r>
              <w:rPr>
                <w:rFonts w:eastAsia="Calibri"/>
              </w:rPr>
              <w:t xml:space="preserve"> </w:t>
            </w:r>
            <w:r>
              <w:rPr>
                <w:rFonts w:eastAsia="Calibri"/>
                <w:color w:val="000000"/>
              </w:rPr>
              <w:t xml:space="preserve">руб.</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ind/>
              <w:jc w:val="center"/>
              <w:rPr>
                <w:rFonts w:eastAsia="Calibri"/>
                <w:b/>
                <w:color w:val="00b050"/>
              </w:rPr>
            </w:pPr>
            <w:r>
              <w:rPr>
                <w:rFonts w:eastAsia="Calibri"/>
                <w:b/>
                <w:color w:val="00b050"/>
              </w:rPr>
              <w:t xml:space="preserve">+6,9</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ind/>
              <w:jc w:val="center"/>
              <w:rPr>
                <w:rFonts w:eastAsia="Calibri"/>
                <w:b/>
                <w:color w:val="00b050"/>
              </w:rPr>
            </w:pPr>
            <w:r>
              <w:rPr>
                <w:rFonts w:eastAsia="Calibri"/>
                <w:b/>
                <w:color w:val="00b050"/>
              </w:rPr>
              <w:t xml:space="preserve">+3,3</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ind/>
              <w:jc w:val="center"/>
              <w:rPr>
                <w:rFonts w:eastAsia="Calibri"/>
                <w:b/>
                <w:color w:val="00b050"/>
              </w:rPr>
            </w:pPr>
            <w:r>
              <w:rPr>
                <w:rFonts w:eastAsia="Calibri"/>
                <w:b/>
                <w:color w:val="00b050"/>
              </w:rPr>
              <w:t xml:space="preserve">+2,7</w:t>
            </w:r>
            <w:r>
              <w:rPr>
                <w:rFonts w:eastAsia="Calibri"/>
                <w:b/>
                <w:color w:val="00b050"/>
              </w:rPr>
            </w:r>
            <w:r>
              <w:rPr>
                <w:rFonts w:eastAsia="Calibri"/>
                <w:b/>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213"/>
              <w:widowControl w:val="false"/>
              <w:numPr>
                <w:ilvl w:val="0"/>
                <w:numId w:val="10"/>
              </w:numPr>
              <w:pBdr/>
              <w:spacing/>
              <w:ind w:right="172" w:hanging="426" w:left="447"/>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Инфляция, %</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ind/>
              <w:jc w:val="center"/>
              <w:rPr>
                <w:rFonts w:eastAsia="Calibri"/>
                <w:b/>
                <w:bCs/>
                <w:color w:val="00b050"/>
              </w:rPr>
            </w:pPr>
            <w:r>
              <w:rPr>
                <w:rFonts w:eastAsia="Calibri"/>
                <w:b/>
                <w:bCs/>
                <w:color w:val="00b050"/>
              </w:rPr>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ind/>
              <w:jc w:val="center"/>
              <w:rPr>
                <w:rFonts w:eastAsia="Calibri"/>
                <w:b/>
                <w:bCs/>
                <w:color w:val="00b050"/>
              </w:rPr>
            </w:pPr>
            <w:r>
              <w:rPr>
                <w:rFonts w:eastAsia="Calibri"/>
                <w:b/>
                <w:bCs/>
                <w:color w:val="00b050"/>
              </w:rPr>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ind/>
              <w:jc w:val="center"/>
              <w:rPr>
                <w:rFonts w:eastAsia="Calibri"/>
                <w:b/>
                <w:bCs/>
                <w:color w:val="00b050"/>
              </w:rPr>
            </w:pPr>
            <w:r>
              <w:rPr>
                <w:rFonts w:eastAsia="Calibri"/>
                <w:b/>
                <w:bCs/>
                <w:color w:val="00b050"/>
              </w:rPr>
            </w:r>
            <w:r>
              <w:rPr>
                <w:rFonts w:eastAsia="Calibri"/>
                <w:b/>
                <w:bCs/>
                <w:color w:val="00b050"/>
              </w:rPr>
            </w:r>
            <w:r>
              <w:rPr>
                <w:rFonts w:eastAsia="Calibri"/>
                <w:b/>
                <w:bCs/>
                <w:color w:val="00b05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038"/>
              <w:widowControl w:val="false"/>
              <w:pBdr/>
              <w:spacing/>
              <w:ind w:right="172" w:left="284"/>
              <w:jc w:val="center"/>
              <w:rPr>
                <w:rFonts w:eastAsia="Calibri"/>
              </w:rPr>
            </w:pPr>
            <w:r>
              <w:rPr>
                <w:rFonts w:eastAsia="Calibri"/>
              </w:rPr>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                 </w:t>
            </w:r>
            <w:r>
              <w:rPr>
                <w:rFonts w:eastAsia="Calibri"/>
              </w:rPr>
              <w:t xml:space="preserve">-  промышленная</w:t>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ind/>
              <w:jc w:val="center"/>
              <w:rPr>
                <w:rFonts w:eastAsia="Calibri"/>
                <w:b/>
                <w:bCs/>
                <w:color w:val="00b050"/>
              </w:rPr>
            </w:pPr>
            <w:r>
              <w:rPr>
                <w:rFonts w:eastAsia="Calibri"/>
                <w:b/>
                <w:color w:val="ff0000"/>
              </w:rPr>
              <w:t xml:space="preserve">+4,0</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ind/>
              <w:jc w:val="center"/>
              <w:rPr>
                <w:rFonts w:eastAsia="Calibri"/>
                <w:b/>
                <w:bCs/>
                <w:color w:val="00b050"/>
              </w:rPr>
            </w:pPr>
            <w:r>
              <w:rPr>
                <w:rFonts w:eastAsia="Calibri"/>
                <w:b/>
                <w:color w:val="ff0000"/>
              </w:rPr>
              <w:t xml:space="preserve">+12,1</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ind/>
              <w:jc w:val="center"/>
              <w:rPr>
                <w:rFonts w:eastAsia="Calibri"/>
                <w:b/>
                <w:color w:val="ff0000"/>
              </w:rPr>
            </w:pPr>
            <w:r>
              <w:rPr>
                <w:rFonts w:eastAsia="Calibri"/>
                <w:b/>
                <w:color w:val="ff0000"/>
              </w:rPr>
              <w:t xml:space="preserve">+2,7</w:t>
            </w:r>
            <w:r>
              <w:rPr>
                <w:rFonts w:eastAsia="Calibri"/>
                <w:b/>
                <w:color w:val="ff0000"/>
              </w:rPr>
            </w:r>
            <w:r>
              <w:rPr>
                <w:rFonts w:eastAsia="Calibri"/>
                <w:b/>
                <w:color w:val="ff0000"/>
              </w:rP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Style w:val="1038"/>
              <w:widowControl w:val="false"/>
              <w:pBdr/>
              <w:spacing/>
              <w:ind w:right="172" w:left="284"/>
              <w:jc w:val="center"/>
              <w:rPr>
                <w:rFonts w:eastAsia="Calibri"/>
              </w:rPr>
            </w:pPr>
            <w:r>
              <w:rPr>
                <w:rFonts w:eastAsia="Calibri"/>
              </w:rPr>
            </w:r>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Style w:val="1038"/>
              <w:widowControl w:val="false"/>
              <w:pBdr/>
              <w:spacing w:after="0" w:before="0"/>
              <w:ind/>
              <w:contextualSpacing w:val="true"/>
              <w:rPr>
                <w:rFonts w:eastAsia="Calibri"/>
              </w:rPr>
            </w:pPr>
            <w:r>
              <w:rPr>
                <w:rFonts w:eastAsia="Calibri"/>
              </w:rPr>
              <w:t xml:space="preserve">                 </w:t>
            </w:r>
            <w:r>
              <w:rPr>
                <w:rFonts w:eastAsia="Calibri"/>
              </w:rPr>
              <w:t xml:space="preserve">-  </w:t>
            </w:r>
            <w:hyperlink r:id="rId16" w:tooltip="https://cbr.ru/key-indicators/" w:history="1">
              <w:r>
                <w:rPr>
                  <w:rStyle w:val="1089"/>
                  <w:rFonts w:eastAsia="Calibri"/>
                </w:rPr>
                <w:t xml:space="preserve">потребительская</w:t>
              </w:r>
            </w:hyperlink>
            <w:r>
              <w:rPr>
                <w:rFonts w:eastAsia="Calibri"/>
              </w:rPr>
            </w:r>
            <w:r>
              <w:rPr>
                <w:rFonts w:eastAsia="Calibri"/>
              </w:rP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Style w:val="1038"/>
              <w:widowControl w:val="false"/>
              <w:pBdr/>
              <w:spacing/>
              <w:ind/>
              <w:jc w:val="center"/>
              <w:rPr>
                <w:rFonts w:eastAsia="Calibri"/>
                <w:b/>
                <w:bCs/>
                <w:color w:val="00b050"/>
              </w:rPr>
            </w:pPr>
            <w:r>
              <w:rPr>
                <w:rFonts w:eastAsia="Calibri"/>
                <w:b/>
                <w:color w:val="ff0000"/>
              </w:rPr>
              <w:t xml:space="preserve">+5,9</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ind/>
              <w:jc w:val="center"/>
              <w:rPr>
                <w:rFonts w:eastAsia="Calibri"/>
                <w:b/>
                <w:bCs/>
                <w:color w:val="00b050"/>
              </w:rPr>
            </w:pPr>
            <w:r>
              <w:rPr>
                <w:rFonts w:eastAsia="Calibri"/>
                <w:b/>
                <w:color w:val="ff0000"/>
              </w:rPr>
              <w:t xml:space="preserve">+9,5</w:t>
            </w:r>
            <w:r>
              <w:rPr>
                <w:rFonts w:eastAsia="Calibri"/>
                <w:b/>
                <w:bCs/>
                <w:color w:val="00b050"/>
              </w:rPr>
            </w:r>
            <w:r>
              <w:rPr>
                <w:rFonts w:eastAsia="Calibri"/>
                <w:b/>
                <w:bCs/>
                <w:color w:val="00b050"/>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Style w:val="1038"/>
              <w:widowControl w:val="false"/>
              <w:pBdr/>
              <w:spacing/>
              <w:ind/>
              <w:jc w:val="center"/>
              <w:rPr>
                <w:rFonts w:eastAsia="Calibri"/>
                <w:b/>
                <w:color w:val="ff0000"/>
              </w:rPr>
            </w:pPr>
            <w:r>
              <w:rPr>
                <w:rFonts w:eastAsia="Calibri"/>
                <w:b/>
                <w:color w:val="ff0000"/>
              </w:rPr>
              <w:t xml:space="preserve">+9,2</w:t>
            </w:r>
            <w:r>
              <w:rPr>
                <w:rFonts w:eastAsia="Calibri"/>
                <w:b/>
                <w:color w:val="ff0000"/>
              </w:rPr>
            </w:r>
            <w:r>
              <w:rPr>
                <w:rFonts w:eastAsia="Calibri"/>
                <w:b/>
                <w:color w:val="ff0000"/>
              </w:rPr>
            </w:r>
          </w:p>
        </w:tc>
      </w:tr>
    </w:tbl>
    <w:p>
      <w:pPr>
        <w:pStyle w:val="1038"/>
        <w:pBdr/>
        <w:spacing/>
        <w:ind/>
        <w:jc w:val="center"/>
        <w:rPr>
          <w:b/>
          <w:sz w:val="22"/>
          <w:szCs w:val="22"/>
          <w:lang w:val="en-US" w:eastAsia="en-US"/>
        </w:rPr>
      </w:pPr>
      <w:r>
        <w:rPr>
          <w:b/>
          <w:sz w:val="22"/>
          <w:szCs w:val="22"/>
          <w:lang w:val="en-US" w:eastAsia="en-US"/>
        </w:rPr>
      </w:r>
      <w:r>
        <w:rPr>
          <w:b/>
          <w:sz w:val="22"/>
          <w:szCs w:val="22"/>
          <w:lang w:val="en-US" w:eastAsia="en-US"/>
        </w:rPr>
      </w:r>
      <w:r>
        <w:rPr>
          <w:b/>
          <w:sz w:val="22"/>
          <w:szCs w:val="22"/>
          <w:lang w:val="en-US" w:eastAsia="en-US"/>
        </w:rPr>
      </w:r>
    </w:p>
    <w:tbl>
      <w:tblPr>
        <w:tblW w:w="10060"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562"/>
        <w:gridCol w:w="6521"/>
        <w:gridCol w:w="992"/>
        <w:gridCol w:w="851"/>
        <w:gridCol w:w="1134"/>
      </w:tblGrid>
      <w:tr>
        <w:trPr/>
        <w:tc>
          <w:tcPr>
            <w:shd w:val="clear" w:color="auto" w:fill="c1e4f5"/>
            <w:tcBorders>
              <w:top w:val="single" w:color="000000" w:sz="4" w:space="0"/>
              <w:left w:val="single" w:color="000000" w:sz="4" w:space="0"/>
              <w:bottom w:val="single" w:color="000000" w:sz="4" w:space="0"/>
              <w:right w:val="single" w:color="000000" w:sz="4" w:space="0"/>
            </w:tcBorders>
            <w:tcW w:w="562" w:type="dxa"/>
            <w:vAlign w:val="bottom"/>
            <w:textDirection w:val="lrTb"/>
            <w:noWrap w:val="false"/>
          </w:tcPr>
          <w:p>
            <w:pPr>
              <w:pStyle w:val="1038"/>
              <w:widowControl w:val="false"/>
              <w:pBdr/>
              <w:spacing/>
              <w:ind w:right="0" w:left="360"/>
              <w:rPr>
                <w:bCs/>
              </w:rPr>
            </w:pPr>
            <w:r>
              <w:rPr>
                <w:bCs/>
              </w:rPr>
            </w:r>
            <w:r>
              <w:rPr>
                <w:bCs/>
              </w:rPr>
            </w:r>
            <w:r>
              <w:rPr>
                <w:bCs/>
              </w:rPr>
            </w:r>
          </w:p>
        </w:tc>
        <w:tc>
          <w:tcPr>
            <w:shd w:val="clear" w:color="auto" w:fill="c1e4f5"/>
            <w:tcBorders>
              <w:top w:val="single" w:color="000000" w:sz="4" w:space="0"/>
              <w:left w:val="single" w:color="000000" w:sz="4" w:space="0"/>
              <w:bottom w:val="single" w:color="000000" w:sz="4" w:space="0"/>
              <w:right w:val="single" w:color="000000" w:sz="4" w:space="0"/>
            </w:tcBorders>
            <w:tcW w:w="6521" w:type="dxa"/>
            <w:textDirection w:val="lrTb"/>
            <w:noWrap w:val="false"/>
          </w:tcPr>
          <w:p>
            <w:pPr>
              <w:pStyle w:val="1038"/>
              <w:widowControl w:val="false"/>
              <w:pBdr/>
              <w:spacing w:after="0" w:before="0"/>
              <w:ind/>
              <w:contextualSpacing w:val="true"/>
              <w:rPr>
                <w:bCs/>
              </w:rPr>
            </w:pPr>
            <w:r>
              <w:rPr>
                <w:bCs/>
              </w:rPr>
            </w:r>
            <w:r>
              <w:rPr>
                <w:bCs/>
              </w:rPr>
            </w:r>
            <w:r>
              <w:rPr>
                <w:bCs/>
              </w:rPr>
            </w:r>
          </w:p>
        </w:tc>
        <w:tc>
          <w:tcPr>
            <w:shd w:val="clear" w:color="auto" w:fill="c1e4f5"/>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ind/>
              <w:jc w:val="center"/>
              <w:rPr>
                <w:sz w:val="18"/>
                <w:szCs w:val="18"/>
              </w:rPr>
            </w:pPr>
            <w:r>
              <w:rPr>
                <w:rFonts w:eastAsia="Calibri"/>
                <w:sz w:val="18"/>
                <w:szCs w:val="18"/>
              </w:rPr>
              <w:t xml:space="preserve">23/22г., %</w:t>
            </w:r>
            <w:r>
              <w:rPr>
                <w:sz w:val="18"/>
                <w:szCs w:val="18"/>
              </w:rPr>
            </w:r>
            <w:r>
              <w:rPr>
                <w:sz w:val="18"/>
                <w:szCs w:val="18"/>
              </w:rPr>
            </w:r>
          </w:p>
        </w:tc>
        <w:tc>
          <w:tcPr>
            <w:shd w:val="clear" w:color="auto" w:fill="c1e4f5"/>
            <w:tcBorders>
              <w:top w:val="single" w:color="000000" w:sz="4" w:space="0"/>
              <w:left w:val="single" w:color="000000" w:sz="4" w:space="0"/>
              <w:bottom w:val="single" w:color="000000" w:sz="4" w:space="0"/>
              <w:right w:val="single" w:color="000000" w:sz="4" w:space="0"/>
            </w:tcBorders>
            <w:tcW w:w="851" w:type="dxa"/>
            <w:textDirection w:val="lrTb"/>
            <w:noWrap w:val="false"/>
          </w:tcPr>
          <w:p>
            <w:pPr>
              <w:pStyle w:val="1038"/>
              <w:widowControl w:val="false"/>
              <w:pBdr/>
              <w:spacing/>
              <w:ind/>
              <w:jc w:val="center"/>
              <w:rPr>
                <w:rFonts w:eastAsia="Calibri"/>
                <w:sz w:val="18"/>
                <w:szCs w:val="18"/>
              </w:rPr>
            </w:pPr>
            <w:r>
              <w:rPr>
                <w:rFonts w:eastAsia="Calibri"/>
                <w:sz w:val="18"/>
                <w:szCs w:val="18"/>
              </w:rPr>
              <w:t xml:space="preserve">24/23г., %</w:t>
            </w:r>
            <w:r>
              <w:rPr>
                <w:rFonts w:eastAsia="Calibri"/>
                <w:sz w:val="18"/>
                <w:szCs w:val="18"/>
              </w:rPr>
            </w:r>
            <w:r>
              <w:rPr>
                <w:rFonts w:eastAsia="Calibri"/>
                <w:sz w:val="18"/>
                <w:szCs w:val="18"/>
              </w:rP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ind/>
              <w:jc w:val="center"/>
              <w:rPr>
                <w:sz w:val="18"/>
                <w:szCs w:val="18"/>
              </w:rPr>
            </w:pPr>
            <w:r>
              <w:rPr>
                <w:rFonts w:eastAsia="Calibri"/>
                <w:sz w:val="18"/>
                <w:szCs w:val="18"/>
              </w:rPr>
              <w:t xml:space="preserve">декабрь 25/24г., %</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Style w:val="1213"/>
              <w:widowControl w:val="false"/>
              <w:numPr>
                <w:ilvl w:val="0"/>
                <w:numId w:val="3"/>
              </w:numPr>
              <w:pBdr/>
              <w:spacing/>
              <w:ind w:right="0" w:hanging="531" w:left="644"/>
              <w:rPr>
                <w:bCs/>
                <w:sz w:val="20"/>
                <w:szCs w:val="20"/>
              </w:rPr>
            </w:pPr>
            <w:r>
              <w:rPr>
                <w:bCs/>
                <w:sz w:val="20"/>
                <w:szCs w:val="20"/>
              </w:rPr>
            </w:r>
            <w:r>
              <w:rPr>
                <w:bCs/>
                <w:sz w:val="20"/>
                <w:szCs w:val="20"/>
              </w:rPr>
            </w:r>
            <w:r>
              <w:rPr>
                <w:bCs/>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rFonts w:eastAsia="Calibri"/>
                <w:b/>
              </w:rPr>
            </w:pPr>
            <w:r>
              <w:rPr>
                <w:rFonts w:eastAsia="Calibri"/>
                <w:bCs/>
              </w:rPr>
              <w:t xml:space="preserve">Задолженность по кредитам физических лиц на </w:t>
            </w:r>
            <w:r>
              <w:rPr>
                <w:rFonts w:eastAsia="Calibri"/>
                <w:b/>
              </w:rPr>
              <w:t xml:space="preserve">01.01.25</w:t>
            </w:r>
            <w:r>
              <w:rPr>
                <w:rFonts w:eastAsia="Calibri"/>
                <w:b/>
              </w:rPr>
            </w:r>
            <w:r>
              <w:rPr>
                <w:rFonts w:eastAsia="Calibri"/>
                <w:b/>
              </w:rPr>
            </w:r>
          </w:p>
          <w:p>
            <w:pPr>
              <w:pStyle w:val="1038"/>
              <w:widowControl w:val="false"/>
              <w:pBdr/>
              <w:spacing w:after="0" w:before="0"/>
              <w:ind/>
              <w:contextualSpacing w:val="true"/>
              <w:rPr>
                <w:rFonts w:eastAsia="Calibri"/>
                <w:bCs/>
              </w:rPr>
            </w:pPr>
            <w:r>
              <w:rPr>
                <w:rFonts w:eastAsia="Calibri"/>
                <w:bCs/>
              </w:rPr>
              <w:t xml:space="preserve">(</w:t>
            </w:r>
            <w:r>
              <w:rPr>
                <w:rFonts w:eastAsia="Calibri"/>
                <w:b/>
              </w:rPr>
              <w:t xml:space="preserve">35 658,0</w:t>
            </w:r>
            <w:r>
              <w:rPr>
                <w:rFonts w:eastAsia="Calibri"/>
                <w:bCs/>
              </w:rPr>
              <w:t xml:space="preserve"> млрд.руб.)</w:t>
            </w:r>
            <w:r>
              <w:rPr>
                <w:rFonts w:eastAsia="Calibri"/>
                <w:bCs/>
              </w:rPr>
            </w:r>
            <w:r>
              <w:rPr>
                <w:rFonts w:eastAsia="Calibri"/>
                <w:bCs/>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+23,4</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rPr>
            </w:pPr>
            <w:r>
              <w:rPr>
                <w:rFonts w:eastAsia="Calibri"/>
                <w:b/>
                <w:color w:val="ff0000"/>
              </w:rPr>
              <w:t xml:space="preserve">+5,4</w:t>
            </w:r>
            <w:r>
              <w:rPr>
                <w:rFonts w:eastAsia="Calibri"/>
                <w:b/>
              </w:rPr>
            </w:r>
            <w:r>
              <w:rPr>
                <w:rFonts w:eastAsia="Calibri"/>
                <w:b/>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00b050"/>
              </w:rPr>
              <w:t xml:space="preserve">-2,0</w:t>
            </w:r>
            <w:r>
              <w:rPr>
                <w:rFonts w:eastAsia="Calibri"/>
                <w:b/>
                <w:color w:val="ff0000"/>
              </w:rPr>
            </w:r>
            <w:r>
              <w:rPr>
                <w:rFonts w:eastAsia="Calibri"/>
                <w:b/>
                <w:color w:val="ff0000"/>
              </w:rP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Style w:val="1213"/>
              <w:widowControl w:val="false"/>
              <w:pBdr/>
              <w:spacing/>
              <w:ind w:right="0" w:firstLine="0" w:left="458"/>
              <w:rPr>
                <w:bCs/>
                <w:sz w:val="20"/>
                <w:szCs w:val="20"/>
              </w:rPr>
            </w:pPr>
            <w:r>
              <w:rPr>
                <w:bCs/>
                <w:sz w:val="20"/>
                <w:szCs w:val="20"/>
              </w:rPr>
            </w:r>
            <w:r>
              <w:rPr>
                <w:bCs/>
                <w:sz w:val="20"/>
                <w:szCs w:val="20"/>
              </w:rPr>
            </w:r>
            <w:r>
              <w:rPr>
                <w:bCs/>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rFonts w:eastAsia="Calibri"/>
                <w:bCs/>
              </w:rPr>
            </w:pPr>
            <w:r>
              <w:rPr>
                <w:rFonts w:eastAsia="Calibri"/>
                <w:bCs/>
              </w:rPr>
              <w:t xml:space="preserve"> </w:t>
            </w:r>
            <w:r>
              <w:rPr>
                <w:rFonts w:eastAsia="Calibri"/>
                <w:bCs/>
              </w:rPr>
              <w:t xml:space="preserve">- в т.ч. задолженность по ипотечным жил. кредитам (</w:t>
            </w:r>
            <w:r>
              <w:rPr>
                <w:rFonts w:eastAsia="Calibri"/>
                <w:b/>
              </w:rPr>
              <w:t xml:space="preserve">20 218,9 </w:t>
            </w:r>
            <w:r>
              <w:rPr>
                <w:rFonts w:eastAsia="Calibri"/>
                <w:bCs/>
              </w:rPr>
              <w:t xml:space="preserve">млрд.руб.)</w:t>
            </w:r>
            <w:r>
              <w:rPr>
                <w:rFonts w:eastAsia="Calibri"/>
                <w:bCs/>
              </w:rPr>
            </w:r>
            <w:r>
              <w:rPr>
                <w:rFonts w:eastAsia="Calibri"/>
                <w:bCs/>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+30,1</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rPr>
            </w:pPr>
            <w:r>
              <w:rPr>
                <w:rFonts w:eastAsia="Calibri"/>
                <w:b/>
                <w:color w:val="ff0000"/>
              </w:rPr>
              <w:t xml:space="preserve">+6,6</w:t>
            </w:r>
            <w:r>
              <w:rPr>
                <w:rFonts w:eastAsia="Calibri"/>
                <w:b/>
              </w:rPr>
            </w:r>
            <w:r>
              <w:rPr>
                <w:rFonts w:eastAsia="Calibri"/>
                <w:b/>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+3,4</w:t>
            </w:r>
            <w:r>
              <w:rPr>
                <w:rFonts w:eastAsia="Calibri"/>
                <w:b/>
                <w:color w:val="ff0000"/>
              </w:rPr>
            </w:r>
            <w:r>
              <w:rPr>
                <w:rFonts w:eastAsia="Calibri"/>
                <w:b/>
                <w:color w:val="ff0000"/>
              </w:rP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Style w:val="1213"/>
              <w:widowControl w:val="false"/>
              <w:numPr>
                <w:ilvl w:val="0"/>
                <w:numId w:val="3"/>
              </w:numPr>
              <w:pBdr/>
              <w:spacing/>
              <w:ind w:right="0" w:hanging="403" w:left="458"/>
              <w:rPr>
                <w:bCs/>
                <w:sz w:val="20"/>
                <w:szCs w:val="20"/>
              </w:rPr>
            </w:pPr>
            <w:r>
              <w:rPr>
                <w:bCs/>
                <w:sz w:val="20"/>
                <w:szCs w:val="20"/>
              </w:rPr>
            </w:r>
            <w:r>
              <w:rPr>
                <w:bCs/>
                <w:sz w:val="20"/>
                <w:szCs w:val="20"/>
              </w:rPr>
            </w:r>
            <w:r>
              <w:rPr>
                <w:bCs/>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rFonts w:eastAsia="Calibri"/>
                <w:bCs/>
              </w:rPr>
            </w:pPr>
            <w:r>
              <w:rPr>
                <w:rFonts w:eastAsia="Calibri"/>
                <w:bCs/>
              </w:rPr>
              <w:t xml:space="preserve">Задолженность организаций по кредитам и займам на </w:t>
            </w:r>
            <w:r>
              <w:rPr>
                <w:rFonts w:eastAsia="Calibri"/>
                <w:b/>
              </w:rPr>
              <w:t xml:space="preserve">01.01.25 </w:t>
            </w:r>
            <w:r>
              <w:rPr>
                <w:rFonts w:eastAsia="Calibri"/>
                <w:bCs/>
              </w:rPr>
              <w:t xml:space="preserve">(</w:t>
            </w:r>
            <w:r>
              <w:rPr>
                <w:rFonts w:eastAsia="Calibri"/>
                <w:b/>
              </w:rPr>
              <w:t xml:space="preserve">143,8</w:t>
            </w:r>
            <w:r>
              <w:rPr>
                <w:rFonts w:eastAsia="Calibri"/>
                <w:bCs/>
              </w:rPr>
              <w:t xml:space="preserve"> трлн.руб.)</w:t>
            </w:r>
            <w:r>
              <w:rPr>
                <w:rFonts w:eastAsia="Calibri"/>
                <w:bCs/>
              </w:rPr>
            </w:r>
            <w:r>
              <w:rPr>
                <w:rFonts w:eastAsia="Calibri"/>
                <w:bCs/>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+23,9</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+17,6</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+10,4</w:t>
            </w:r>
            <w:r>
              <w:rPr>
                <w:rFonts w:eastAsia="Calibri"/>
                <w:b/>
                <w:color w:val="ff0000"/>
              </w:rPr>
            </w:r>
            <w:r>
              <w:rPr>
                <w:rFonts w:eastAsia="Calibri"/>
                <w:b/>
                <w:color w:val="ff0000"/>
              </w:rP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Style w:val="1213"/>
              <w:widowControl w:val="false"/>
              <w:pBdr/>
              <w:spacing/>
              <w:ind w:right="0" w:firstLine="0" w:left="458"/>
              <w:rPr>
                <w:bCs/>
                <w:sz w:val="20"/>
                <w:szCs w:val="20"/>
              </w:rPr>
            </w:pPr>
            <w:r>
              <w:rPr>
                <w:bCs/>
                <w:sz w:val="20"/>
                <w:szCs w:val="20"/>
              </w:rPr>
            </w:r>
            <w:r>
              <w:rPr>
                <w:bCs/>
                <w:sz w:val="20"/>
                <w:szCs w:val="20"/>
              </w:rPr>
            </w:r>
            <w:r>
              <w:rPr>
                <w:bCs/>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rFonts w:eastAsia="Calibri"/>
                <w:bCs/>
              </w:rPr>
            </w:pPr>
            <w:r>
              <w:rPr>
                <w:rFonts w:eastAsia="Calibri"/>
                <w:bCs/>
              </w:rPr>
              <w:t xml:space="preserve"> </w:t>
            </w:r>
            <w:r>
              <w:rPr>
                <w:rFonts w:eastAsia="Calibri"/>
                <w:bCs/>
              </w:rPr>
              <w:t xml:space="preserve">- из них просроченная задолженность (</w:t>
            </w:r>
            <w:r>
              <w:rPr>
                <w:rFonts w:eastAsia="Calibri"/>
                <w:b/>
              </w:rPr>
              <w:t xml:space="preserve">386,3</w:t>
            </w:r>
            <w:r>
              <w:rPr>
                <w:rFonts w:eastAsia="Calibri"/>
                <w:bCs/>
              </w:rPr>
              <w:t xml:space="preserve"> млрд.руб.)</w:t>
            </w:r>
            <w:r>
              <w:rPr>
                <w:rFonts w:eastAsia="Calibri"/>
                <w:bCs/>
              </w:rPr>
            </w:r>
            <w:r>
              <w:rPr>
                <w:rFonts w:eastAsia="Calibri"/>
                <w:bCs/>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00b050"/>
              </w:rPr>
              <w:t xml:space="preserve">-1,1</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00b050"/>
              </w:rPr>
              <w:t xml:space="preserve">-15,8</w:t>
            </w:r>
            <w:r>
              <w:rPr>
                <w:rFonts w:eastAsia="Calibri"/>
                <w:b/>
                <w:color w:val="ff0000"/>
              </w:rPr>
            </w:r>
            <w:r>
              <w:rPr>
                <w:rFonts w:eastAsia="Calibri"/>
                <w:b/>
                <w:color w:val="ff000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+5,8</w:t>
            </w:r>
            <w:r>
              <w:rPr>
                <w:rFonts w:eastAsia="Calibri"/>
                <w:b/>
                <w:color w:val="ff0000"/>
              </w:rPr>
            </w:r>
            <w:r>
              <w:rPr>
                <w:rFonts w:eastAsia="Calibri"/>
                <w:b/>
                <w:color w:val="ff0000"/>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widowControl w:val="false"/>
              <w:numPr>
                <w:ilvl w:val="0"/>
                <w:numId w:val="3"/>
              </w:numPr>
              <w:pBdr/>
              <w:tabs>
                <w:tab w:val="left" w:leader="none" w:pos="227"/>
                <w:tab w:val="clear" w:leader="none" w:pos="709"/>
              </w:tabs>
              <w:spacing/>
              <w:ind w:right="-57" w:firstLine="0" w:left="0"/>
              <w:jc w:val="lef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hyperlink r:id="rId17" w:tooltip="https://cbr.ru/hd_base/mrrf/mrrf_7d/" w:history="1">
              <w:r>
                <w:rPr>
                  <w:rStyle w:val="1089"/>
                  <w:rFonts w:eastAsia="Calibri"/>
                </w:rPr>
                <w:t xml:space="preserve">Международные резервы</w:t>
              </w:r>
            </w:hyperlink>
            <w:r>
              <w:rPr>
                <w:rStyle w:val="1089"/>
                <w:rFonts w:eastAsia="Calibri"/>
              </w:rPr>
              <w:t xml:space="preserve"> России (</w:t>
            </w:r>
            <w:hyperlink r:id="rId18" w:tooltip="https://cbr.ru/hd_base/mrrf/mrrf_7d/" w:history="1">
              <w:r>
                <w:rPr>
                  <w:rStyle w:val="1089"/>
                  <w:rFonts w:eastAsia="Calibri"/>
                </w:rPr>
                <w:t xml:space="preserve">ЗВР</w:t>
              </w:r>
            </w:hyperlink>
            <w:r>
              <w:rPr>
                <w:rStyle w:val="1089"/>
                <w:rFonts w:eastAsia="Calibri"/>
              </w:rPr>
              <w:t xml:space="preserve">)</w:t>
            </w:r>
            <w:r>
              <w:rPr>
                <w:rFonts w:eastAsia="Calibri"/>
              </w:rPr>
              <w:t xml:space="preserve">, на</w:t>
            </w:r>
            <w:r>
              <w:rPr>
                <w:rFonts w:eastAsia="Calibri"/>
                <w:b/>
                <w:bCs/>
              </w:rPr>
              <w:t xml:space="preserve"> 16.01.26</w:t>
            </w:r>
            <w:r>
              <w:rPr>
                <w:rFonts w:eastAsia="Calibri"/>
              </w:rPr>
              <w:t xml:space="preserve">г:</w:t>
            </w:r>
            <w:r>
              <w:rPr>
                <w:rFonts w:eastAsia="Calibri"/>
                <w:b/>
                <w:bCs/>
              </w:rPr>
              <w:t xml:space="preserve"> 769,1 </w:t>
            </w:r>
            <w:r>
              <w:rPr>
                <w:rFonts w:eastAsia="Calibri"/>
              </w:rPr>
              <w:t xml:space="preserve">млрд. долл. США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b/>
                <w:color w:val="00b050"/>
              </w:rPr>
            </w:pPr>
            <w:r>
              <w:rPr>
                <w:rFonts w:eastAsia="Calibri"/>
                <w:b/>
              </w:rPr>
              <w:t xml:space="preserve">-1,7</w:t>
            </w:r>
            <w:r>
              <w:rPr>
                <w:b/>
                <w:color w:val="00b050"/>
              </w:rPr>
            </w:r>
            <w:r>
              <w:rPr>
                <w:b/>
                <w:color w:val="00b05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rPr>
              <w:t xml:space="preserve">+2,0</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b/>
                <w:color w:val="00b050"/>
              </w:rPr>
            </w:pPr>
            <w:r>
              <w:rPr>
                <w:rFonts w:eastAsia="Calibri"/>
                <w:b/>
                <w:color w:val="ff0000"/>
              </w:rPr>
              <w:t xml:space="preserve">+26,2</w:t>
            </w:r>
            <w:r>
              <w:rPr>
                <w:b/>
                <w:color w:val="00b050"/>
              </w:rPr>
            </w:r>
            <w:r>
              <w:rPr>
                <w:b/>
                <w:color w:val="00b050"/>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widowControl w:val="false"/>
              <w:numPr>
                <w:ilvl w:val="0"/>
                <w:numId w:val="3"/>
              </w:numPr>
              <w:pBdr/>
              <w:tabs>
                <w:tab w:val="left" w:leader="none" w:pos="227"/>
                <w:tab w:val="clear" w:leader="none" w:pos="709"/>
              </w:tabs>
              <w:spacing/>
              <w:ind w:right="-57" w:firstLine="0" w:left="0"/>
              <w:jc w:val="lef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t xml:space="preserve">Сальдо финансового счета </w:t>
            </w:r>
            <w:r>
              <w:fldChar w:fldCharType="begin"/>
            </w:r>
            <w:r>
              <w:rPr>
                <w:rStyle w:val="1089"/>
              </w:rPr>
              <w:instrText xml:space="preserve"> HYPERLINK "https://cbr.ru/statistics/macro_itm/external_sector/pb/p_balance/" \l "highlight=%D1%81%D1%87%D0%B5%D1%82%7C%D1%82%D0%B5%D0%BA%D1%83%D1%89%D0%B8%D1%85%7C%D0%BE%D0%BF%D0%B5%D1%80%D0%B0%D1%86%D0%B8%D0%B9"</w:instrText>
            </w:r>
            <w:r>
              <w:rPr>
                <w:rStyle w:val="1089"/>
              </w:rPr>
              <w:fldChar w:fldCharType="separate"/>
            </w:r>
            <w:r>
              <w:rPr>
                <w:rStyle w:val="1089"/>
              </w:rPr>
              <w:t xml:space="preserve">платежного баланса</w:t>
            </w:r>
            <w:r>
              <w:rPr>
                <w:rStyle w:val="1089"/>
              </w:rPr>
              <w:fldChar w:fldCharType="end"/>
            </w:r>
            <w:r>
              <w:t xml:space="preserve">, млрд. долл. США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sz w:val="12"/>
                <w:szCs w:val="12"/>
              </w:rPr>
            </w:pPr>
            <w:r>
              <w:rPr>
                <w:rFonts w:eastAsia="Calibri"/>
                <w:b/>
                <w:color w:val="ff0000"/>
              </w:rPr>
              <w:t xml:space="preserve">41,5 </w:t>
            </w:r>
            <w:r>
              <w:rPr>
                <w:rFonts w:eastAsia="Calibri"/>
                <w:b/>
                <w:sz w:val="12"/>
                <w:szCs w:val="12"/>
              </w:rPr>
              <w:t xml:space="preserve">млрд.р.</w:t>
            </w:r>
            <w:r>
              <w:rPr>
                <w:rFonts w:eastAsia="Calibri"/>
                <w:b/>
                <w:sz w:val="12"/>
                <w:szCs w:val="12"/>
              </w:rPr>
            </w:r>
            <w:r>
              <w:rPr>
                <w:rFonts w:eastAsia="Calibri"/>
                <w:b/>
                <w:sz w:val="12"/>
                <w:szCs w:val="12"/>
              </w:rPr>
            </w:r>
          </w:p>
          <w:p>
            <w:pPr>
              <w:pStyle w:val="1038"/>
              <w:widowControl w:val="false"/>
              <w:pBdr/>
              <w:spacing w:after="0" w:before="0"/>
              <w:ind/>
              <w:contextualSpacing w:val="true"/>
              <w:jc w:val="center"/>
              <w:rPr>
                <w:rFonts w:eastAsia="Calibri"/>
                <w:b/>
              </w:rPr>
            </w:pPr>
            <w:r>
              <w:rPr>
                <w:rFonts w:eastAsia="Calibri"/>
                <w:bCs/>
                <w:sz w:val="12"/>
                <w:szCs w:val="12"/>
              </w:rPr>
              <w:t xml:space="preserve">за 23г</w:t>
            </w:r>
            <w:r>
              <w:rPr>
                <w:rFonts w:eastAsia="Calibri"/>
                <w:b/>
              </w:rPr>
            </w:r>
            <w:r>
              <w:rPr>
                <w:rFonts w:eastAsia="Calibri"/>
                <w:b/>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rPr>
                <w:rFonts w:eastAsia="Calibri"/>
                <w:b/>
                <w:color w:val="ff0000"/>
              </w:rPr>
            </w:pPr>
            <w:r>
              <w:rPr>
                <w:rFonts w:eastAsia="Calibri"/>
                <w:b/>
                <w:color w:val="ff0000"/>
              </w:rPr>
              <w:t xml:space="preserve">53,8 </w:t>
            </w:r>
            <w:r>
              <w:rPr>
                <w:rFonts w:eastAsia="Calibri"/>
                <w:b/>
                <w:sz w:val="12"/>
                <w:szCs w:val="12"/>
              </w:rPr>
              <w:t xml:space="preserve">млрд.р</w:t>
            </w:r>
            <w:r>
              <w:rPr>
                <w:rFonts w:eastAsia="Calibri"/>
                <w:b/>
                <w:color w:val="ff0000"/>
              </w:rPr>
            </w:r>
            <w:r>
              <w:rPr>
                <w:rFonts w:eastAsia="Calibri"/>
                <w:b/>
                <w:color w:val="ff0000"/>
              </w:rPr>
            </w:r>
          </w:p>
          <w:p>
            <w:pPr>
              <w:pStyle w:val="1038"/>
              <w:widowControl w:val="false"/>
              <w:pBdr/>
              <w:spacing w:after="0" w:before="0"/>
              <w:ind/>
              <w:contextualSpacing w:val="true"/>
              <w:rPr>
                <w:rFonts w:eastAsia="Calibri"/>
                <w:b/>
                <w:color w:val="00b050"/>
              </w:rPr>
            </w:pPr>
            <w:r>
              <w:rPr>
                <w:rFonts w:eastAsia="Calibri"/>
                <w:bCs/>
                <w:sz w:val="12"/>
                <w:szCs w:val="12"/>
              </w:rPr>
              <w:t xml:space="preserve">за 24г</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18,7</w:t>
            </w:r>
            <w:r>
              <w:rPr>
                <w:rFonts w:eastAsia="Calibri"/>
                <w:b/>
                <w:color w:val="ff0000"/>
              </w:rPr>
            </w:r>
            <w:r>
              <w:rPr>
                <w:rFonts w:eastAsia="Calibri"/>
                <w:b/>
                <w:color w:val="ff0000"/>
              </w:rPr>
            </w:r>
          </w:p>
          <w:p>
            <w:pPr>
              <w:pStyle w:val="1038"/>
              <w:widowControl w:val="false"/>
              <w:pBdr/>
              <w:spacing w:after="0" w:before="0"/>
              <w:ind/>
              <w:contextualSpacing w:val="true"/>
              <w:jc w:val="center"/>
              <w:rPr>
                <w:rFonts w:eastAsia="Calibri"/>
                <w:b/>
                <w:color w:val="ff0000"/>
              </w:rPr>
            </w:pPr>
            <w:r>
              <w:rPr>
                <w:rFonts w:eastAsia="Calibri"/>
                <w:b/>
                <w:sz w:val="12"/>
                <w:szCs w:val="12"/>
              </w:rPr>
              <w:t xml:space="preserve">млрд.р</w:t>
            </w:r>
            <w:r>
              <w:rPr>
                <w:rFonts w:eastAsia="Calibri"/>
                <w:b/>
                <w:color w:val="ff0000"/>
              </w:rPr>
            </w:r>
            <w:r>
              <w:rPr>
                <w:rFonts w:eastAsia="Calibri"/>
                <w:b/>
                <w:color w:val="ff0000"/>
              </w:rPr>
            </w:r>
          </w:p>
          <w:p>
            <w:pPr>
              <w:pStyle w:val="1038"/>
              <w:widowControl w:val="false"/>
              <w:pBdr/>
              <w:spacing w:after="0" w:before="0"/>
              <w:ind/>
              <w:contextualSpacing w:val="true"/>
              <w:jc w:val="center"/>
              <w:rPr>
                <w:rFonts w:eastAsia="Calibri"/>
                <w:b/>
                <w:color w:val="00b050"/>
              </w:rPr>
            </w:pPr>
            <w:r>
              <w:rPr>
                <w:rFonts w:eastAsia="Calibri"/>
                <w:bCs/>
                <w:sz w:val="12"/>
                <w:szCs w:val="12"/>
              </w:rPr>
              <w:t xml:space="preserve">за 9 мес 25г</w:t>
            </w:r>
            <w:r>
              <w:rPr>
                <w:rFonts w:eastAsia="Calibri"/>
                <w:b/>
                <w:color w:val="00b050"/>
              </w:rPr>
            </w:r>
            <w:r>
              <w:rPr>
                <w:rFonts w:eastAsia="Calibri"/>
                <w:b/>
                <w:color w:val="00b050"/>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widowControl w:val="false"/>
              <w:numPr>
                <w:ilvl w:val="0"/>
                <w:numId w:val="3"/>
              </w:numPr>
              <w:pBdr/>
              <w:tabs>
                <w:tab w:val="left" w:leader="none" w:pos="227"/>
                <w:tab w:val="clear" w:leader="none" w:pos="709"/>
              </w:tabs>
              <w:spacing/>
              <w:ind w:right="-57" w:firstLine="0" w:left="0"/>
              <w:jc w:val="lef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t xml:space="preserve">Исполнение консолидированного бюджета и бюджетов государственных внебюджетных фондов</w:t>
            </w:r>
            <w:r/>
          </w:p>
          <w:p>
            <w:pPr>
              <w:pStyle w:val="1038"/>
              <w:widowControl w:val="false"/>
              <w:pBdr/>
              <w:spacing w:after="0" w:before="0"/>
              <w:ind/>
              <w:contextualSpacing w:val="true"/>
              <w:rPr/>
            </w:pPr>
            <w:r>
              <w:t xml:space="preserve">(профицит (+), дефицит (-)) за </w:t>
            </w:r>
            <w:r>
              <w:rPr>
                <w:b/>
                <w:bCs/>
              </w:rPr>
              <w:t xml:space="preserve">янв-окт 2025</w:t>
            </w:r>
            <w:r>
              <w:t xml:space="preserve"> года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rPr>
            </w:pPr>
            <w:r>
              <w:rPr>
                <w:rFonts w:eastAsia="Calibri"/>
                <w:b/>
                <w:color w:val="ff0000"/>
              </w:rPr>
              <w:t xml:space="preserve">-1,7</w:t>
            </w:r>
            <w:r>
              <w:rPr>
                <w:rFonts w:eastAsia="Calibri"/>
                <w:b/>
              </w:rPr>
            </w:r>
            <w:r>
              <w:rPr>
                <w:rFonts w:eastAsia="Calibri"/>
                <w:b/>
              </w:rPr>
            </w:r>
          </w:p>
          <w:p>
            <w:pPr>
              <w:pStyle w:val="1038"/>
              <w:widowControl w:val="false"/>
              <w:pBdr/>
              <w:spacing w:after="0" w:before="0"/>
              <w:ind/>
              <w:contextualSpacing w:val="true"/>
              <w:jc w:val="center"/>
              <w:rPr>
                <w:rFonts w:eastAsia="Calibri"/>
                <w:b/>
              </w:rPr>
            </w:pPr>
            <w:r>
              <w:rPr>
                <w:rFonts w:eastAsia="Calibri"/>
                <w:bCs/>
                <w:sz w:val="12"/>
                <w:szCs w:val="12"/>
              </w:rPr>
              <w:t xml:space="preserve">трлн. руб.</w:t>
            </w:r>
            <w:r>
              <w:rPr>
                <w:rFonts w:eastAsia="Calibri"/>
                <w:b/>
              </w:rPr>
            </w:r>
            <w:r>
              <w:rPr>
                <w:rFonts w:eastAsia="Calibri"/>
                <w:b/>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+0,6</w:t>
            </w:r>
            <w:r>
              <w:rPr>
                <w:rFonts w:eastAsia="Calibri"/>
                <w:bCs/>
                <w:sz w:val="16"/>
                <w:szCs w:val="16"/>
              </w:rPr>
              <w:t xml:space="preserve"> </w:t>
            </w:r>
            <w:r>
              <w:rPr>
                <w:rFonts w:eastAsia="Calibri"/>
                <w:bCs/>
                <w:sz w:val="12"/>
                <w:szCs w:val="12"/>
              </w:rPr>
              <w:t xml:space="preserve">трлн. руб.</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-4,2</w:t>
            </w:r>
            <w:r>
              <w:rPr>
                <w:rFonts w:eastAsia="Calibri"/>
                <w:b/>
                <w:color w:val="ff0000"/>
              </w:rPr>
            </w:r>
            <w:r>
              <w:rPr>
                <w:rFonts w:eastAsia="Calibri"/>
                <w:b/>
                <w:color w:val="ff0000"/>
              </w:rPr>
            </w:r>
          </w:p>
          <w:p>
            <w:pPr>
              <w:pStyle w:val="1038"/>
              <w:widowControl w:val="false"/>
              <w:pBdr/>
              <w:spacing w:after="0" w:before="0"/>
              <w:ind/>
              <w:contextualSpacing w:val="true"/>
              <w:jc w:val="center"/>
              <w:rPr>
                <w:rFonts w:eastAsia="Calibri"/>
                <w:b/>
                <w:color w:val="00b050"/>
                <w:sz w:val="12"/>
                <w:szCs w:val="12"/>
              </w:rPr>
            </w:pPr>
            <w:r>
              <w:rPr>
                <w:rFonts w:eastAsia="Calibri"/>
                <w:bCs/>
                <w:sz w:val="12"/>
                <w:szCs w:val="12"/>
              </w:rPr>
              <w:t xml:space="preserve">трлн. руб.</w:t>
            </w:r>
            <w:r>
              <w:rPr>
                <w:rFonts w:eastAsia="Calibri"/>
                <w:b/>
                <w:color w:val="00b050"/>
                <w:sz w:val="12"/>
                <w:szCs w:val="12"/>
              </w:rPr>
            </w:r>
            <w:r>
              <w:rPr>
                <w:rFonts w:eastAsia="Calibri"/>
                <w:b/>
                <w:color w:val="00b050"/>
                <w:sz w:val="12"/>
                <w:szCs w:val="12"/>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widowControl w:val="false"/>
              <w:numPr>
                <w:ilvl w:val="0"/>
                <w:numId w:val="3"/>
              </w:numPr>
              <w:pBdr/>
              <w:tabs>
                <w:tab w:val="left" w:leader="none" w:pos="227"/>
                <w:tab w:val="clear" w:leader="none" w:pos="709"/>
              </w:tabs>
              <w:spacing/>
              <w:ind w:right="-57" w:firstLine="0" w:left="0"/>
              <w:jc w:val="left"/>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hyperlink r:id="rId19" w:tooltip="https://minfin.gov.ru/ru/perfomance/public_debt/external/structure?id_65=69444-gosudarstvennyi_vneshnii_dolg_rossiiskoi_federatsii_2011-2022_gg." w:history="1">
              <w:r>
                <w:rPr>
                  <w:rStyle w:val="1089"/>
                  <w:rFonts w:eastAsia="Calibri"/>
                </w:rPr>
                <w:t xml:space="preserve">Государственный внешний долг</w:t>
              </w:r>
            </w:hyperlink>
            <w:r>
              <w:rPr>
                <w:rFonts w:eastAsia="Calibri"/>
              </w:rPr>
              <w:t xml:space="preserve">, на </w:t>
            </w:r>
            <w:r>
              <w:rPr>
                <w:rFonts w:eastAsia="Calibri"/>
                <w:b/>
                <w:bCs/>
              </w:rPr>
              <w:t xml:space="preserve">01.01.26г</w:t>
            </w:r>
            <w:r>
              <w:rPr>
                <w:rFonts w:eastAsia="Calibri"/>
              </w:rPr>
              <w:t xml:space="preserve">. </w:t>
            </w:r>
            <w:r>
              <w:rPr>
                <w:rFonts w:eastAsia="Calibri"/>
                <w:b/>
                <w:bCs/>
              </w:rPr>
              <w:t xml:space="preserve">57,3</w:t>
            </w:r>
            <w:r>
              <w:rPr>
                <w:rFonts w:eastAsia="Calibri"/>
              </w:rPr>
              <w:t xml:space="preserve"> млрд. долл. США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b/>
              </w:rPr>
            </w:pPr>
            <w:r>
              <w:rPr>
                <w:rFonts w:eastAsia="Calibri"/>
                <w:b/>
                <w:color w:val="00b050"/>
              </w:rPr>
              <w:t xml:space="preserve">0.0</w:t>
            </w:r>
            <w:r>
              <w:rPr>
                <w:b/>
              </w:rPr>
            </w:r>
            <w:r>
              <w:rPr>
                <w:b/>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-2,3</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b/>
              </w:rPr>
            </w:pPr>
            <w:r>
              <w:rPr>
                <w:rFonts w:eastAsia="Calibri"/>
                <w:b/>
                <w:color w:val="ff0000"/>
              </w:rPr>
              <w:t xml:space="preserve">+10,0</w:t>
            </w:r>
            <w:r>
              <w:rPr>
                <w:b/>
              </w:rPr>
            </w:r>
            <w:r>
              <w:rPr>
                <w:b/>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pBdr/>
              <w:tabs>
                <w:tab w:val="left" w:leader="none" w:pos="227"/>
                <w:tab w:val="left" w:leader="none" w:pos="624"/>
                <w:tab w:val="clear" w:leader="none" w:pos="709"/>
              </w:tabs>
              <w:spacing/>
              <w:ind w:right="-57" w:firstLine="0" w:left="0"/>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t xml:space="preserve">Другие показатели</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01.01.2020</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01.01.2025</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08.12.2025</w:t>
            </w:r>
            <w:r>
              <w:rPr>
                <w:rFonts w:eastAsia="Calibri"/>
                <w:b/>
                <w:color w:val="ff0000"/>
              </w:rPr>
            </w:r>
            <w:r>
              <w:rPr>
                <w:rFonts w:eastAsia="Calibri"/>
                <w:b/>
                <w:color w:val="ff0000"/>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widowControl w:val="false"/>
              <w:numPr>
                <w:ilvl w:val="0"/>
                <w:numId w:val="8"/>
              </w:numPr>
              <w:pBdr/>
              <w:spacing/>
              <w:ind w:right="172" w:hanging="531" w:left="644"/>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hyperlink r:id="rId20" w:tooltip="https://cbr.ru/key-indicators/" w:history="1">
              <w:r>
                <w:rPr>
                  <w:rStyle w:val="1089"/>
                </w:rPr>
                <w:t xml:space="preserve">Ключевая ставка</w:t>
              </w:r>
            </w:hyperlink>
            <w:r>
              <w:t xml:space="preserve"> ЦБР с 22.12.25г., %</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6,25</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21,0</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16,0</w:t>
            </w:r>
            <w:r>
              <w:rPr>
                <w:rFonts w:eastAsia="Calibri"/>
                <w:b/>
                <w:color w:val="ff0000"/>
              </w:rPr>
            </w:r>
            <w:r>
              <w:rPr>
                <w:rFonts w:eastAsia="Calibri"/>
                <w:b/>
                <w:color w:val="ff0000"/>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widowControl w:val="false"/>
              <w:numPr>
                <w:ilvl w:val="0"/>
                <w:numId w:val="8"/>
              </w:numPr>
              <w:pBdr/>
              <w:spacing/>
              <w:ind w:right="172" w:hanging="426" w:left="447"/>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t xml:space="preserve">Курс рубля к доллару США по данным </w:t>
            </w:r>
            <w:hyperlink r:id="rId21" w:tooltip="https://ya.ru/search/?text=usd+курс+к+рублю&amp;lr=47&amp;src=suggest_B" w:history="1">
              <w:r>
                <w:rPr>
                  <w:rStyle w:val="1089"/>
                </w:rPr>
                <w:t xml:space="preserve">Московской биржи</w:t>
              </w:r>
            </w:hyperlink>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61,91</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85,75</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75,92</w:t>
            </w:r>
            <w:r>
              <w:rPr>
                <w:rFonts w:eastAsia="Calibri"/>
                <w:b/>
                <w:color w:val="ff0000"/>
              </w:rPr>
            </w:r>
            <w:r>
              <w:rPr>
                <w:rFonts w:eastAsia="Calibri"/>
                <w:b/>
                <w:color w:val="ff0000"/>
              </w:rP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Style w:val="1213"/>
              <w:widowControl w:val="false"/>
              <w:numPr>
                <w:ilvl w:val="0"/>
                <w:numId w:val="8"/>
              </w:numPr>
              <w:pBdr/>
              <w:spacing/>
              <w:ind w:right="172" w:hanging="426" w:left="447"/>
              <w:rPr>
                <w:sz w:val="20"/>
                <w:szCs w:val="20"/>
              </w:rPr>
            </w:pP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Style w:val="1038"/>
              <w:widowControl w:val="false"/>
              <w:pBdr/>
              <w:spacing w:after="0" w:before="0"/>
              <w:ind/>
              <w:contextualSpacing w:val="true"/>
              <w:rPr/>
            </w:pPr>
            <w:r>
              <w:t xml:space="preserve">Нефть </w:t>
            </w:r>
            <w:hyperlink r:id="rId22" w:tooltip="https://ya.ru/search/?text=нефть+brent+курс+цена+в+рублях&amp;lr=47" w:history="1">
              <w:r>
                <w:rPr>
                  <w:rStyle w:val="1089"/>
                </w:rPr>
                <w:t xml:space="preserve">Brent </w:t>
              </w:r>
            </w:hyperlink>
            <w:r>
              <w:t xml:space="preserve"> (Urals / Brent ≈ 0,87-0,90)</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68,36</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Style w:val="1038"/>
              <w:widowControl w:val="false"/>
              <w:pBdr/>
              <w:spacing w:after="0" w:before="0"/>
              <w:ind/>
              <w:contextualSpacing w:val="true"/>
              <w:jc w:val="center"/>
              <w:rPr>
                <w:rFonts w:eastAsia="Calibri"/>
                <w:b/>
                <w:color w:val="00b050"/>
              </w:rPr>
            </w:pPr>
            <w:r>
              <w:rPr>
                <w:rFonts w:eastAsia="Calibri"/>
                <w:b/>
                <w:color w:val="00b050"/>
              </w:rPr>
              <w:t xml:space="preserve">87,0</w:t>
            </w:r>
            <w:r>
              <w:rPr>
                <w:rFonts w:eastAsia="Calibri"/>
                <w:b/>
                <w:color w:val="00b050"/>
              </w:rPr>
            </w:r>
            <w:r>
              <w:rPr>
                <w:rFonts w:eastAsia="Calibri"/>
                <w:b/>
                <w:color w:val="00b050"/>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038"/>
              <w:widowControl w:val="false"/>
              <w:pBdr/>
              <w:spacing w:after="0" w:before="0"/>
              <w:ind/>
              <w:contextualSpacing w:val="true"/>
              <w:jc w:val="center"/>
              <w:rPr>
                <w:rFonts w:eastAsia="Calibri"/>
                <w:b/>
                <w:color w:val="ff0000"/>
              </w:rPr>
            </w:pPr>
            <w:r>
              <w:rPr>
                <w:rFonts w:eastAsia="Calibri"/>
                <w:b/>
                <w:color w:val="ff0000"/>
              </w:rPr>
              <w:t xml:space="preserve">66,43</w:t>
            </w:r>
            <w:r>
              <w:rPr>
                <w:rFonts w:eastAsia="Calibri"/>
                <w:b/>
                <w:color w:val="ff0000"/>
              </w:rPr>
            </w:r>
            <w:r>
              <w:rPr>
                <w:rFonts w:eastAsia="Calibri"/>
                <w:b/>
                <w:color w:val="ff0000"/>
              </w:rPr>
            </w:r>
          </w:p>
        </w:tc>
      </w:tr>
    </w:tbl>
    <w:p>
      <w:pPr>
        <w:pStyle w:val="1038"/>
        <w:pBdr/>
        <w:spacing/>
        <w:ind/>
        <w:jc w:val="center"/>
        <w:rPr>
          <w:b/>
          <w:bCs/>
          <w:sz w:val="22"/>
          <w:szCs w:val="22"/>
        </w:rPr>
      </w:pPr>
      <w:r>
        <w:rPr>
          <w:b/>
          <w:bCs/>
          <w:sz w:val="22"/>
          <w:szCs w:val="22"/>
        </w:rPr>
      </w:r>
      <w:r>
        <w:rPr>
          <w:b/>
          <w:bCs/>
          <w:sz w:val="22"/>
          <w:szCs w:val="22"/>
        </w:rPr>
      </w:r>
      <w:r>
        <w:rPr>
          <w:b/>
          <w:bCs/>
          <w:sz w:val="22"/>
          <w:szCs w:val="22"/>
        </w:rPr>
      </w:r>
    </w:p>
    <w:p>
      <w:pPr>
        <w:pStyle w:val="1038"/>
        <w:pBdr/>
        <w:spacing/>
        <w:ind/>
        <w:jc w:val="center"/>
        <w:rPr>
          <w:b/>
          <w:bCs/>
          <w:sz w:val="22"/>
          <w:szCs w:val="22"/>
        </w:rPr>
      </w:pPr>
      <w:r>
        <w:rPr>
          <w:b/>
          <w:bCs/>
          <w:sz w:val="22"/>
          <w:szCs w:val="22"/>
        </w:rPr>
        <w:t xml:space="preserve">Состояние и перспективы российской экономики</w:t>
      </w:r>
      <w:r>
        <w:rPr>
          <w:b/>
          <w:bCs/>
          <w:sz w:val="22"/>
          <w:szCs w:val="22"/>
        </w:rPr>
      </w:r>
      <w:r>
        <w:rPr>
          <w:b/>
          <w:bCs/>
          <w:sz w:val="22"/>
          <w:szCs w:val="22"/>
        </w:rPr>
      </w:r>
    </w:p>
    <w:p>
      <w:pPr>
        <w:pStyle w:val="1038"/>
        <w:pBdr/>
        <w:spacing/>
        <w:ind/>
        <w:jc w:val="both"/>
        <w:rPr>
          <w:b/>
          <w:sz w:val="22"/>
          <w:szCs w:val="22"/>
        </w:rPr>
      </w:pPr>
      <w:r>
        <w:rPr>
          <w:b/>
          <w:sz w:val="22"/>
          <w:szCs w:val="22"/>
        </w:rPr>
      </w:r>
      <w:r>
        <w:rPr>
          <w:b/>
          <w:sz w:val="22"/>
          <w:szCs w:val="22"/>
        </w:rPr>
      </w:r>
      <w:r>
        <w:rPr>
          <w:b/>
          <w:sz w:val="22"/>
          <w:szCs w:val="22"/>
        </w:rPr>
      </w:r>
    </w:p>
    <w:p>
      <w:pPr>
        <w:pStyle w:val="1038"/>
        <w:pBdr/>
        <w:spacing w:after="0" w:before="0"/>
        <w:ind w:right="0" w:firstLine="709"/>
        <w:contextualSpacing w:val="true"/>
        <w:jc w:val="both"/>
        <w:rPr>
          <w:sz w:val="22"/>
          <w:szCs w:val="22"/>
        </w:rPr>
      </w:pPr>
      <w:r>
        <w:rPr>
          <w:sz w:val="22"/>
          <w:szCs w:val="22"/>
        </w:rPr>
        <w:t xml:space="preserve">Интеграция России в западоцентричную мировую экономику и долларовую систему международных расчетов в 1990-е годы привела, с одной стороны, к развитию и росту экспортно-ориентированных добывающих отраслей экономики, к поступлению</w:t>
      </w:r>
      <w:r>
        <w:rPr>
          <w:sz w:val="22"/>
          <w:szCs w:val="22"/>
        </w:rPr>
        <w:t xml:space="preserve"> на внутренний рынок широкого ассортимента импортных товаров и продовольствия, с другой - к разрушению хозяйственных связей отечественных предприятий и разорению ключевых, технически и технологически развитых отраслей российской экономики: станкостроения, </w:t>
      </w:r>
      <w:r>
        <w:rPr>
          <w:sz w:val="22"/>
          <w:szCs w:val="22"/>
        </w:rPr>
        <w:t xml:space="preserve">машиностроения, судостроения, авиастроения, приборостроения и, как следствие - к значительной зависимости страны от импорта продукции всех этих направлений. В результате, экономика страны стала критически зависимой от поставок всех видов импортных товаров </w:t>
      </w:r>
      <w:r>
        <w:rPr>
          <w:sz w:val="22"/>
          <w:szCs w:val="22"/>
        </w:rPr>
        <w:t xml:space="preserve">как потребительского, так и производственного назначения, а госбюджет и исполнение социальных обязательств и программ – от стабильности рынков сбыта российского сырья и энергоресурсов. Поэтому типичные для экономик Запада финансово-экономические кризисы (2</w:t>
      </w:r>
      <w:r>
        <w:rPr>
          <w:sz w:val="22"/>
          <w:szCs w:val="22"/>
        </w:rPr>
        <w:t xml:space="preserve">009, 2020 годов), а также геополитическое и экономическое давление на Россию со стороны стран Запада последнего десятилетия оказывали негативное влияние на российскую экономику. Каждый раз это приводило к изменению экономических связей и логистики, к сниже</w:t>
      </w:r>
      <w:r>
        <w:rPr>
          <w:sz w:val="22"/>
          <w:szCs w:val="22"/>
        </w:rPr>
        <w:t xml:space="preserve">нию и нестабильности промышленного производства, внешнеторгового оборота, внутреннего товарооборота и объема грузоперевозок, к росту инфляции и снижению доходов бизнеса и населения, к падению и нестабильности спроса (потребительского и производственного). </w:t>
      </w:r>
      <w:r>
        <w:rPr>
          <w:sz w:val="22"/>
          <w:szCs w:val="22"/>
        </w:rPr>
      </w:r>
      <w:r>
        <w:rPr>
          <w:sz w:val="22"/>
          <w:szCs w:val="22"/>
        </w:rPr>
      </w:r>
    </w:p>
    <w:p>
      <w:pPr>
        <w:pStyle w:val="1038"/>
        <w:pBdr/>
        <w:spacing w:after="0" w:before="0"/>
        <w:ind w:right="0" w:firstLine="709"/>
        <w:contextualSpacing w:val="true"/>
        <w:jc w:val="both"/>
        <w:rPr>
          <w:sz w:val="22"/>
          <w:szCs w:val="22"/>
        </w:rPr>
      </w:pPr>
      <w:r>
        <w:rPr>
          <w:sz w:val="22"/>
          <w:szCs w:val="22"/>
        </w:rPr>
        <w:t xml:space="preserve">Сегодня общеэкономические показатели статистической отчетности страны показывают минимальный рост на фоне отрицательных данных по инфляции, снижения жилищного строительства, перевозок, роста корпоративных и ипотечных долгов. </w:t>
      </w:r>
      <w:r>
        <w:rPr>
          <w:sz w:val="22"/>
          <w:szCs w:val="22"/>
        </w:rPr>
        <w:t xml:space="preserve">Вместе с тем, учитывая огромное давление и препятствия российской экономике, чинимые Западом, рост в нашей стране промышленного и сельскохозяйственного производства, объемов строительства, рост золотовалютных резервов, рост торговли, общественного питания </w:t>
      </w:r>
      <w:r>
        <w:rPr>
          <w:sz w:val="22"/>
          <w:szCs w:val="22"/>
        </w:rPr>
        <w:t xml:space="preserve">и платных услуг прямо и косвенно говорят о стабильности и прочности экономики страны в целом. При сравнительной оценке состояния российской экономики и других стран необходимо учитывать риски, связанные с надвигающимися негативными тенденциями мировой экон</w:t>
      </w:r>
      <w:r>
        <w:rPr>
          <w:sz w:val="22"/>
          <w:szCs w:val="22"/>
        </w:rPr>
        <w:t xml:space="preserve">омики и геополитики: огромные госдолги и дефицит природных ресурсов США, стран ЕС, Японии, Великобритании (и их постоянный рост), нарастающий кризис доверия долларовой системе расчетов и накоплений (а с ней - и кризис европейской финансовой системы), наруш</w:t>
      </w:r>
      <w:r>
        <w:rPr>
          <w:sz w:val="22"/>
          <w:szCs w:val="22"/>
        </w:rPr>
        <w:t xml:space="preserve">ение и изменение мировых логистических связей и грузопотоков, а также рост связанных с этим внутренних и внешних противоречий и конфликтов. Ключевые из них: Ближний Восток, Украина, Карибский бассейн, Тайвань, страны западной и центральной Африки. Сегодня </w:t>
      </w:r>
      <w:r>
        <w:rPr>
          <w:sz w:val="22"/>
          <w:szCs w:val="22"/>
        </w:rPr>
        <w:t xml:space="preserve">можно констатировать, что военный конфликт на Украине между Западом и Россией, вызванный организованным США в 2014 году госпереворотом в Киеве, неуклонно движется к положительному для России исходу, что приведет к возобновлению экономического роста России.</w:t>
      </w:r>
      <w:r>
        <w:rPr>
          <w:sz w:val="22"/>
          <w:szCs w:val="22"/>
        </w:rPr>
      </w:r>
      <w:r>
        <w:rPr>
          <w:sz w:val="22"/>
          <w:szCs w:val="22"/>
        </w:rPr>
      </w:r>
    </w:p>
    <w:p>
      <w:pPr>
        <w:pStyle w:val="1038"/>
        <w:pBdr/>
        <w:spacing w:after="0" w:before="0"/>
        <w:ind w:right="0" w:firstLine="709"/>
        <w:contextualSpacing w:val="true"/>
        <w:jc w:val="both"/>
        <w:rPr>
          <w:sz w:val="22"/>
          <w:szCs w:val="22"/>
        </w:rPr>
      </w:pPr>
      <w:r>
        <w:rPr>
          <w:sz w:val="22"/>
          <w:szCs w:val="22"/>
        </w:rPr>
        <w:t xml:space="preserve">Для решения текущих задач экономики российское государство вынуждено принимать меры по переориентации рынков сбыта и постав</w:t>
      </w:r>
      <w:r>
        <w:rPr>
          <w:sz w:val="22"/>
          <w:szCs w:val="22"/>
        </w:rPr>
        <w:t xml:space="preserve">ок от стран Запада к странам Азии, Африки и Латинской Америки, по развитию отечественного производства и внутренних рынков, по изменению всей отраслевой структуры экономики. В поддержку экономической стабильности Правительство России реализует комплексные </w:t>
      </w:r>
      <w:hyperlink r:id="rId23" w:tooltip="http://government.ru/rugovclassifier/section/2649/" w:history="1">
        <w:r>
          <w:rPr>
            <w:rStyle w:val="1089"/>
            <w:sz w:val="22"/>
            <w:szCs w:val="22"/>
          </w:rPr>
          <w:t xml:space="preserve">федеральные программ</w:t>
        </w:r>
      </w:hyperlink>
      <w:r>
        <w:rPr>
          <w:color w:val="2a6099"/>
          <w:sz w:val="22"/>
          <w:szCs w:val="22"/>
          <w:u w:val="single"/>
        </w:rPr>
        <w:t xml:space="preserve">ы</w:t>
      </w:r>
      <w:r>
        <w:rPr>
          <w:sz w:val="22"/>
          <w:szCs w:val="22"/>
        </w:rPr>
        <w:t xml:space="preserve"> развития перспективных направлений экономики, инфраструктурные проекты, принимает адресные меры финансовой поддержки населения с низкими доходами, а также - отдельных ключевых производственных пре</w:t>
      </w:r>
      <w:r>
        <w:rPr>
          <w:sz w:val="22"/>
          <w:szCs w:val="22"/>
        </w:rPr>
        <w:t xml:space="preserve">дприятий. Такие усилия требуют определенных финансовых, материальных издержек и трудовых затрат, но, с другой стороны, повышают устойчивость нашей экономики в условиях внешнеполитической нестабильности, в условиях изменяющейся структуры мировой экономики. </w:t>
      </w:r>
      <w:r>
        <w:rPr>
          <w:sz w:val="22"/>
          <w:szCs w:val="22"/>
        </w:rPr>
      </w:r>
      <w:r>
        <w:rPr>
          <w:sz w:val="22"/>
          <w:szCs w:val="22"/>
        </w:rPr>
      </w:r>
    </w:p>
    <w:p>
      <w:pPr>
        <w:pStyle w:val="1038"/>
        <w:pBdr/>
        <w:spacing/>
        <w:ind w:right="0" w:left="284"/>
        <w:rPr>
          <w:i/>
        </w:rPr>
      </w:pPr>
      <w:r>
        <w:rPr>
          <w:i/>
        </w:rPr>
        <w:t xml:space="preserve">Источники: </w:t>
      </w:r>
      <w:r>
        <w:rPr>
          <w:i/>
        </w:rPr>
      </w:r>
      <w:r>
        <w:rPr>
          <w:i/>
        </w:rPr>
      </w:r>
    </w:p>
    <w:p>
      <w:pPr>
        <w:pStyle w:val="1038"/>
        <w:widowControl w:val="false"/>
        <w:pBdr/>
        <w:spacing/>
        <w:ind w:right="0" w:left="141"/>
        <w:rPr>
          <w:i/>
        </w:rPr>
      </w:pPr>
      <w:r>
        <w:rPr>
          <w:i/>
        </w:rPr>
        <w:t xml:space="preserve">1.</w:t>
        <w:tab/>
        <w:t xml:space="preserve">Социально-экономическое положение России https://rosstat.gov.ru/storage/mediabank/osn-11-2025.pdf,  </w:t>
      </w:r>
      <w:r>
        <w:rPr>
          <w:i/>
        </w:rPr>
      </w:r>
      <w:r>
        <w:rPr>
          <w:i/>
        </w:rPr>
      </w:r>
    </w:p>
    <w:p>
      <w:pPr>
        <w:pStyle w:val="1038"/>
        <w:widowControl w:val="false"/>
        <w:pBdr/>
        <w:spacing/>
        <w:ind w:right="0" w:left="141"/>
        <w:rPr>
          <w:i/>
        </w:rPr>
      </w:pPr>
      <w:r>
        <w:rPr>
          <w:i/>
        </w:rPr>
        <w:t xml:space="preserve">2.</w:t>
        <w:tab/>
        <w:t xml:space="preserve">https://cbr.ru/key-indicators/,  http://www.cbr.ru/statistics/macro_itm/svs/,  </w:t>
      </w:r>
      <w:r>
        <w:rPr>
          <w:i/>
        </w:rPr>
      </w:r>
      <w:r>
        <w:rPr>
          <w:i/>
        </w:rPr>
      </w:r>
    </w:p>
    <w:p>
      <w:pPr>
        <w:pStyle w:val="1038"/>
        <w:widowControl w:val="false"/>
        <w:pBdr/>
        <w:spacing/>
        <w:ind w:right="0" w:left="141"/>
        <w:rPr>
          <w:i/>
        </w:rPr>
      </w:pPr>
      <w:r>
        <w:rPr>
          <w:i/>
        </w:rPr>
        <w:t xml:space="preserve">3.</w:t>
        <w:tab/>
        <w:t xml:space="preserve">https://cbr.ru/collection/collection/file/54999/bbs2412r.pdf, </w:t>
      </w:r>
      <w:r>
        <w:rPr>
          <w:i/>
        </w:rPr>
      </w:r>
      <w:r>
        <w:rPr>
          <w:i/>
        </w:rPr>
      </w:r>
    </w:p>
    <w:p>
      <w:pPr>
        <w:pStyle w:val="1038"/>
        <w:widowControl w:val="false"/>
        <w:pBdr/>
        <w:spacing/>
        <w:ind w:right="0" w:left="141"/>
        <w:rPr>
          <w:i/>
        </w:rPr>
      </w:pPr>
      <w:r>
        <w:rPr>
          <w:i/>
        </w:rPr>
        <w:t xml:space="preserve">4.</w:t>
        <w:tab/>
        <w:t xml:space="preserve">https://rosreestr.gov.ru/open-service/statistika-i-analitika/statisticheskaya-otchetnost/, </w:t>
      </w:r>
      <w:r>
        <w:rPr>
          <w:i/>
        </w:rPr>
      </w:r>
      <w:r>
        <w:rPr>
          <w:i/>
        </w:rPr>
      </w:r>
    </w:p>
    <w:p>
      <w:pPr>
        <w:pStyle w:val="1038"/>
        <w:widowControl w:val="false"/>
        <w:pBdr/>
        <w:spacing/>
        <w:ind w:right="0" w:left="141"/>
        <w:rPr>
          <w:i/>
        </w:rPr>
      </w:pPr>
      <w:r>
        <w:rPr>
          <w:i/>
        </w:rPr>
        <w:t xml:space="preserve">5.</w:t>
        <w:tab/>
        <w:t xml:space="preserve">https://ria.ru/20240110/gosdolg-1920410931.html?in=l, </w:t>
      </w:r>
      <w:r>
        <w:rPr>
          <w:i/>
        </w:rPr>
      </w:r>
      <w:r>
        <w:rPr>
          <w:i/>
        </w:rPr>
      </w:r>
    </w:p>
    <w:p>
      <w:pPr>
        <w:pStyle w:val="1038"/>
        <w:widowControl w:val="false"/>
        <w:pBdr/>
        <w:spacing/>
        <w:ind w:right="0" w:left="141"/>
        <w:rPr>
          <w:i/>
        </w:rPr>
      </w:pPr>
      <w:r>
        <w:rPr>
          <w:i/>
        </w:rPr>
        <w:t xml:space="preserve">6.</w:t>
        <w:tab/>
        <w:t xml:space="preserve">https://glazev.ru/razorvat-porochnyy-krug-kakimi-dolzhny-byt-prioritety-makrojekonomicheskoy-politiki-gosudarstva/. </w:t>
      </w:r>
      <w:r>
        <w:rPr>
          <w:i/>
        </w:rPr>
      </w:r>
      <w:r>
        <w:rPr>
          <w:i/>
        </w:rPr>
      </w:r>
    </w:p>
    <w:p>
      <w:pPr>
        <w:pStyle w:val="1038"/>
        <w:widowControl w:val="false"/>
        <w:pBdr/>
        <w:spacing/>
        <w:ind w:right="0" w:left="141"/>
        <w:rPr>
          <w:i/>
        </w:rPr>
      </w:pPr>
      <w:r>
        <w:rPr>
          <w:i/>
        </w:rPr>
        <w:t xml:space="preserve">Анализ подготовлен специалистами СтатРиелт и основан на последних официальных данных по состоянию на 26.01.2026 года.</w:t>
      </w:r>
      <w:r>
        <w:rPr>
          <w:i/>
        </w:rPr>
      </w:r>
      <w:r>
        <w:rPr>
          <w:i/>
        </w:rPr>
      </w:r>
    </w:p>
    <w:p>
      <w:pPr>
        <w:pStyle w:val="1038"/>
        <w:widowControl w:val="false"/>
        <w:pBdr/>
        <w:spacing/>
        <w:ind w:right="0" w:left="141"/>
        <w:rPr>
          <w:b/>
          <w:sz w:val="24"/>
          <w:szCs w:val="24"/>
        </w:rPr>
      </w:pPr>
      <w:r>
        <w:rPr>
          <w:b/>
          <w:sz w:val="24"/>
          <w:szCs w:val="24"/>
        </w:rPr>
      </w:r>
      <w:r>
        <w:rPr>
          <w:b/>
          <w:sz w:val="24"/>
          <w:szCs w:val="24"/>
        </w:rPr>
      </w:r>
      <w:r>
        <w:rPr>
          <w:b/>
          <w:sz w:val="24"/>
          <w:szCs w:val="24"/>
        </w:rPr>
      </w:r>
    </w:p>
    <w:p>
      <w:pPr>
        <w:pStyle w:val="1038"/>
        <w:widowControl w:val="false"/>
        <w:pBdr/>
        <w:spacing/>
        <w:ind w:right="0" w:left="141"/>
        <w:jc w:val="center"/>
        <w:rPr>
          <w:b/>
          <w:sz w:val="24"/>
          <w:szCs w:val="24"/>
        </w:rPr>
      </w:pPr>
      <w:r>
        <w:rPr>
          <w:b/>
          <w:sz w:val="24"/>
          <w:szCs w:val="24"/>
        </w:rPr>
        <w:t xml:space="preserve">Анализ рынка объекта оценки</w:t>
      </w:r>
      <w:r>
        <w:rPr>
          <w:b/>
          <w:sz w:val="24"/>
          <w:szCs w:val="24"/>
        </w:rPr>
      </w:r>
      <w:r>
        <w:rPr>
          <w:b/>
          <w:sz w:val="24"/>
          <w:szCs w:val="24"/>
        </w:rPr>
      </w:r>
    </w:p>
    <w:p>
      <w:pPr>
        <w:pStyle w:val="1038"/>
        <w:widowControl w:val="false"/>
        <w:pBdr/>
        <w:spacing/>
        <w:ind w:right="0" w:left="141"/>
        <w:rPr>
          <w:b/>
          <w:sz w:val="24"/>
          <w:szCs w:val="24"/>
        </w:rPr>
      </w:pPr>
      <w:r>
        <w:rPr>
          <w:b/>
          <w:sz w:val="24"/>
          <w:szCs w:val="24"/>
        </w:rPr>
      </w:r>
      <w:r>
        <w:rPr>
          <w:b/>
          <w:sz w:val="24"/>
          <w:szCs w:val="24"/>
        </w:rPr>
      </w:r>
      <w:r>
        <w:rPr>
          <w:b/>
          <w:sz w:val="24"/>
          <w:szCs w:val="24"/>
        </w:rPr>
      </w:r>
    </w:p>
    <w:p>
      <w:pPr>
        <w:pStyle w:val="1038"/>
        <w:widowControl w:val="false"/>
        <w:pBdr/>
        <w:spacing/>
        <w:ind w:right="140"/>
        <w:jc w:val="center"/>
        <w:rPr>
          <w:b/>
          <w:sz w:val="22"/>
          <w:szCs w:val="22"/>
        </w:rPr>
      </w:pPr>
      <w:r>
        <w:rPr>
          <w:b/>
          <w:sz w:val="22"/>
          <w:szCs w:val="22"/>
          <w:highlight w:val="yellow"/>
        </w:rPr>
        <w:t xml:space="preserve">Анализ российского рынка новых легковых автомобилей в марте 2026 года. </w:t>
      </w:r>
      <w:r>
        <w:rPr>
          <w:b/>
          <w:sz w:val="22"/>
          <w:szCs w:val="22"/>
        </w:rPr>
      </w:r>
      <w:r>
        <w:rPr>
          <w:b/>
          <w:sz w:val="22"/>
          <w:szCs w:val="22"/>
        </w:rPr>
      </w:r>
    </w:p>
    <w:p>
      <w:pPr>
        <w:pStyle w:val="1038"/>
        <w:widowControl w:val="false"/>
        <w:pBdr/>
        <w:spacing/>
        <w:ind w:right="140"/>
        <w:jc w:val="center"/>
        <w:rPr>
          <w:b/>
          <w:color w:val="ff0000"/>
          <w:sz w:val="22"/>
          <w:szCs w:val="22"/>
          <w:highlight w:val="yellow"/>
        </w:rPr>
      </w:pPr>
      <w:r>
        <w:rPr>
          <w:b/>
          <w:color w:val="ff0000"/>
          <w:sz w:val="22"/>
          <w:szCs w:val="22"/>
        </w:rPr>
        <w:t xml:space="preserve">(Анализ рынка до даты оценки)</w:t>
      </w:r>
      <w:r>
        <w:rPr>
          <w:b/>
          <w:color w:val="ff0000"/>
          <w:sz w:val="22"/>
          <w:szCs w:val="22"/>
          <w:highlight w:val="yellow"/>
        </w:rPr>
      </w:r>
      <w:r>
        <w:rPr>
          <w:b/>
          <w:color w:val="ff0000"/>
          <w:sz w:val="22"/>
          <w:szCs w:val="22"/>
          <w:highlight w:val="yellow"/>
        </w:rPr>
      </w:r>
    </w:p>
    <w:p>
      <w:pPr>
        <w:pStyle w:val="1038"/>
        <w:widowControl w:val="false"/>
        <w:pBdr/>
        <w:spacing/>
        <w:ind w:right="0" w:firstLine="567"/>
        <w:jc w:val="both"/>
        <w:rPr>
          <w:sz w:val="22"/>
          <w:szCs w:val="22"/>
          <w:highlight w:val="yellow"/>
        </w:rPr>
      </w:pPr>
      <w:r>
        <w:rPr>
          <w:sz w:val="22"/>
          <w:szCs w:val="22"/>
          <w:highlight w:val="yellow"/>
        </w:rPr>
      </w:r>
      <w:r>
        <w:rPr>
          <w:sz w:val="22"/>
          <w:szCs w:val="22"/>
          <w:highlight w:val="yellow"/>
        </w:rPr>
      </w:r>
      <w:r>
        <w:rPr>
          <w:sz w:val="22"/>
          <w:szCs w:val="22"/>
          <w:highlight w:val="yellow"/>
        </w:rPr>
      </w:r>
    </w:p>
    <w:p>
      <w:pPr>
        <w:pStyle w:val="1038"/>
        <w:widowControl w:val="false"/>
        <w:pBdr/>
        <w:spacing/>
        <w:ind w:right="0" w:firstLine="709"/>
        <w:jc w:val="both"/>
        <w:rPr>
          <w:sz w:val="22"/>
          <w:szCs w:val="22"/>
          <w:highlight w:val="yellow"/>
        </w:rPr>
      </w:pPr>
      <w:r>
        <w:rPr>
          <w:sz w:val="22"/>
          <w:szCs w:val="22"/>
          <w:highlight w:val="yellow"/>
        </w:rPr>
        <w:t xml:space="preserve">За первый весенний месяц нынешнего года в нашей стране было реализовано 104 278 новых легковых машин, что на 30,6% больше, чем в марте 2025-го. Об этом сообщают эк</w:t>
      </w:r>
      <w:r>
        <w:rPr>
          <w:sz w:val="22"/>
          <w:szCs w:val="22"/>
          <w:highlight w:val="yellow"/>
        </w:rPr>
        <w:t xml:space="preserve">сперты агентства «АВТОСТАТ» со ссылкой на данные АО «ППК»* и с учетом собственной сегментации. На российском рынке по-прежнему доминирует отечественная марка LADA**, на долю которой в начале весны пришлось порядка четверти (24,12%). В количественном выраже</w:t>
      </w:r>
      <w:r>
        <w:rPr>
          <w:sz w:val="22"/>
          <w:szCs w:val="22"/>
          <w:highlight w:val="yellow"/>
        </w:rPr>
        <w:t xml:space="preserve">нии это составляет 25 153 проданных экземпляра, что всего лишь на 0,1% ниже уровня годичной давности. Лидерство среди иномарок принадлежит китайскому бренду Haval, автомобили которого в марте разошлись тиражом в 14 757 единиц. На третьей строчке находится </w:t>
      </w:r>
      <w:r>
        <w:rPr>
          <w:sz w:val="22"/>
          <w:szCs w:val="22"/>
          <w:highlight w:val="yellow"/>
        </w:rPr>
        <w:t xml:space="preserve">российский TENET (10 288 шт.), за которым расположились китайский Geely и белорусский Belgee (6 346 и 5 184 шт. соответственно). Кроме них, в ТОП-10 марок также вошли китайский Changan (3 393 шт.), японская Toyota (2 821 шт.), китайские Jetour (2 593 шт.) </w:t>
      </w:r>
      <w:r>
        <w:rPr>
          <w:sz w:val="22"/>
          <w:szCs w:val="22"/>
          <w:highlight w:val="yellow"/>
        </w:rPr>
        <w:t xml:space="preserve">и JAECOO (2 417 шт.), российский Solaris (2 131 шт.). При этом наряду с LADA** снижение в марте демонстрирует еще и Changan (-10,4%). А вот наибольший рост показывает Toyota (в 2,5 раза). По итогам первого квартала 2026 года в нашей стране было продано 264</w:t>
      </w:r>
      <w:r>
        <w:rPr>
          <w:sz w:val="22"/>
          <w:szCs w:val="22"/>
          <w:highlight w:val="yellow"/>
        </w:rPr>
        <w:t xml:space="preserve"> 909 новых легковых автомобилей – на 7,3% больше, чем за три месяца прошлого года. Здесь лучше всех прибавила та же Toyota (в 2,1 раза). «В минусе» оказались только четыре бренда, а именно: Geely (-4,4%), JAECOO (-5,2%), LADA** (-17,4%) и Changan (-40,7%).</w:t>
      </w:r>
      <w:r>
        <w:rPr>
          <w:sz w:val="22"/>
          <w:szCs w:val="22"/>
          <w:highlight w:val="yellow"/>
        </w:rPr>
      </w:r>
      <w:r>
        <w:rPr>
          <w:sz w:val="22"/>
          <w:szCs w:val="22"/>
          <w:highlight w:val="yellow"/>
        </w:rPr>
      </w:r>
    </w:p>
    <w:p>
      <w:pPr>
        <w:pStyle w:val="1038"/>
        <w:widowControl w:val="false"/>
        <w:pBdr/>
        <w:tabs>
          <w:tab w:val="left" w:leader="none" w:pos="0"/>
          <w:tab w:val="clear" w:leader="none" w:pos="709"/>
        </w:tabs>
        <w:spacing/>
        <w:ind w:right="140" w:firstLine="567" w:left="-426"/>
        <w:jc w:val="both"/>
        <w:rPr>
          <w:sz w:val="22"/>
          <w:highlight w:val="yellow"/>
        </w:rPr>
      </w:pPr>
      <w:r>
        <w:rPr>
          <w:sz w:val="22"/>
          <w:highlight w:val="yellow"/>
        </w:rPr>
      </w:r>
      <w:r>
        <w:rPr>
          <w:sz w:val="22"/>
          <w:highlight w:val="yellow"/>
        </w:rPr>
      </w:r>
      <w:r>
        <w:rPr>
          <w:sz w:val="22"/>
          <w:highlight w:val="yellow"/>
        </w:rPr>
      </w:r>
    </w:p>
    <w:p>
      <w:pPr>
        <w:pStyle w:val="1038"/>
        <w:widowControl w:val="false"/>
        <w:pBdr/>
        <w:spacing/>
        <w:ind/>
        <w:jc w:val="both"/>
        <w:rPr>
          <w:sz w:val="22"/>
          <w:highlight w:val="yellow"/>
        </w:rPr>
      </w:pPr>
      <w:r>
        <mc:AlternateContent>
          <mc:Choice Requires="wpg">
            <w:drawing>
              <wp:inline xmlns:wp="http://schemas.openxmlformats.org/drawingml/2006/wordprocessingDrawing" distT="0" distB="0" distL="0" distR="0">
                <wp:extent cx="6279515" cy="236664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r/>
                      </pic:nvPicPr>
                      <pic:blipFill>
                        <a:blip r:embed="rId24"/>
                        <a:srcRect l="-11" t="-30" r="-10" b="-30"/>
                        <a:stretch/>
                      </pic:blipFill>
                      <pic:spPr bwMode="auto">
                        <a:xfrm>
                          <a:off x="0" y="0"/>
                          <a:ext cx="6279514" cy="23666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4.45pt;height:186.35pt;mso-wrap-distance-left:0.00pt;mso-wrap-distance-top:0.00pt;mso-wrap-distance-right:0.00pt;mso-wrap-distance-bottom:0.00pt;z-index:1;" stroked="false">
                <v:imagedata r:id="rId24" o:title="" croptop="-19f" cropleft="-6f" cropbottom="-19f" cropright="-6f"/>
                <o:lock v:ext="edit" rotation="t"/>
              </v:shape>
            </w:pict>
          </mc:Fallback>
        </mc:AlternateContent>
      </w:r>
      <w:r>
        <w:rPr>
          <w:sz w:val="22"/>
          <w:highlight w:val="yellow"/>
        </w:rPr>
      </w:r>
      <w:r>
        <w:rPr>
          <w:sz w:val="22"/>
          <w:highlight w:val="yellow"/>
        </w:rPr>
      </w:r>
    </w:p>
    <w:p>
      <w:pPr>
        <w:pStyle w:val="1038"/>
        <w:widowControl w:val="false"/>
        <w:pBdr/>
        <w:tabs>
          <w:tab w:val="left" w:leader="none" w:pos="0"/>
          <w:tab w:val="clear" w:leader="none" w:pos="709"/>
        </w:tabs>
        <w:spacing/>
        <w:ind w:right="140" w:firstLine="567" w:left="-426"/>
        <w:jc w:val="both"/>
        <w:rPr>
          <w:sz w:val="22"/>
          <w:highlight w:val="yellow"/>
        </w:rPr>
      </w:pPr>
      <w:r>
        <w:rPr>
          <w:sz w:val="22"/>
          <w:highlight w:val="yellow"/>
        </w:rPr>
      </w:r>
      <w:r>
        <w:rPr>
          <w:sz w:val="22"/>
          <w:highlight w:val="yellow"/>
        </w:rPr>
      </w:r>
      <w:r>
        <w:rPr>
          <w:sz w:val="22"/>
          <w:highlight w:val="yellow"/>
        </w:rPr>
      </w:r>
    </w:p>
    <w:p>
      <w:pPr>
        <w:pStyle w:val="1038"/>
        <w:widowControl w:val="false"/>
        <w:pBdr/>
        <w:spacing/>
        <w:ind w:right="0" w:firstLine="709"/>
        <w:jc w:val="both"/>
        <w:rPr>
          <w:sz w:val="22"/>
          <w:szCs w:val="22"/>
          <w:highlight w:val="yellow"/>
        </w:rPr>
      </w:pPr>
      <w:r>
        <w:rPr>
          <w:sz w:val="22"/>
          <w:szCs w:val="22"/>
          <w:highlight w:val="yellow"/>
        </w:rPr>
        <w:t xml:space="preserve">В модельном рейтинге по-прежнему первенствуют автомобили семейства LADA Granta (в т.ч. произведенные на его базе), которые в марте были реализованы в количестве 9 861 единицы. Звание самой популярной модели сегмента SUV вернул себе кроссов</w:t>
      </w:r>
      <w:r>
        <w:rPr>
          <w:sz w:val="22"/>
          <w:szCs w:val="22"/>
          <w:highlight w:val="yellow"/>
        </w:rPr>
        <w:t xml:space="preserve">ер Haval Jolion, который в начале весны разошелся тиражом в 5 547 экземпляров. Февральский обладатель этого титула – кроссовер TENET T7 – опустился на ступеньку ниже. По итогам марта его продажи составили 5 480 штук. Далее следуют две модели LADA – семейст</w:t>
      </w:r>
      <w:r>
        <w:rPr>
          <w:sz w:val="22"/>
          <w:szCs w:val="22"/>
          <w:highlight w:val="yellow"/>
        </w:rPr>
        <w:t xml:space="preserve">во Vesta и внедорожник LADA Niva Travel (4 274 и 3 987 шт. соответственно). Помимо них, в ТОП-10 вошли кроссовер TENET T4 (3 840 шт.), кроссовер Haval M6 (3 414 шт.), внедорожник LADA Niva Legend** (2 924 шт.), кроссовер Belgee X50 (2 780 шт.) и кроссовер </w:t>
      </w:r>
      <w:r>
        <w:rPr>
          <w:sz w:val="22"/>
          <w:szCs w:val="22"/>
          <w:highlight w:val="yellow"/>
        </w:rPr>
        <w:t xml:space="preserve">Geely Monjaro (2 631 шт.). Лишь две модели в марте имеют отрицательную динамику – вазовские «Гранта»** (-7,8%) и «Веста» (-40,5%). Кроме TENET T7, остальные демонстрируют двузначный рост. А сильнее всех выросли объемы реализации у Belgee X50 – почти вдвое.</w:t>
      </w:r>
      <w:r>
        <w:rPr>
          <w:sz w:val="22"/>
          <w:szCs w:val="22"/>
          <w:highlight w:val="yellow"/>
        </w:rPr>
      </w:r>
      <w:r>
        <w:rPr>
          <w:sz w:val="22"/>
          <w:szCs w:val="22"/>
          <w:highlight w:val="yellow"/>
        </w:rPr>
      </w:r>
    </w:p>
    <w:p>
      <w:pPr>
        <w:pStyle w:val="1038"/>
        <w:widowControl w:val="false"/>
        <w:pBdr/>
        <w:spacing/>
        <w:ind w:right="0" w:firstLine="709"/>
        <w:jc w:val="both"/>
        <w:rPr>
          <w:sz w:val="22"/>
          <w:szCs w:val="22"/>
          <w:highlight w:val="yellow"/>
        </w:rPr>
      </w:pPr>
      <w:r>
        <w:rPr>
          <w:sz w:val="22"/>
          <w:szCs w:val="22"/>
          <w:highlight w:val="yellow"/>
        </w:rPr>
      </w:r>
      <w:r>
        <w:rPr>
          <w:sz w:val="22"/>
          <w:szCs w:val="22"/>
          <w:highlight w:val="yellow"/>
        </w:rPr>
      </w:r>
      <w:r>
        <w:rPr>
          <w:sz w:val="22"/>
          <w:szCs w:val="22"/>
          <w:highlight w:val="yellow"/>
        </w:rPr>
      </w:r>
    </w:p>
    <w:p>
      <w:pPr>
        <w:pStyle w:val="1038"/>
        <w:widowControl w:val="false"/>
        <w:pBdr/>
        <w:spacing/>
        <w:ind/>
        <w:jc w:val="both"/>
        <w:rPr>
          <w:sz w:val="22"/>
          <w:highlight w:val="yellow"/>
        </w:rPr>
      </w:pPr>
      <w:r>
        <mc:AlternateContent>
          <mc:Choice Requires="wpg">
            <w:drawing>
              <wp:inline xmlns:wp="http://schemas.openxmlformats.org/drawingml/2006/wordprocessingDrawing" distT="0" distB="0" distL="0" distR="0">
                <wp:extent cx="6325870" cy="2082800"/>
                <wp:effectExtent l="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r/>
                      </pic:nvPicPr>
                      <pic:blipFill>
                        <a:blip r:embed="rId25"/>
                        <a:srcRect l="-11" t="-31" r="-10" b="-31"/>
                        <a:stretch/>
                      </pic:blipFill>
                      <pic:spPr bwMode="auto">
                        <a:xfrm>
                          <a:off x="0" y="0"/>
                          <a:ext cx="6325870" cy="2082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10pt;height:164.00pt;mso-wrap-distance-left:0.00pt;mso-wrap-distance-top:0.00pt;mso-wrap-distance-right:0.00pt;mso-wrap-distance-bottom:0.00pt;z-index:1;" stroked="false">
                <v:imagedata r:id="rId25" o:title="" croptop="-19f" cropleft="-6f" cropbottom="-19f" cropright="-6f"/>
                <o:lock v:ext="edit" rotation="t"/>
              </v:shape>
            </w:pict>
          </mc:Fallback>
        </mc:AlternateContent>
      </w:r>
      <w:r>
        <w:rPr>
          <w:sz w:val="22"/>
          <w:highlight w:val="yellow"/>
        </w:rPr>
      </w:r>
      <w:r>
        <w:rPr>
          <w:sz w:val="22"/>
          <w:highlight w:val="yellow"/>
        </w:rPr>
      </w:r>
    </w:p>
    <w:p>
      <w:pPr>
        <w:pStyle w:val="1038"/>
        <w:widowControl w:val="false"/>
        <w:pBdr/>
        <w:spacing/>
        <w:ind/>
        <w:jc w:val="center"/>
        <w:rPr>
          <w:i/>
          <w:highlight w:val="yellow"/>
          <w:lang w:val="en-US" w:eastAsia="en-US"/>
        </w:rPr>
      </w:pPr>
      <w:r>
        <w:rPr>
          <w:i/>
          <w:highlight w:val="yellow"/>
          <w:lang w:val="en-US" w:eastAsia="en-US"/>
        </w:rPr>
      </w:r>
      <w:r>
        <w:rPr>
          <w:i/>
          <w:highlight w:val="yellow"/>
          <w:lang w:val="en-US" w:eastAsia="en-US"/>
        </w:rPr>
      </w:r>
      <w:r>
        <w:rPr>
          <w:i/>
          <w:highlight w:val="yellow"/>
          <w:lang w:val="en-US" w:eastAsia="en-US"/>
        </w:rPr>
      </w:r>
    </w:p>
    <w:p>
      <w:pPr>
        <w:pStyle w:val="1038"/>
        <w:widowControl w:val="false"/>
        <w:pBdr/>
        <w:spacing/>
        <w:ind w:right="0" w:firstLine="709"/>
        <w:jc w:val="both"/>
        <w:rPr>
          <w:bCs/>
          <w:sz w:val="22"/>
          <w:szCs w:val="22"/>
          <w:highlight w:val="yellow"/>
        </w:rPr>
      </w:pPr>
      <w:r>
        <w:rPr>
          <w:bCs/>
          <w:sz w:val="22"/>
          <w:szCs w:val="22"/>
          <w:highlight w:val="yellow"/>
        </w:rPr>
        <w:t xml:space="preserve">Если </w:t>
      </w:r>
      <w:r>
        <w:rPr>
          <w:sz w:val="22"/>
          <w:szCs w:val="22"/>
          <w:highlight w:val="yellow"/>
        </w:rPr>
        <w:t xml:space="preserve">смотреть динамику за первый квартал, то наилучшей она снова оказывается у Belgee X50 (рост в 2,2 раза). А снижение продаж наблюдается у трех моделей – тут компанию все тем же LADA Granta** (-21,8%) и LADA Vesta (-55,7%</w:t>
      </w:r>
      <w:r>
        <w:rPr>
          <w:sz w:val="22"/>
          <w:szCs w:val="22"/>
          <w:highlight w:val="yellow"/>
        </w:rPr>
        <w:t xml:space="preserve">) составил Geely Monjaro (-6,6%). «Столь высокий рост рынка новых автомобилей в марте так и хочется связать с ранней весной, однако все более прозаично. Отложенный спрос вкупе со снижением ставок по вкладам, выходом большого количества новинок на рынок и п</w:t>
      </w:r>
      <w:r>
        <w:rPr>
          <w:sz w:val="22"/>
          <w:szCs w:val="22"/>
          <w:highlight w:val="yellow"/>
        </w:rPr>
        <w:t xml:space="preserve">ривлекательных программ рассрочки от производителей, несомненно, способствовали росту продаж. Еще один немаловажный фактор – это конец квартала, когда дилеры по традиции стараются выполнить планы по продажам для получения бонусов от производителей. Отдельн</w:t>
      </w:r>
      <w:r>
        <w:rPr>
          <w:sz w:val="22"/>
          <w:szCs w:val="22"/>
          <w:highlight w:val="yellow"/>
        </w:rPr>
        <w:t xml:space="preserve">о хотелось бы отметить, что наряду с массовыми марками довольно существенно в начале весны выросла реализация автомобилей премиум-брендов, таких как BMW, Mercedes-Benz, Audi», - объясняет заместитель начальника отдела аналитики агентства «АВТОСТАТ» Дмитрий</w:t>
      </w:r>
      <w:r>
        <w:rPr>
          <w:bCs/>
          <w:sz w:val="22"/>
          <w:szCs w:val="22"/>
          <w:highlight w:val="yellow"/>
        </w:rPr>
        <w:t xml:space="preserve"> Ярыгин.</w:t>
      </w:r>
      <w:r>
        <w:rPr>
          <w:bCs/>
          <w:sz w:val="22"/>
          <w:szCs w:val="22"/>
          <w:highlight w:val="yellow"/>
        </w:rPr>
      </w:r>
      <w:r>
        <w:rPr>
          <w:bCs/>
          <w:sz w:val="22"/>
          <w:szCs w:val="22"/>
          <w:highlight w:val="yellow"/>
        </w:rPr>
      </w:r>
    </w:p>
    <w:p>
      <w:pPr>
        <w:pStyle w:val="1038"/>
        <w:widowControl w:val="false"/>
        <w:pBdr/>
        <w:tabs>
          <w:tab w:val="left" w:leader="none" w:pos="0"/>
          <w:tab w:val="clear" w:leader="none" w:pos="709"/>
        </w:tabs>
        <w:spacing/>
        <w:ind w:right="140" w:firstLine="567" w:left="-426"/>
        <w:jc w:val="center"/>
        <w:rPr>
          <w:i/>
          <w:lang w:val="en-US" w:eastAsia="en-US"/>
        </w:rPr>
      </w:pPr>
      <w:r>
        <w:rPr>
          <w:i/>
          <w:highlight w:val="yellow"/>
          <w:lang w:val="en-US" w:eastAsia="en-US"/>
        </w:rPr>
        <w:t xml:space="preserve">Источник: https://www.autostat.ru/press-releases/62108/ © Автостат.</w:t>
      </w:r>
      <w:r>
        <w:rPr>
          <w:i/>
          <w:lang w:val="en-US" w:eastAsia="en-US"/>
        </w:rPr>
      </w:r>
      <w:r>
        <w:rPr>
          <w:i/>
          <w:lang w:val="en-US" w:eastAsia="en-US"/>
        </w:rPr>
      </w:r>
    </w:p>
    <w:p>
      <w:pPr>
        <w:pStyle w:val="1038"/>
        <w:widowControl w:val="false"/>
        <w:pBdr/>
        <w:spacing/>
        <w:ind w:right="140" w:firstLine="142"/>
        <w:jc w:val="center"/>
        <w:rPr>
          <w:b/>
          <w:sz w:val="22"/>
          <w:szCs w:val="22"/>
        </w:rPr>
      </w:pPr>
      <w:r>
        <w:rPr>
          <w:b/>
          <w:sz w:val="22"/>
          <w:szCs w:val="22"/>
        </w:rPr>
      </w:r>
      <w:r>
        <w:rPr>
          <w:b/>
          <w:sz w:val="22"/>
          <w:szCs w:val="22"/>
        </w:rPr>
      </w:r>
      <w:r>
        <w:rPr>
          <w:b/>
          <w:sz w:val="22"/>
          <w:szCs w:val="22"/>
        </w:rPr>
      </w:r>
    </w:p>
    <w:p>
      <w:pPr>
        <w:pStyle w:val="1038"/>
        <w:widowControl w:val="false"/>
        <w:pBdr/>
        <w:spacing/>
        <w:ind w:right="140" w:firstLine="142"/>
        <w:jc w:val="center"/>
        <w:rPr>
          <w:b/>
          <w:sz w:val="22"/>
          <w:szCs w:val="22"/>
          <w:highlight w:val="yellow"/>
        </w:rPr>
      </w:pPr>
      <w:r>
        <w:rPr>
          <w:b/>
          <w:sz w:val="22"/>
          <w:szCs w:val="22"/>
          <w:highlight w:val="yellow"/>
        </w:rPr>
        <w:t xml:space="preserve">Анализ российского рынка легковых автомобилей с пробегом в марте 2026 года.</w:t>
      </w:r>
      <w:r>
        <w:rPr>
          <w:b/>
          <w:sz w:val="22"/>
          <w:szCs w:val="22"/>
          <w:highlight w:val="yellow"/>
        </w:rPr>
      </w:r>
      <w:r>
        <w:rPr>
          <w:b/>
          <w:sz w:val="22"/>
          <w:szCs w:val="22"/>
          <w:highlight w:val="yellow"/>
        </w:rPr>
      </w:r>
    </w:p>
    <w:p>
      <w:pPr>
        <w:pStyle w:val="1038"/>
        <w:widowControl w:val="false"/>
        <w:pBdr/>
        <w:spacing/>
        <w:ind w:right="0" w:firstLine="709"/>
        <w:jc w:val="both"/>
        <w:rPr>
          <w:sz w:val="22"/>
          <w:szCs w:val="22"/>
          <w:highlight w:val="yellow"/>
        </w:rPr>
      </w:pPr>
      <w:r>
        <w:rPr>
          <w:sz w:val="22"/>
          <w:szCs w:val="22"/>
          <w:highlight w:val="yellow"/>
        </w:rPr>
      </w:r>
      <w:r>
        <w:rPr>
          <w:sz w:val="22"/>
          <w:szCs w:val="22"/>
          <w:highlight w:val="yellow"/>
        </w:rPr>
      </w:r>
      <w:r>
        <w:rPr>
          <w:sz w:val="22"/>
          <w:szCs w:val="22"/>
          <w:highlight w:val="yellow"/>
        </w:rPr>
      </w:r>
    </w:p>
    <w:p>
      <w:pPr>
        <w:pStyle w:val="1038"/>
        <w:widowControl w:val="false"/>
        <w:pBdr/>
        <w:spacing/>
        <w:ind w:right="0" w:firstLine="709"/>
        <w:jc w:val="both"/>
        <w:rPr>
          <w:sz w:val="22"/>
          <w:szCs w:val="22"/>
          <w:highlight w:val="yellow"/>
        </w:rPr>
      </w:pPr>
      <w:r>
        <w:rPr>
          <w:sz w:val="22"/>
          <w:szCs w:val="22"/>
          <w:highlight w:val="yellow"/>
        </w:rPr>
        <w:t xml:space="preserve">Продажи легковых авто с пробегом в России в первом квартале 2026 года выросли на 6%. За январь—март было продано 1,34 млн машин.</w:t>
      </w:r>
      <w:r>
        <w:rPr>
          <w:sz w:val="22"/>
          <w:szCs w:val="22"/>
          <w:highlight w:val="yellow"/>
        </w:rPr>
      </w:r>
      <w:r>
        <w:rPr>
          <w:sz w:val="22"/>
          <w:szCs w:val="22"/>
          <w:highlight w:val="yellow"/>
        </w:rPr>
      </w:r>
    </w:p>
    <w:p>
      <w:pPr>
        <w:pStyle w:val="1038"/>
        <w:widowControl w:val="false"/>
        <w:pBdr/>
        <w:spacing/>
        <w:ind w:right="0" w:firstLine="709"/>
        <w:jc w:val="both"/>
        <w:rPr>
          <w:sz w:val="22"/>
          <w:szCs w:val="22"/>
          <w:highlight w:val="yellow"/>
        </w:rPr>
      </w:pPr>
      <w:r>
        <w:rPr>
          <w:sz w:val="22"/>
          <w:szCs w:val="22"/>
          <w:highlight w:val="yellow"/>
        </w:rPr>
        <w:t xml:space="preserve">Продажи легковых автомобилей с пробегом в России в первом квартале 2026 года выросли на 6% год к году. За январь—март было продано 1,34 млн машин. Это стало рекордным показателем с 2014 года (тогда в первом квартале было продано 1,307 млн автомобилей).</w:t>
      </w:r>
      <w:r>
        <w:rPr>
          <w:sz w:val="22"/>
          <w:szCs w:val="22"/>
          <w:highlight w:val="yellow"/>
        </w:rPr>
      </w:r>
      <w:r>
        <w:rPr>
          <w:sz w:val="22"/>
          <w:szCs w:val="22"/>
          <w:highlight w:val="yellow"/>
        </w:rPr>
      </w:r>
    </w:p>
    <w:p>
      <w:pPr>
        <w:pStyle w:val="1038"/>
        <w:widowControl w:val="false"/>
        <w:pBdr/>
        <w:spacing/>
        <w:ind w:right="0" w:firstLine="709"/>
        <w:jc w:val="both"/>
        <w:rPr>
          <w:sz w:val="22"/>
          <w:szCs w:val="22"/>
          <w:highlight w:val="yellow"/>
        </w:rPr>
      </w:pPr>
      <w:r>
        <w:rPr>
          <w:sz w:val="22"/>
          <w:szCs w:val="22"/>
          <w:highlight w:val="yellow"/>
        </w:rPr>
        <w:t xml:space="preserve">Кр</w:t>
      </w:r>
      <w:r>
        <w:rPr>
          <w:sz w:val="22"/>
          <w:szCs w:val="22"/>
          <w:highlight w:val="yellow"/>
        </w:rPr>
        <w:t xml:space="preserve">оме того, выросла и средняя стоимость подержанного авто: в марте она достигла 1,21 млн рублей, что на 7% выше уровня прошлого года. 70% самых востребованных моделей стоят до одного млн рублей, еще 16% приходятся на диапазон от одного млн до 1,5 млн рублей.</w:t>
      </w:r>
      <w:r>
        <w:rPr>
          <w:sz w:val="22"/>
          <w:szCs w:val="22"/>
          <w:highlight w:val="yellow"/>
        </w:rPr>
      </w:r>
      <w:r>
        <w:rPr>
          <w:sz w:val="22"/>
          <w:szCs w:val="22"/>
          <w:highlight w:val="yellow"/>
        </w:rPr>
      </w:r>
    </w:p>
    <w:p>
      <w:pPr>
        <w:pStyle w:val="1038"/>
        <w:widowControl w:val="false"/>
        <w:pBdr/>
        <w:spacing/>
        <w:ind w:right="0" w:firstLine="709"/>
        <w:jc w:val="both"/>
        <w:rPr>
          <w:sz w:val="22"/>
          <w:szCs w:val="22"/>
          <w:highlight w:val="yellow"/>
        </w:rPr>
      </w:pPr>
      <w:r>
        <w:rPr>
          <w:sz w:val="22"/>
          <w:szCs w:val="22"/>
          <w:highlight w:val="yellow"/>
        </w:rPr>
        <w:t xml:space="preserve">Тенденцию объясняют </w:t>
      </w:r>
      <w:r>
        <w:rPr>
          <w:sz w:val="22"/>
          <w:szCs w:val="22"/>
          <w:highlight w:val="yellow"/>
        </w:rPr>
        <w:t xml:space="preserve">ростом предложений сегмента, в частности, из-за увеличившегося импорта: в первом квартале в Россию ввезли 82,4 тысяч автомобилей с пробегом, что на 22% больше, чем годом ранее. Авто с пробегом также являются более доступными по сравнению с новыми машинами.</w:t>
      </w:r>
      <w:r>
        <w:rPr>
          <w:sz w:val="22"/>
          <w:szCs w:val="22"/>
          <w:highlight w:val="yellow"/>
        </w:rPr>
      </w:r>
      <w:r>
        <w:rPr>
          <w:sz w:val="22"/>
          <w:szCs w:val="22"/>
          <w:highlight w:val="yellow"/>
        </w:rPr>
      </w:r>
    </w:p>
    <w:p>
      <w:pPr>
        <w:pStyle w:val="1038"/>
        <w:widowControl w:val="false"/>
        <w:pBdr/>
        <w:spacing/>
        <w:ind w:right="0" w:firstLine="709"/>
        <w:jc w:val="both"/>
        <w:rPr>
          <w:bCs/>
          <w:sz w:val="22"/>
          <w:szCs w:val="22"/>
          <w:highlight w:val="yellow"/>
        </w:rPr>
      </w:pPr>
      <w:r>
        <w:rPr>
          <w:sz w:val="22"/>
          <w:szCs w:val="22"/>
          <w:highlight w:val="yellow"/>
        </w:rPr>
        <w:t xml:space="preserve">Но, отмечается, что рынок сдерживает нехватка относительно</w:t>
      </w:r>
      <w:r>
        <w:rPr>
          <w:sz w:val="22"/>
          <w:szCs w:val="22"/>
          <w:highlight w:val="yellow"/>
        </w:rPr>
        <w:t xml:space="preserve"> свежих автомобилей, поэтому резкого увеличения продаж пока не ожидается. По итогам 2026 года, по прогнозам Автостата, рынок автомобилей с пробегом сохранится на уровне прошлого года и составит 6,24 млн единиц. В негативном сценарии продажи снизятся на 5%,</w:t>
      </w:r>
      <w:r>
        <w:rPr>
          <w:bCs/>
          <w:sz w:val="22"/>
          <w:szCs w:val="22"/>
          <w:highlight w:val="yellow"/>
        </w:rPr>
        <w:t xml:space="preserve"> до 5,95 млн машин, а в благоприятном могут вырасти на 5%, до 6,55 млн.</w:t>
      </w:r>
      <w:r>
        <w:rPr>
          <w:bCs/>
          <w:sz w:val="22"/>
          <w:szCs w:val="22"/>
          <w:highlight w:val="yellow"/>
        </w:rPr>
      </w:r>
      <w:r>
        <w:rPr>
          <w:bCs/>
          <w:sz w:val="22"/>
          <w:szCs w:val="22"/>
          <w:highlight w:val="yellow"/>
        </w:rPr>
      </w:r>
    </w:p>
    <w:p>
      <w:pPr>
        <w:pStyle w:val="1038"/>
        <w:widowControl w:val="false"/>
        <w:pBdr/>
        <w:tabs>
          <w:tab w:val="left" w:leader="none" w:pos="0"/>
          <w:tab w:val="clear" w:leader="none" w:pos="709"/>
        </w:tabs>
        <w:spacing/>
        <w:ind w:right="140" w:firstLine="567" w:left="-426"/>
        <w:jc w:val="center"/>
        <w:rPr>
          <w:sz w:val="22"/>
        </w:rPr>
      </w:pPr>
      <w:r>
        <w:rPr>
          <w:i/>
          <w:highlight w:val="yellow"/>
          <w:lang w:val="en-US" w:eastAsia="en-US"/>
        </w:rPr>
        <w:t xml:space="preserve">https://truesharing.ru/news/65080/</w:t>
      </w:r>
      <w:r>
        <w:rPr>
          <w:sz w:val="22"/>
        </w:rPr>
      </w:r>
      <w:r>
        <w:rPr>
          <w:sz w:val="22"/>
        </w:rPr>
      </w:r>
    </w:p>
    <w:p>
      <w:pPr>
        <w:pStyle w:val="1038"/>
        <w:widowControl w:val="false"/>
        <w:pBdr/>
        <w:spacing/>
        <w:ind/>
        <w:jc w:val="center"/>
        <w:rPr>
          <w:sz w:val="24"/>
          <w:szCs w:val="24"/>
          <w:lang w:val="en-US" w:eastAsia="en-US"/>
        </w:rPr>
      </w:pPr>
      <w:r>
        <w:rPr>
          <w:sz w:val="24"/>
          <w:szCs w:val="24"/>
          <w:lang w:val="en-US" w:eastAsia="en-US"/>
        </w:rPr>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В результате исследования вторичного рынка транспорта были получены и проанализированы данные о выставленных на продажу объектов. Большая часть информации о </w:t>
      </w:r>
      <w:r>
        <w:rPr>
          <w:sz w:val="24"/>
          <w:szCs w:val="24"/>
          <w:lang w:val="en-US" w:eastAsia="en-US"/>
        </w:rPr>
        <w:t xml:space="preserve">данном сегменте рынка представлена в информационно-телекоммуникационной сети Интернет. Основными Интернет-ресурсами, позволяющими получить полную и достоверную информацию о выставленных на продажу объектах, идентичных и аналогичных оцениваемому, являются: </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 </w:t>
      </w:r>
      <w:hyperlink r:id="rId26" w:tooltip="https://auto.ru/" w:history="1">
        <w:r>
          <w:rPr>
            <w:rStyle w:val="1089"/>
            <w:color w:val="000000"/>
            <w:sz w:val="24"/>
            <w:szCs w:val="24"/>
            <w:u w:val="none"/>
            <w:lang w:val="en-US" w:eastAsia="en-US"/>
          </w:rPr>
          <w:t xml:space="preserve">https://auto.ru/</w:t>
        </w:r>
      </w:hyperlink>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 </w:t>
      </w:r>
      <w:hyperlink r:id="rId27" w:tooltip="https://www.avito.ru/" w:history="1">
        <w:r>
          <w:rPr>
            <w:rStyle w:val="1089"/>
            <w:color w:val="000000"/>
            <w:sz w:val="24"/>
            <w:szCs w:val="24"/>
            <w:u w:val="none"/>
            <w:lang w:val="en-US" w:eastAsia="en-US"/>
          </w:rPr>
          <w:t xml:space="preserve">https://www.avito.ru/</w:t>
        </w:r>
      </w:hyperlink>
      <w:r>
        <w:rPr>
          <w:sz w:val="24"/>
          <w:szCs w:val="24"/>
          <w:lang w:val="en-US" w:eastAsia="en-US"/>
        </w:rPr>
        <w:t xml:space="preserve"> </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 https://www.drom.ru/ </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В ходе дальнейшего исследования Оценщиком проведен анализ предложений о продаже бывших в употреблении </w:t>
      </w:r>
      <w:r>
        <w:rPr>
          <w:color w:val="ff0000"/>
          <w:sz w:val="24"/>
          <w:szCs w:val="24"/>
          <w:lang w:val="en-US" w:eastAsia="en-US"/>
        </w:rPr>
        <w:t xml:space="preserve">транспортных средств</w:t>
      </w:r>
      <w:r>
        <w:rPr>
          <w:sz w:val="24"/>
          <w:szCs w:val="24"/>
          <w:lang w:val="en-US" w:eastAsia="en-US"/>
        </w:rPr>
        <w:t xml:space="preserve"> </w:t>
      </w:r>
      <w:r>
        <w:rPr>
          <w:sz w:val="24"/>
          <w:szCs w:val="24"/>
          <w:highlight w:val="yellow"/>
          <w:lang w:val="en-US" w:eastAsia="en-US"/>
        </w:rPr>
        <w:t xml:space="preserve">${vehicle_brand_name} ${vehicle_model_name}</w:t>
      </w:r>
      <w:r>
        <w:rPr>
          <w:sz w:val="24"/>
          <w:szCs w:val="24"/>
          <w:lang w:val="en-US" w:eastAsia="en-US"/>
        </w:rPr>
        <w:t xml:space="preserve">, </w:t>
      </w:r>
      <w:r>
        <w:rPr>
          <w:sz w:val="24"/>
          <w:szCs w:val="24"/>
          <w:highlight w:val="yellow"/>
          <w:lang w:val="en-US" w:eastAsia="en-US"/>
        </w:rPr>
        <w:t xml:space="preserve">${vehicle_year}</w:t>
      </w:r>
      <w:r>
        <w:rPr>
          <w:sz w:val="24"/>
          <w:szCs w:val="24"/>
          <w:lang w:val="en-US" w:eastAsia="en-US"/>
        </w:rPr>
        <w:t xml:space="preserve"> </w:t>
      </w:r>
      <w:r>
        <w:rPr>
          <w:sz w:val="24"/>
          <w:szCs w:val="24"/>
          <w:highlight w:val="yellow"/>
          <w:lang w:val="en-US" w:eastAsia="en-US"/>
        </w:rPr>
        <w:t xml:space="preserve">года выпуска</w:t>
      </w:r>
      <w:r>
        <w:rPr>
          <w:sz w:val="24"/>
          <w:szCs w:val="24"/>
          <w:lang w:val="en-US" w:eastAsia="en-US"/>
        </w:rPr>
        <w:t xml:space="preserve">, размещенных на крыпных агрегаторах по продаже автомобилей в Российской Федерации. </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Оценщиком было установлено, что цены предложений на бывшие в употреблении автомобили, </w:t>
      </w:r>
      <w:r>
        <w:rPr>
          <w:color w:val="ff0000"/>
          <w:sz w:val="24"/>
          <w:szCs w:val="24"/>
          <w:lang w:val="en-US" w:eastAsia="en-US"/>
        </w:rPr>
        <w:t xml:space="preserve">идентичные оцениваемому, находятся в диапазоне</w:t>
      </w:r>
      <w:r>
        <w:rPr>
          <w:sz w:val="24"/>
          <w:szCs w:val="24"/>
          <w:lang w:val="en-US" w:eastAsia="en-US"/>
        </w:rPr>
        <w:t xml:space="preserve"> от $</w:t>
      </w:r>
      <w:r>
        <w:rPr>
          <w:sz w:val="24"/>
          <w:szCs w:val="24"/>
          <w:highlight w:val="none"/>
          <w:lang w:val="en-US" w:eastAsia="en-US"/>
        </w:rPr>
        <w:t xml:space="preserve">{price_min}</w:t>
      </w:r>
      <w:r>
        <w:rPr>
          <w:sz w:val="24"/>
          <w:szCs w:val="24"/>
          <w:highlight w:val="yellow"/>
          <w:lang w:val="en-US" w:eastAsia="en-US"/>
        </w:rPr>
        <w:t xml:space="preserve">,00</w:t>
      </w:r>
      <w:r>
        <w:rPr>
          <w:sz w:val="24"/>
          <w:szCs w:val="24"/>
          <w:lang w:val="en-US" w:eastAsia="en-US"/>
        </w:rPr>
        <w:t xml:space="preserve"> рублей до </w:t>
      </w:r>
      <w:r>
        <w:rPr>
          <w:sz w:val="24"/>
          <w:szCs w:val="24"/>
          <w:lang w:val="en-US" w:eastAsia="en-US"/>
        </w:rPr>
        <w:t xml:space="preserve">$</w:t>
      </w:r>
      <w:r>
        <w:rPr>
          <w:sz w:val="24"/>
          <w:szCs w:val="24"/>
          <w:highlight w:val="none"/>
          <w:lang w:val="en-US" w:eastAsia="en-US"/>
        </w:rPr>
        <w:t xml:space="preserve">{price_max}</w:t>
      </w:r>
      <w:r>
        <w:rPr>
          <w:sz w:val="24"/>
          <w:szCs w:val="24"/>
          <w:highlight w:val="yellow"/>
          <w:lang w:val="en-US" w:eastAsia="en-US"/>
        </w:rPr>
        <w:t xml:space="preserve">,00</w:t>
      </w:r>
      <w:r>
        <w:rPr>
          <w:sz w:val="24"/>
          <w:szCs w:val="24"/>
          <w:lang w:val="en-US" w:eastAsia="en-US"/>
        </w:rPr>
        <w:t xml:space="preserve"> рублей в зависимости от их технического состояния и пробега. </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Оценщик подтверждает, что на момент проведения оценки данная информация в указанном источнике существовала, однако не несет ответственности за ее дальнейшие изменение.</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r>
      <w:r>
        <w:rPr>
          <w:sz w:val="24"/>
          <w:szCs w:val="24"/>
          <w:lang w:val="en-US" w:eastAsia="en-US"/>
        </w:rPr>
      </w:r>
      <w:r>
        <w:rPr>
          <w:sz w:val="24"/>
          <w:szCs w:val="24"/>
          <w:lang w:val="en-US" w:eastAsia="en-US"/>
        </w:rPr>
      </w:r>
    </w:p>
    <w:p>
      <w:pPr>
        <w:pStyle w:val="1038"/>
        <w:widowControl w:val="false"/>
        <w:pBdr/>
        <w:spacing/>
        <w:ind/>
        <w:jc w:val="center"/>
        <w:rPr>
          <w:b/>
          <w:bCs/>
          <w:sz w:val="24"/>
          <w:szCs w:val="24"/>
          <w:lang w:val="en-US" w:eastAsia="en-US"/>
        </w:rPr>
      </w:pPr>
      <w:r>
        <w:rPr>
          <w:b/>
          <w:bCs/>
          <w:sz w:val="24"/>
          <w:szCs w:val="24"/>
          <w:lang w:val="en-US" w:eastAsia="en-US"/>
        </w:rPr>
        <w:t xml:space="preserve">Анализ ценообразующих факторов</w:t>
      </w:r>
      <w:r>
        <w:rPr>
          <w:b/>
          <w:bCs/>
          <w:sz w:val="24"/>
          <w:szCs w:val="24"/>
          <w:lang w:val="en-US" w:eastAsia="en-US"/>
        </w:rPr>
      </w:r>
      <w:r>
        <w:rPr>
          <w:b/>
          <w:bCs/>
          <w:sz w:val="24"/>
          <w:szCs w:val="24"/>
          <w:lang w:val="en-US" w:eastAsia="en-US"/>
        </w:rPr>
      </w:r>
    </w:p>
    <w:p>
      <w:pPr>
        <w:pStyle w:val="1038"/>
        <w:widowControl w:val="false"/>
        <w:pBdr/>
        <w:spacing/>
        <w:ind/>
        <w:jc w:val="center"/>
        <w:rPr>
          <w:sz w:val="24"/>
          <w:szCs w:val="24"/>
          <w:lang w:val="en-US" w:eastAsia="en-US"/>
        </w:rPr>
      </w:pPr>
      <w:r>
        <w:rPr>
          <w:sz w:val="24"/>
          <w:szCs w:val="24"/>
          <w:lang w:val="en-US" w:eastAsia="en-US"/>
        </w:rPr>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Марка и модель.</w:t>
      </w:r>
      <w:r>
        <w:rPr>
          <w:sz w:val="24"/>
          <w:szCs w:val="24"/>
          <w:lang w:val="en-US" w:eastAsia="en-US"/>
        </w:rPr>
        <w:t xml:space="preserve"> Престижные бренды (Mercedes, Audi, Lexus) часто теряют в цене медленнее благодаря репутации надёжности, что напрямую влияет на цену.</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Год выпуска.</w:t>
      </w:r>
      <w:r>
        <w:rPr>
          <w:sz w:val="24"/>
          <w:szCs w:val="24"/>
          <w:lang w:val="en-US" w:eastAsia="en-US"/>
        </w:rPr>
        <w:t xml:space="preserve"> Чем новее автомобиль, тем выше его стоимость, особенно если модель недавно обновили или вышло новое поколение.</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Пробег.</w:t>
      </w:r>
      <w:r>
        <w:rPr>
          <w:sz w:val="24"/>
          <w:szCs w:val="24"/>
          <w:lang w:val="en-US" w:eastAsia="en-US"/>
        </w:rPr>
        <w:t xml:space="preserve"> Это один из ключевы</w:t>
      </w:r>
      <w:r>
        <w:rPr>
          <w:sz w:val="24"/>
          <w:szCs w:val="24"/>
          <w:lang w:val="en-US" w:eastAsia="en-US"/>
        </w:rPr>
        <w:t xml:space="preserve">х индикаторов износа. Однако важно смотреть не только на цифры на одометре, но и на контекст: как эксплуатировали машину (городские пробки или трасса), качество дорог, климатические условия. Иногда подозрительно низкий пробег вызывает подозрения в скрутке.</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Техническое состояние.</w:t>
      </w:r>
      <w:r>
        <w:rPr>
          <w:sz w:val="24"/>
          <w:szCs w:val="24"/>
          <w:lang w:val="en-US" w:eastAsia="en-US"/>
        </w:rPr>
        <w:t xml:space="preserve"> Сюда входит состояние ключевых узлов: двигателя, коробки передач, подвески, тормозной системы, электрики. Проблемы (сизый дым из выхлопной трубы, низкий уровень масла, стуки в подвеске, ошибки на панели) снижают цену. </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История обслуживания.</w:t>
      </w:r>
      <w:r>
        <w:rPr>
          <w:sz w:val="24"/>
          <w:szCs w:val="24"/>
          <w:lang w:val="en-US" w:eastAsia="en-US"/>
        </w:rPr>
        <w:t xml:space="preserve"> Машина с прозрачной сервисной историей (регулярное ТО по регламенту, чеки) ценится выше, чем без неё. </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Комплектация.</w:t>
      </w:r>
      <w:r>
        <w:rPr>
          <w:sz w:val="24"/>
          <w:szCs w:val="24"/>
          <w:lang w:val="en-US" w:eastAsia="en-US"/>
        </w:rPr>
        <w:t xml:space="preserve"> Наличие дополнительных опций </w:t>
      </w:r>
      <w:r>
        <w:rPr>
          <w:sz w:val="24"/>
          <w:szCs w:val="24"/>
          <w:lang w:val="en-US" w:eastAsia="en-US"/>
        </w:rPr>
        <w:t xml:space="preserve">(климат-контроль, кожаная отделка салона, парктроники, системы безопасности, литые диски, второй комплект резины) повышает стоимость. Но иногда сложные и дорогие в обслуживании системы (например, пневматическая подвеска) могут отпугнуть часть покупателей. </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Тип двигателя и его объём.</w:t>
      </w:r>
      <w:r>
        <w:rPr>
          <w:sz w:val="24"/>
          <w:szCs w:val="24"/>
          <w:lang w:val="en-US" w:eastAsia="en-US"/>
        </w:rPr>
        <w:t xml:space="preserve"> Более мощные двигатели или дизельные агрегаты часто увеличивают стоимость, но при этом влияют на расход топлива и стоимость обслуживания.</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Тип коробки передач.</w:t>
      </w:r>
      <w:r>
        <w:rPr>
          <w:sz w:val="24"/>
          <w:szCs w:val="24"/>
          <w:lang w:val="en-US" w:eastAsia="en-US"/>
        </w:rPr>
        <w:t xml:space="preserve"> Автомобили с автоматической коробкой обычно стоят дороже механических, но требуют более дорогого ремонта в случае проблем.</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Тип привода.</w:t>
      </w:r>
      <w:r>
        <w:rPr>
          <w:sz w:val="24"/>
          <w:szCs w:val="24"/>
          <w:lang w:val="en-US" w:eastAsia="en-US"/>
        </w:rPr>
        <w:t xml:space="preserve"> Полноприводные модели часто стоят дороже из-за лучшей проходимости и устойчивости, особенно в регионах с суровыми зимами.</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Тип руля.</w:t>
      </w:r>
      <w:r>
        <w:rPr>
          <w:sz w:val="24"/>
          <w:szCs w:val="24"/>
          <w:lang w:val="en-US" w:eastAsia="en-US"/>
        </w:rPr>
        <w:t xml:space="preserve"> В некоторых случаях автомобили с правым рулём оцениваются ниже из-за более высокой аварийности и сложностей с продажей.</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Количество владельцев.</w:t>
      </w:r>
      <w:r>
        <w:rPr>
          <w:sz w:val="24"/>
          <w:szCs w:val="24"/>
          <w:lang w:val="en-US" w:eastAsia="en-US"/>
        </w:rPr>
        <w:t xml:space="preserve"> Чем меньше владельцев, тем выше доверие к истории автомобиля.</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b/>
          <w:bCs/>
          <w:sz w:val="24"/>
          <w:szCs w:val="24"/>
          <w:lang w:val="en-US" w:eastAsia="en-US"/>
        </w:rPr>
        <w:t xml:space="preserve">Юридическая чистота.</w:t>
      </w:r>
      <w:r>
        <w:rPr>
          <w:sz w:val="24"/>
          <w:szCs w:val="24"/>
          <w:lang w:val="en-US" w:eastAsia="en-US"/>
        </w:rPr>
        <w:t xml:space="preserve"> Наличие «чистого» ПТС (а не дубликата), отсутствие ограничений на регистрационные действия, залогов или арестов повышает доверие покупателя и цену.</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sz w:val="24"/>
          <w:szCs w:val="24"/>
          <w:lang w:val="en-US" w:eastAsia="en-US"/>
        </w:rPr>
        <w:tab/>
        <w:t xml:space="preserve">Часто цена формируется не одним факт</w:t>
      </w:r>
      <w:r>
        <w:rPr>
          <w:sz w:val="24"/>
          <w:szCs w:val="24"/>
          <w:lang w:val="en-US" w:eastAsia="en-US"/>
        </w:rPr>
        <w:t xml:space="preserve">ором, а их совокупностью. Например, даже при небольшом пробеге машина с серьёзными скрытыми дефектами двигателя или после тяжёлого ДТП будет стоить значительно дешевле. Поэтому при оценке или покупке имеет смысл анализировать рынок аналогичных предложений.</w:t>
      </w:r>
      <w:r>
        <w:rPr>
          <w:sz w:val="24"/>
          <w:szCs w:val="24"/>
          <w:lang w:val="en-US" w:eastAsia="en-US"/>
        </w:rPr>
      </w:r>
      <w:r>
        <w:rPr>
          <w:sz w:val="24"/>
          <w:szCs w:val="24"/>
          <w:lang w:val="en-US" w:eastAsia="en-US"/>
        </w:rPr>
      </w:r>
    </w:p>
    <w:p>
      <w:pPr>
        <w:pStyle w:val="1038"/>
        <w:widowControl w:val="false"/>
        <w:pBdr/>
        <w:spacing/>
        <w:ind/>
        <w:jc w:val="both"/>
        <w:rPr>
          <w:sz w:val="24"/>
          <w:szCs w:val="24"/>
          <w:lang w:val="en-US" w:eastAsia="en-US"/>
        </w:rPr>
      </w:pPr>
      <w:r>
        <w:rPr>
          <w:sz w:val="24"/>
          <w:szCs w:val="24"/>
          <w:lang w:val="en-US" w:eastAsia="en-US"/>
        </w:rPr>
      </w:r>
      <w:r>
        <w:rPr>
          <w:sz w:val="24"/>
          <w:szCs w:val="24"/>
          <w:lang w:val="en-US" w:eastAsia="en-US"/>
        </w:rPr>
      </w:r>
      <w:r>
        <w:rPr>
          <w:sz w:val="24"/>
          <w:szCs w:val="24"/>
          <w:lang w:val="en-US" w:eastAsia="en-US"/>
        </w:rPr>
      </w:r>
    </w:p>
    <w:p>
      <w:pPr>
        <w:pStyle w:val="1038"/>
        <w:widowControl w:val="false"/>
        <w:pBdr/>
        <w:spacing/>
        <w:ind/>
        <w:jc w:val="center"/>
        <w:rPr>
          <w:b/>
          <w:bCs/>
          <w:sz w:val="24"/>
          <w:szCs w:val="24"/>
          <w:lang w:val="en-US" w:eastAsia="en-US"/>
        </w:rPr>
      </w:pPr>
      <w:r>
        <w:rPr>
          <w:b/>
          <w:bCs/>
          <w:sz w:val="24"/>
          <w:szCs w:val="24"/>
          <w:lang w:val="en-US" w:eastAsia="en-US"/>
        </w:rPr>
        <w:t xml:space="preserve">Анализ наилучшего и наиболее эффективного использования.</w:t>
      </w:r>
      <w:r>
        <w:rPr>
          <w:b/>
          <w:bCs/>
          <w:sz w:val="24"/>
          <w:szCs w:val="24"/>
          <w:lang w:val="en-US" w:eastAsia="en-US"/>
        </w:rPr>
      </w:r>
      <w:r>
        <w:rPr>
          <w:b/>
          <w:bCs/>
          <w:sz w:val="24"/>
          <w:szCs w:val="24"/>
          <w:lang w:val="en-US" w:eastAsia="en-US"/>
        </w:rPr>
      </w:r>
    </w:p>
    <w:p>
      <w:pPr>
        <w:pStyle w:val="1038"/>
        <w:widowControl w:val="false"/>
        <w:pBdr/>
        <w:spacing/>
        <w:ind/>
        <w:jc w:val="center"/>
        <w:rPr>
          <w:sz w:val="24"/>
          <w:szCs w:val="24"/>
          <w:lang w:val="en-US" w:eastAsia="en-US"/>
        </w:rPr>
      </w:pPr>
      <w:r>
        <w:rPr>
          <w:sz w:val="24"/>
          <w:szCs w:val="24"/>
          <w:lang w:val="en-US" w:eastAsia="en-US"/>
        </w:rPr>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Анализ наилучшего и наиболее эффективного использования (НЭИ) легкового автомобиля — это процесс определения такого спосо</w:t>
      </w:r>
      <w:r>
        <w:rPr>
          <w:sz w:val="24"/>
          <w:szCs w:val="24"/>
          <w:lang w:val="en-US" w:eastAsia="en-US"/>
        </w:rPr>
        <w:t xml:space="preserve">ба его эксплуатации, при котором достигается максимальная отдача с точки зрения стоимости, доходности или иных значимых критериев. Этот анализ является фундаментальным принципом оценки и помогает обосновать выбор подхода к определению стоимости автомобиля.</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r>
      <w:r>
        <w:rPr>
          <w:sz w:val="24"/>
          <w:szCs w:val="24"/>
          <w:lang w:val="en-US" w:eastAsia="en-US"/>
        </w:rPr>
      </w:r>
      <w:r>
        <w:rPr>
          <w:sz w:val="24"/>
          <w:szCs w:val="24"/>
          <w:lang w:val="en-US" w:eastAsia="en-US"/>
        </w:rPr>
      </w:r>
    </w:p>
    <w:p>
      <w:pPr>
        <w:pStyle w:val="1038"/>
        <w:widowControl w:val="false"/>
        <w:pBdr/>
        <w:spacing/>
        <w:ind w:right="0" w:firstLine="709"/>
        <w:jc w:val="both"/>
        <w:rPr>
          <w:b/>
          <w:bCs/>
          <w:sz w:val="24"/>
          <w:szCs w:val="24"/>
          <w:lang w:val="en-US" w:eastAsia="en-US"/>
        </w:rPr>
      </w:pPr>
      <w:r>
        <w:rPr>
          <w:b/>
          <w:bCs/>
          <w:sz w:val="24"/>
          <w:szCs w:val="24"/>
          <w:lang w:val="en-US" w:eastAsia="en-US"/>
        </w:rPr>
        <w:t xml:space="preserve">Критерии анализа</w:t>
      </w:r>
      <w:r>
        <w:rPr>
          <w:b/>
          <w:bCs/>
          <w:sz w:val="24"/>
          <w:szCs w:val="24"/>
          <w:lang w:val="en-US" w:eastAsia="en-US"/>
        </w:rPr>
      </w:r>
      <w:r>
        <w:rPr>
          <w:b/>
          <w:bCs/>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При выборе наилучшего варианта использования оцениваются четыре основных критерия:</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b/>
          <w:bCs/>
          <w:sz w:val="24"/>
          <w:szCs w:val="24"/>
          <w:lang w:val="en-US" w:eastAsia="en-US"/>
        </w:rPr>
        <w:t xml:space="preserve">Физическая возможность.</w:t>
      </w:r>
      <w:r>
        <w:rPr>
          <w:sz w:val="24"/>
          <w:szCs w:val="24"/>
          <w:lang w:val="en-US" w:eastAsia="en-US"/>
        </w:rPr>
        <w:t xml:space="preserve"> Проверяется, реально ли осуществить тот или иной вариант с учётом технических характеристик автомобиля, доступности инфраструктуры и географических условий.</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b/>
          <w:bCs/>
          <w:sz w:val="24"/>
          <w:szCs w:val="24"/>
          <w:lang w:val="en-US" w:eastAsia="en-US"/>
        </w:rPr>
        <w:t xml:space="preserve">Законодательная разрешённость.</w:t>
      </w:r>
      <w:r>
        <w:rPr>
          <w:sz w:val="24"/>
          <w:szCs w:val="24"/>
          <w:lang w:val="en-US" w:eastAsia="en-US"/>
        </w:rPr>
        <w:t xml:space="preserve"> Анализируется соответствие предполагаемого использования действующему законодательству, включая требования безопасности и ограничения, связанные с зонированием, экологией и другими правовыми нормами. </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b/>
          <w:bCs/>
          <w:sz w:val="24"/>
          <w:szCs w:val="24"/>
          <w:lang w:val="en-US" w:eastAsia="en-US"/>
        </w:rPr>
        <w:t xml:space="preserve">Финансовая целесообразность.</w:t>
      </w:r>
      <w:r>
        <w:rPr>
          <w:sz w:val="24"/>
          <w:szCs w:val="24"/>
          <w:lang w:val="en-US" w:eastAsia="en-US"/>
        </w:rPr>
        <w:t xml:space="preserve"> Оценивается, какой из физически осуществимых и юридически допустимых вариантов обеспечит владельцу чистый доход, превышающий затраты на содержание, эксплуатацию и возможные риски.</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b/>
          <w:bCs/>
          <w:sz w:val="24"/>
          <w:szCs w:val="24"/>
          <w:lang w:val="en-US" w:eastAsia="en-US"/>
        </w:rPr>
        <w:t xml:space="preserve">Максимальная продуктивность (эффективность).</w:t>
      </w:r>
      <w:r>
        <w:rPr>
          <w:sz w:val="24"/>
          <w:szCs w:val="24"/>
          <w:lang w:val="en-US" w:eastAsia="en-US"/>
        </w:rPr>
        <w:t xml:space="preserve"> Определяется вариант, который либо максимизирует доход, либо ведёт к наибольшей текущей стоимости будущих денежных потоков от эксплуатации автомобиля, тем самым повышая его рыночную стоимость.</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t xml:space="preserve">На основании вышеизложенного оценщиком п</w:t>
      </w:r>
      <w:r>
        <w:rPr>
          <w:sz w:val="24"/>
          <w:szCs w:val="24"/>
          <w:lang w:val="en-US" w:eastAsia="en-US"/>
        </w:rPr>
        <w:t xml:space="preserve">риходит к выводу, что объект оценки наилучшим и наиболее эффективным образом используется по своему прямому назначению — для перевозки пассажиров и небольших грузов. Это соответствует его конструктивной природе, техническим возможностям и рыночным реалиям.</w:t>
      </w:r>
      <w:r>
        <w:rPr>
          <w:sz w:val="24"/>
          <w:szCs w:val="24"/>
          <w:lang w:val="en-US" w:eastAsia="en-US"/>
        </w:rPr>
      </w:r>
      <w:r>
        <w:rPr>
          <w:sz w:val="24"/>
          <w:szCs w:val="24"/>
          <w:lang w:val="en-US" w:eastAsia="en-US"/>
        </w:rPr>
      </w:r>
    </w:p>
    <w:p>
      <w:pPr>
        <w:pStyle w:val="1038"/>
        <w:widowControl w:val="false"/>
        <w:pBdr/>
        <w:spacing/>
        <w:ind w:right="0" w:firstLine="709"/>
        <w:jc w:val="both"/>
        <w:rPr>
          <w:sz w:val="24"/>
          <w:szCs w:val="24"/>
          <w:lang w:val="en-US" w:eastAsia="en-US"/>
        </w:rPr>
      </w:pPr>
      <w:r>
        <w:rPr>
          <w:sz w:val="24"/>
          <w:szCs w:val="24"/>
          <w:lang w:val="en-US" w:eastAsia="en-US"/>
        </w:rPr>
      </w:r>
      <w:r>
        <w:rPr>
          <w:sz w:val="24"/>
          <w:szCs w:val="24"/>
          <w:lang w:val="en-US" w:eastAsia="en-US"/>
        </w:rPr>
      </w:r>
      <w:r>
        <w:rPr>
          <w:sz w:val="24"/>
          <w:szCs w:val="24"/>
          <w:lang w:val="en-US" w:eastAsia="en-US"/>
        </w:rP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14" w:name="__RefHeading___Toc212536958"/>
      <w:r/>
      <w:bookmarkEnd w:id="14"/>
      <w:r>
        <w:rPr>
          <w:rFonts w:ascii="Times New Roman" w:hAnsi="Times New Roman" w:cs="Times New Roman"/>
        </w:rPr>
        <w:t xml:space="preserve">12. ОПИСАНИЕ ПРОЦЕССА ОЦЕНКИ</w:t>
      </w:r>
      <w:r>
        <w:rPr>
          <w:rFonts w:ascii="Times New Roman" w:hAnsi="Times New Roman" w:cs="Times New Roman"/>
        </w:rPr>
      </w:r>
      <w:r>
        <w:rPr>
          <w:rFonts w:ascii="Times New Roman" w:hAnsi="Times New Roman" w:cs="Times New Roman"/>
        </w:rPr>
      </w:r>
    </w:p>
    <w:p>
      <w:pPr>
        <w:pStyle w:val="1038"/>
        <w:widowControl w:val="false"/>
        <w:pBdr/>
        <w:spacing/>
        <w:ind/>
        <w:jc w:val="center"/>
        <w:rPr>
          <w:b/>
        </w:rPr>
      </w:pPr>
      <w:r>
        <w:rPr>
          <w:b/>
        </w:rPr>
      </w:r>
      <w:r>
        <w:rPr>
          <w:b/>
        </w:rPr>
      </w:r>
      <w:r>
        <w:rPr>
          <w:b/>
        </w:rPr>
      </w:r>
    </w:p>
    <w:p>
      <w:pPr>
        <w:pStyle w:val="1040"/>
        <w:keepNext w:val="false"/>
        <w:widowControl w:val="false"/>
        <w:numPr>
          <w:ilvl w:val="1"/>
          <w:numId w:val="1"/>
        </w:numPr>
        <w:pBdr/>
        <w:spacing/>
        <w:ind w:firstLine="0" w:left="0"/>
        <w:jc w:val="center"/>
        <w:rPr>
          <w:b/>
          <w:sz w:val="22"/>
          <w:szCs w:val="22"/>
        </w:rPr>
      </w:pPr>
      <w:r/>
      <w:bookmarkStart w:id="15" w:name="__RefHeading___Toc212536959"/>
      <w:r/>
      <w:bookmarkEnd w:id="15"/>
      <w:r>
        <w:rPr>
          <w:b/>
          <w:sz w:val="22"/>
          <w:szCs w:val="22"/>
        </w:rPr>
        <w:t xml:space="preserve">12.1. Последовательность определения стоимости объекта оценки</w:t>
      </w:r>
      <w:r>
        <w:rPr>
          <w:b/>
          <w:sz w:val="22"/>
          <w:szCs w:val="22"/>
        </w:rPr>
      </w:r>
      <w:r>
        <w:rPr>
          <w:b/>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ight="0" w:firstLine="709"/>
        <w:jc w:val="both"/>
        <w:rPr>
          <w:b/>
          <w:sz w:val="22"/>
          <w:szCs w:val="22"/>
        </w:rPr>
      </w:pPr>
      <w:r>
        <w:rPr>
          <w:b/>
          <w:sz w:val="22"/>
          <w:szCs w:val="22"/>
        </w:rPr>
        <w:t xml:space="preserve">Процесс оценки включает следующие действия:</w:t>
      </w:r>
      <w:r>
        <w:rPr>
          <w:b/>
          <w:sz w:val="22"/>
          <w:szCs w:val="22"/>
        </w:rPr>
      </w:r>
      <w:r>
        <w:rPr>
          <w:b/>
          <w:sz w:val="22"/>
          <w:szCs w:val="22"/>
        </w:rPr>
      </w:r>
    </w:p>
    <w:p>
      <w:pPr>
        <w:pStyle w:val="1038"/>
        <w:widowControl w:val="false"/>
        <w:pBdr/>
        <w:spacing/>
        <w:ind w:right="0" w:firstLine="709"/>
        <w:jc w:val="both"/>
        <w:rPr>
          <w:sz w:val="22"/>
          <w:szCs w:val="22"/>
        </w:rPr>
      </w:pPr>
      <w:r>
        <w:rPr>
          <w:sz w:val="22"/>
          <w:szCs w:val="22"/>
        </w:rPr>
        <w:t xml:space="preserve">1) согласование задания на оценку заказчиком оценки и оценщиком ил</w:t>
      </w:r>
      <w:r>
        <w:rPr>
          <w:sz w:val="22"/>
          <w:szCs w:val="22"/>
        </w:rPr>
        <w:t xml:space="preserve">и юридическим лицом, с которым оценщик заключил трудовой договор, путем подписания такого задания в составе договора на оценку объекта оценки (далее – договор на оценку) или в иной письменной форме в случае проведения оценки на основаниях, отличающихся от </w:t>
      </w:r>
      <w:r>
        <w:rPr>
          <w:sz w:val="22"/>
          <w:szCs w:val="22"/>
        </w:rPr>
        <w:t xml:space="preserve">договора на оценку, предусмотренных Федеральным законом от 29 июля 1998 г. № 135-ФЗ «Об оценочной деятельности в Российской Федерации» (Собрание законодательства Российской Федерации, 1998, № 31, ст. 3813; 2021, № 27, ст. 5179) (далее – Федеральный закон);</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2) сбор и анализ информации, необходимой для проведения оценки;</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3) применение подходов к оценке, включая выбор методов оценки и осуществление необходимых расчетов;</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4) согласование промежуточных результатов, полученных в рамках применения различных подходов к оценке (в случае необходимости), и определение итоговой стоимости объекта оценки;</w:t>
      </w:r>
      <w:r>
        <w:rPr>
          <w:sz w:val="22"/>
          <w:szCs w:val="22"/>
        </w:rPr>
      </w:r>
      <w:r>
        <w:rPr>
          <w:sz w:val="22"/>
          <w:szCs w:val="22"/>
        </w:rPr>
      </w:r>
    </w:p>
    <w:p>
      <w:pPr>
        <w:pStyle w:val="1038"/>
        <w:widowControl w:val="false"/>
        <w:pBdr/>
        <w:spacing/>
        <w:ind w:right="0" w:firstLine="709"/>
        <w:jc w:val="both"/>
        <w:rPr>
          <w:sz w:val="22"/>
          <w:szCs w:val="22"/>
          <w:highlight w:val="cyan"/>
        </w:rPr>
      </w:pPr>
      <w:r>
        <w:rPr>
          <w:sz w:val="22"/>
          <w:szCs w:val="22"/>
        </w:rPr>
        <w:t xml:space="preserve">5) составление отчета об оценке объекта оценки.</w:t>
      </w:r>
      <w:r>
        <w:rPr>
          <w:sz w:val="22"/>
          <w:szCs w:val="22"/>
          <w:highlight w:val="cyan"/>
        </w:rPr>
      </w:r>
      <w:r>
        <w:rPr>
          <w:sz w:val="22"/>
          <w:szCs w:val="22"/>
          <w:highlight w:val="cyan"/>
        </w:rPr>
      </w:r>
    </w:p>
    <w:p>
      <w:pPr>
        <w:pStyle w:val="1038"/>
        <w:widowControl w:val="false"/>
        <w:pBdr/>
        <w:spacing/>
        <w:ind w:right="0" w:firstLine="709"/>
        <w:jc w:val="center"/>
        <w:rPr>
          <w:sz w:val="22"/>
          <w:szCs w:val="22"/>
        </w:rPr>
      </w:pPr>
      <w:r>
        <w:rPr>
          <w:sz w:val="22"/>
          <w:szCs w:val="22"/>
        </w:rPr>
      </w:r>
      <w:r>
        <w:rPr>
          <w:sz w:val="22"/>
          <w:szCs w:val="22"/>
        </w:rPr>
      </w:r>
      <w:r>
        <w:rPr>
          <w:sz w:val="22"/>
          <w:szCs w:val="22"/>
        </w:rPr>
      </w:r>
    </w:p>
    <w:p>
      <w:pPr>
        <w:pStyle w:val="1040"/>
        <w:keepNext w:val="false"/>
        <w:widowControl w:val="false"/>
        <w:numPr>
          <w:ilvl w:val="1"/>
          <w:numId w:val="1"/>
        </w:numPr>
        <w:pBdr/>
        <w:spacing/>
        <w:ind w:firstLine="0" w:left="0"/>
        <w:jc w:val="center"/>
        <w:rPr>
          <w:b/>
          <w:sz w:val="22"/>
          <w:szCs w:val="22"/>
        </w:rPr>
      </w:pPr>
      <w:r/>
      <w:bookmarkStart w:id="16" w:name="__RefHeading___Toc212536960"/>
      <w:r/>
      <w:bookmarkEnd w:id="16"/>
      <w:r>
        <w:rPr>
          <w:b/>
          <w:sz w:val="22"/>
          <w:szCs w:val="22"/>
        </w:rPr>
        <w:t xml:space="preserve">12.2. Иные сведения, необходимые для полного и достаточного представления результата оценки</w:t>
      </w:r>
      <w:r>
        <w:rPr>
          <w:b/>
          <w:sz w:val="22"/>
          <w:szCs w:val="22"/>
        </w:rPr>
      </w:r>
      <w:r>
        <w:rPr>
          <w:b/>
          <w:sz w:val="22"/>
          <w:szCs w:val="22"/>
        </w:rPr>
      </w:r>
    </w:p>
    <w:p>
      <w:pPr>
        <w:pStyle w:val="1038"/>
        <w:widowControl w:val="false"/>
        <w:pBdr/>
        <w:spacing/>
        <w:ind w:right="0" w:firstLine="709"/>
        <w:jc w:val="both"/>
        <w:rPr>
          <w:sz w:val="22"/>
          <w:szCs w:val="22"/>
        </w:rPr>
      </w:pPr>
      <w:r>
        <w:rPr>
          <w:sz w:val="22"/>
          <w:szCs w:val="22"/>
        </w:rPr>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Расчеты выполнены в программе MS Excel с настройкой «по</w:t>
      </w:r>
      <w:r>
        <w:rPr>
          <w:sz w:val="22"/>
          <w:szCs w:val="22"/>
          <w:lang w:val="en-US"/>
        </w:rPr>
        <w:t xml:space="preserve"> </w:t>
      </w:r>
      <w:r>
        <w:rPr>
          <w:sz w:val="22"/>
          <w:szCs w:val="22"/>
        </w:rPr>
        <w:t xml:space="preserve">умолчанию» (программа хранит и выполняет вычисления с точностью 15 значащ</w:t>
      </w:r>
      <w:r>
        <w:rPr>
          <w:sz w:val="22"/>
          <w:szCs w:val="22"/>
        </w:rPr>
        <w:t xml:space="preserve">их цифр). Режим «задать указанную точность» не применялся (также обозначается как «точность как на экране» в других версиях MS Excel). В приведенных в настоящем Отчете таблицах отображаются числовые значения в объеме, комфортном для зрительного восприятия.</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Используемые в расчетах справочные показатели, полученные из независимых и официальных источников. </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В соответствии с требованиями п. 8 ФСО </w:t>
      </w:r>
      <w:r>
        <w:rPr>
          <w:sz w:val="22"/>
          <w:szCs w:val="22"/>
          <w:lang w:val="en-US"/>
        </w:rPr>
        <w:t xml:space="preserve">VI</w:t>
      </w:r>
      <w:r>
        <w:rPr>
          <w:sz w:val="22"/>
          <w:szCs w:val="22"/>
        </w:rPr>
        <w:t xml:space="preserve"> в приложении к Отчету приведены в том числе копии исходных документов, представленных Заказчиком (их графические изобр</w:t>
      </w:r>
      <w:r>
        <w:rPr>
          <w:sz w:val="22"/>
          <w:szCs w:val="22"/>
        </w:rPr>
        <w:t xml:space="preserve">ажения). На указанных копиях могут быть не видны (не полностью видны) следы заверения соответствующих материалов Заказчика. При этом Оценщик гарантирует, что все материалы, предоставленные Заказчиком, были оформлены в соответствии с требованиями п. 13 ФСО </w:t>
      </w:r>
      <w:r>
        <w:rPr>
          <w:sz w:val="22"/>
          <w:szCs w:val="22"/>
          <w:lang w:val="en-US"/>
        </w:rPr>
        <w:t xml:space="preserve">III</w:t>
      </w:r>
      <w:r>
        <w:rPr>
          <w:sz w:val="22"/>
          <w:szCs w:val="22"/>
        </w:rPr>
        <w:t xml:space="preserve">, их оригиналы хранятся в архиве Оценщика.</w:t>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40"/>
        <w:keepNext w:val="false"/>
        <w:widowControl w:val="false"/>
        <w:numPr>
          <w:ilvl w:val="1"/>
          <w:numId w:val="1"/>
        </w:numPr>
        <w:pBdr/>
        <w:spacing/>
        <w:ind w:firstLine="0" w:left="0"/>
        <w:jc w:val="center"/>
        <w:rPr>
          <w:b/>
          <w:sz w:val="22"/>
          <w:szCs w:val="22"/>
        </w:rPr>
      </w:pPr>
      <w:r/>
      <w:bookmarkStart w:id="17" w:name="__RefHeading___Toc212536961"/>
      <w:r/>
      <w:bookmarkEnd w:id="17"/>
      <w:r>
        <w:rPr>
          <w:b/>
          <w:sz w:val="22"/>
          <w:szCs w:val="22"/>
        </w:rPr>
        <w:t xml:space="preserve">12.3. Обоснование выбора подходов и методов оценки</w:t>
      </w:r>
      <w:r>
        <w:rPr>
          <w:b/>
          <w:sz w:val="22"/>
          <w:szCs w:val="22"/>
        </w:rPr>
      </w:r>
      <w:r>
        <w:rPr>
          <w:b/>
          <w:sz w:val="22"/>
          <w:szCs w:val="22"/>
        </w:rPr>
      </w:r>
    </w:p>
    <w:p>
      <w:pPr>
        <w:pStyle w:val="1149"/>
        <w:widowControl w:val="false"/>
        <w:pBdr/>
        <w:spacing/>
        <w:ind w:right="0" w:firstLine="540" w:left="0"/>
        <w:rPr>
          <w:color w:val="000000"/>
          <w:sz w:val="22"/>
          <w:szCs w:val="22"/>
        </w:rPr>
      </w:pPr>
      <w:r>
        <w:rPr>
          <w:color w:val="000000"/>
          <w:sz w:val="22"/>
          <w:szCs w:val="22"/>
        </w:rPr>
      </w:r>
      <w:r>
        <w:rPr>
          <w:color w:val="000000"/>
          <w:sz w:val="22"/>
          <w:szCs w:val="22"/>
        </w:rPr>
      </w:r>
      <w:r>
        <w:rPr>
          <w:color w:val="000000"/>
          <w:sz w:val="22"/>
          <w:szCs w:val="22"/>
        </w:rPr>
      </w:r>
    </w:p>
    <w:p>
      <w:pPr>
        <w:pStyle w:val="1038"/>
        <w:widowControl w:val="false"/>
        <w:pBdr/>
        <w:spacing/>
        <w:ind w:right="0" w:firstLine="709"/>
        <w:jc w:val="both"/>
        <w:rPr>
          <w:sz w:val="22"/>
          <w:szCs w:val="22"/>
        </w:rPr>
      </w:pPr>
      <w:r>
        <w:rPr>
          <w:sz w:val="22"/>
          <w:szCs w:val="22"/>
        </w:rPr>
        <w:t xml:space="preserve">В соответствии с Федеральным стандартом оценки «Подходы и методы оцен</w:t>
      </w:r>
      <w:r>
        <w:rPr>
          <w:sz w:val="22"/>
          <w:szCs w:val="22"/>
        </w:rPr>
        <w:t xml:space="preserve">ки (ФСО V)», оценщик обязан рассмотреть возможность применения трех подходов: сравнительного, доходного и затратного. На основе анализа рынка, характера объекта и доступной информации оценщиком проведен анализ возможности применения трех подходов к оценке.</w:t>
      </w:r>
      <w:r>
        <w:rPr>
          <w:sz w:val="22"/>
          <w:szCs w:val="22"/>
        </w:rPr>
      </w:r>
      <w:r>
        <w:rPr>
          <w:sz w:val="22"/>
          <w:szCs w:val="22"/>
        </w:rPr>
      </w:r>
    </w:p>
    <w:p>
      <w:pPr>
        <w:pStyle w:val="1038"/>
        <w:widowControl w:val="false"/>
        <w:pBdr/>
        <w:spacing/>
        <w:ind w:right="0" w:firstLine="720"/>
        <w:jc w:val="both"/>
        <w:rPr>
          <w:sz w:val="22"/>
          <w:szCs w:val="22"/>
        </w:rPr>
      </w:pPr>
      <w:r>
        <w:rPr>
          <w:sz w:val="22"/>
          <w:szCs w:val="22"/>
        </w:rPr>
      </w:r>
      <w:r>
        <w:rPr>
          <w:sz w:val="22"/>
          <w:szCs w:val="22"/>
        </w:rPr>
      </w:r>
      <w:r>
        <w:rPr>
          <w:sz w:val="22"/>
          <w:szCs w:val="22"/>
        </w:rPr>
      </w:r>
    </w:p>
    <w:p>
      <w:pPr>
        <w:pStyle w:val="1038"/>
        <w:widowControl w:val="false"/>
        <w:pBdr/>
        <w:spacing/>
        <w:ind w:right="0" w:firstLine="720"/>
        <w:jc w:val="both"/>
        <w:rPr>
          <w:b/>
          <w:bCs/>
          <w:sz w:val="22"/>
          <w:szCs w:val="22"/>
        </w:rPr>
      </w:pPr>
      <w:r>
        <w:rPr>
          <w:b/>
          <w:bCs/>
          <w:sz w:val="22"/>
          <w:szCs w:val="22"/>
        </w:rPr>
        <w:t xml:space="preserve">Сравнительный подход - применяется. </w:t>
      </w:r>
      <w:r>
        <w:rPr>
          <w:b/>
          <w:bCs/>
          <w:sz w:val="22"/>
          <w:szCs w:val="22"/>
        </w:rPr>
      </w:r>
      <w:r>
        <w:rPr>
          <w:b/>
          <w:bCs/>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Сравнительный подход представляет собой совокупность методов оценки, основанных на сравнении объекта оценки с идентичными или аналогичными объектами (аналогами). Сравнительный подход основан на принципах ценового равновесия и замещения. </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Рассматривая возможность и целесообразность применения сравнительного подхода, оценщику необходимо учитывать объем и качество информации о сделках с объектами, аналогичными объекту оценки, в частности:</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1) активность рынка (значимость сравнительного подхода тем выше, чем больше сделок с аналогами осуществляется на рынке);</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2) доступность информации о сделках (значимость сравнительного подхода тем выше, чем надежнее информация о сделках с аналогами);</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3) актуальность рыночной ценовой информации (значимость сравнительного подхода тем выше, чем меньше удалены во времени сделки с аналогами от даты оценки и чем стабильнее рыночные условия были в этом интервале времени);</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4) степень сопоставимости аналогов с объектом оценки (значимость сравнительного подхода тем выше, чем ближе аналоги по своим существенным характеристикам к объекту оценки и чем меньше корректировок требуется вносить в цены аналогов).</w:t>
      </w:r>
      <w:r>
        <w:rPr>
          <w:rFonts w:ascii="Times New Roman" w:hAnsi="Times New Roman" w:cs="Times New Roman"/>
          <w:sz w:val="22"/>
          <w:szCs w:val="22"/>
        </w:rPr>
      </w:r>
      <w:r>
        <w:rPr>
          <w:rFonts w:ascii="Times New Roman" w:hAnsi="Times New Roman" w:cs="Times New Roman"/>
          <w:sz w:val="22"/>
          <w:szCs w:val="22"/>
        </w:rPr>
      </w:r>
    </w:p>
    <w:p>
      <w:pPr>
        <w:pStyle w:val="1038"/>
        <w:widowControl w:val="false"/>
        <w:pBdr/>
        <w:spacing/>
        <w:ind w:right="0" w:firstLine="720"/>
        <w:jc w:val="both"/>
        <w:rPr>
          <w:sz w:val="22"/>
          <w:szCs w:val="22"/>
        </w:rPr>
      </w:pPr>
      <w:r>
        <w:rPr>
          <w:sz w:val="22"/>
          <w:szCs w:val="22"/>
        </w:rPr>
        <w:t xml:space="preserve">Вторичный рынок транспортных средств в регионе регистрации объекта оценки явл</w:t>
      </w:r>
      <w:r>
        <w:rPr>
          <w:sz w:val="22"/>
          <w:szCs w:val="22"/>
        </w:rPr>
        <w:t xml:space="preserve">яется развитым. На дату оценки имеется достаточное количество предложений о продаже объектов-аналогов, сопоставимых с оцениваемым объектом по основным ценообразующим факторам. Это позволяет применить метод сравнения продаж с высокой степенью достоверности.</w:t>
      </w:r>
      <w:r>
        <w:rPr>
          <w:sz w:val="22"/>
          <w:szCs w:val="22"/>
        </w:rPr>
      </w:r>
      <w:r>
        <w:rPr>
          <w:sz w:val="22"/>
          <w:szCs w:val="22"/>
        </w:rPr>
      </w:r>
    </w:p>
    <w:p>
      <w:pPr>
        <w:pStyle w:val="1038"/>
        <w:widowControl w:val="false"/>
        <w:pBdr/>
        <w:spacing/>
        <w:ind w:right="0" w:firstLine="720"/>
        <w:jc w:val="both"/>
        <w:rPr>
          <w:sz w:val="22"/>
          <w:szCs w:val="22"/>
        </w:rPr>
      </w:pPr>
      <w:r>
        <w:rPr>
          <w:sz w:val="22"/>
          <w:szCs w:val="22"/>
        </w:rPr>
      </w:r>
      <w:r>
        <w:rPr>
          <w:sz w:val="22"/>
          <w:szCs w:val="22"/>
        </w:rPr>
      </w:r>
      <w:r>
        <w:rPr>
          <w:sz w:val="22"/>
          <w:szCs w:val="22"/>
        </w:rPr>
      </w:r>
    </w:p>
    <w:p>
      <w:pPr>
        <w:pStyle w:val="1038"/>
        <w:widowControl w:val="false"/>
        <w:pBdr/>
        <w:spacing/>
        <w:ind w:right="0" w:firstLine="720"/>
        <w:jc w:val="both"/>
        <w:rPr>
          <w:b/>
          <w:bCs/>
          <w:sz w:val="22"/>
          <w:szCs w:val="22"/>
        </w:rPr>
      </w:pPr>
      <w:r>
        <w:rPr>
          <w:b/>
          <w:bCs/>
          <w:sz w:val="22"/>
          <w:szCs w:val="22"/>
        </w:rPr>
        <w:t xml:space="preserve">Доходный подход - не применяется. </w:t>
      </w:r>
      <w:r>
        <w:rPr>
          <w:b/>
          <w:bCs/>
          <w:sz w:val="22"/>
          <w:szCs w:val="22"/>
        </w:rPr>
      </w:r>
      <w:r>
        <w:rPr>
          <w:b/>
          <w:bCs/>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Доходный подход представляет собой совокупность методов оценки, основанных на определении текущей стоимости ожидаемых будущих денежных потоков от использования объекта оценки. Доходный подход основан на принципе ожидания выгод.</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Рассматривая возможность и целесообразность применения доходного подхода, оценщику необходимо учитывать:</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1) способность объекта приносить доход (значимость доходного подхода выше, если получение дохода от использования объекта соответствует целям приобретения объекта участниками рынка);</w:t>
      </w:r>
      <w:r>
        <w:rPr>
          <w:rFonts w:ascii="Times New Roman" w:hAnsi="Times New Roman" w:cs="Times New Roman"/>
          <w:sz w:val="22"/>
          <w:szCs w:val="22"/>
        </w:rPr>
      </w:r>
      <w:r>
        <w:rPr>
          <w:rFonts w:ascii="Times New Roman" w:hAnsi="Times New Roman" w:cs="Times New Roman"/>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t xml:space="preserve">2) степень неопределенности будущих доходов (значимость доходного подхода тем ниже, чем выше неопределенность, связанная с суммами и сроками поступления будущих доходов от использования объекта).</w:t>
      </w:r>
      <w:r>
        <w:rPr>
          <w:rFonts w:ascii="Times New Roman" w:hAnsi="Times New Roman" w:cs="Times New Roman"/>
          <w:sz w:val="22"/>
          <w:szCs w:val="22"/>
        </w:rPr>
      </w:r>
      <w:r>
        <w:rPr>
          <w:rFonts w:ascii="Times New Roman" w:hAnsi="Times New Roman" w:cs="Times New Roman"/>
          <w:sz w:val="22"/>
          <w:szCs w:val="22"/>
        </w:rPr>
      </w:r>
    </w:p>
    <w:p>
      <w:pPr>
        <w:pStyle w:val="1038"/>
        <w:widowControl w:val="false"/>
        <w:pBdr/>
        <w:spacing/>
        <w:ind w:right="0" w:firstLine="720"/>
        <w:jc w:val="both"/>
        <w:rPr>
          <w:sz w:val="22"/>
          <w:szCs w:val="22"/>
        </w:rPr>
      </w:pPr>
      <w:r>
        <w:rPr>
          <w:sz w:val="22"/>
          <w:szCs w:val="22"/>
        </w:rPr>
        <w:t xml:space="preserve">Оцениваемый объект не используется и не предполагается к использованию в це</w:t>
      </w:r>
      <w:r>
        <w:rPr>
          <w:sz w:val="22"/>
          <w:szCs w:val="22"/>
        </w:rPr>
        <w:t xml:space="preserve">лях извлечения дохода (не сдается в аренду, не генерирует регулярных денежных потоков). Прогнозирование будущих доходов от объекта носит предположительный характер, что не соответствует требованиям к достоверности результатов оценки для нотариальных целей.</w:t>
      </w:r>
      <w:r>
        <w:rPr>
          <w:sz w:val="22"/>
          <w:szCs w:val="22"/>
        </w:rPr>
      </w:r>
      <w:r>
        <w:rPr>
          <w:sz w:val="22"/>
          <w:szCs w:val="22"/>
        </w:rPr>
      </w:r>
    </w:p>
    <w:p>
      <w:pPr>
        <w:pStyle w:val="1038"/>
        <w:widowControl w:val="false"/>
        <w:pBdr/>
        <w:spacing/>
        <w:ind w:right="0" w:firstLine="720"/>
        <w:jc w:val="both"/>
        <w:rPr>
          <w:sz w:val="22"/>
          <w:szCs w:val="22"/>
        </w:rPr>
      </w:pPr>
      <w:r>
        <w:rPr>
          <w:sz w:val="22"/>
          <w:szCs w:val="22"/>
        </w:rPr>
      </w:r>
      <w:r>
        <w:rPr>
          <w:sz w:val="22"/>
          <w:szCs w:val="22"/>
        </w:rPr>
      </w:r>
      <w:r>
        <w:rPr>
          <w:sz w:val="22"/>
          <w:szCs w:val="22"/>
        </w:rPr>
      </w:r>
    </w:p>
    <w:p>
      <w:pPr>
        <w:pStyle w:val="1038"/>
        <w:widowControl w:val="false"/>
        <w:pBdr/>
        <w:spacing/>
        <w:ind w:right="0" w:firstLine="720"/>
        <w:jc w:val="both"/>
        <w:rPr>
          <w:b/>
          <w:bCs/>
          <w:sz w:val="22"/>
          <w:szCs w:val="22"/>
        </w:rPr>
      </w:pPr>
      <w:r>
        <w:rPr>
          <w:b/>
          <w:bCs/>
          <w:sz w:val="22"/>
          <w:szCs w:val="22"/>
        </w:rPr>
        <w:t xml:space="preserve">Затратный подход - не применяется.</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Затратный подход представляет соб</w:t>
      </w:r>
      <w:r>
        <w:rPr>
          <w:sz w:val="22"/>
          <w:szCs w:val="22"/>
        </w:rPr>
        <w:t xml:space="preserve">ой совокупность методов оценки, основанных на определении затрат, необходимых для воспроизводства или замещения объекта оценки с учетом совокупного обесценения (износа) объекта оценки и (или) его компонентов. Затратный подход основан на принципе замещения.</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Затраты замещения (стоимость замещения) представляют собой текущие затраты на создание или приобретение объекта эквивалентной полезности без учета его точных</w:t>
      </w:r>
      <w:r>
        <w:rPr>
          <w:sz w:val="22"/>
          <w:szCs w:val="22"/>
        </w:rPr>
        <w:t xml:space="preserve"> физических свойств. Обычно затраты замещения относятся к современному аналогичному объекту, обеспечивающему равноценную полезность, имеющему современный дизайн и произведенному с использованием современных экономически эффективных материалов и технологий.</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Рассматривая возможность и целесообразность применения затратного подхода, оценщик должен учитывать:</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1) возможность для участников рынка создать объект, обладающий такой же полезностью, что и объект оценки, – значимость подхода высокая</w:t>
      </w:r>
      <w:r>
        <w:rPr>
          <w:sz w:val="22"/>
          <w:szCs w:val="22"/>
        </w:rPr>
        <w:t xml:space="preserve">, когда у участников рынка есть возможность создать объект без значительных юридических ограничений, настолько быстро, что участники рынка не захотят платить значительную премию за возможность немедленного использования оцениваемого актива при его покупке;</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2) надежность других под</w:t>
      </w:r>
      <w:r>
        <w:rPr>
          <w:sz w:val="22"/>
          <w:szCs w:val="22"/>
        </w:rPr>
        <w:t xml:space="preserve">ходов к оценке объекта – наиболее высока значимость затратного подхода, когда объект не генерирует непосредственно доход и является специализированным, то есть не продается на рынке отдельно от бизнеса или имущественного комплекса, для которого был создан.</w:t>
      </w:r>
      <w:r>
        <w:rPr>
          <w:sz w:val="22"/>
          <w:szCs w:val="22"/>
        </w:rPr>
      </w:r>
      <w:r>
        <w:rPr>
          <w:sz w:val="22"/>
          <w:szCs w:val="22"/>
        </w:rPr>
      </w:r>
    </w:p>
    <w:p>
      <w:pPr>
        <w:pStyle w:val="1038"/>
        <w:widowControl w:val="false"/>
        <w:pBdr/>
        <w:spacing/>
        <w:ind w:right="0" w:firstLine="720"/>
        <w:jc w:val="both"/>
        <w:rPr>
          <w:sz w:val="22"/>
          <w:szCs w:val="22"/>
        </w:rPr>
      </w:pPr>
      <w:r>
        <w:rPr>
          <w:sz w:val="22"/>
          <w:szCs w:val="22"/>
        </w:rPr>
        <w:t xml:space="preserve">Определе</w:t>
      </w:r>
      <w:r>
        <w:rPr>
          <w:sz w:val="22"/>
          <w:szCs w:val="22"/>
        </w:rPr>
        <w:t xml:space="preserve">ние стоимости объекта путем суммирования затрат на его создание (воспроизводство или замещение) нецелесообразно, поскольку: объект является объектом вторичного и его потребительская стоимость не соответствует сумме затрат на его создание; расчет накопленно</w:t>
      </w:r>
      <w:r>
        <w:rPr>
          <w:sz w:val="22"/>
          <w:szCs w:val="22"/>
        </w:rPr>
        <w:t xml:space="preserve">го износа (физического, функционального, внешнего) требует значительного количества допущений, что снижает точность результата; на рынке присутствует достаточная информация о ценах сделок/предложений, что делает сравнительный подход более предпочтительным.</w:t>
      </w:r>
      <w:r>
        <w:rPr>
          <w:sz w:val="22"/>
          <w:szCs w:val="22"/>
        </w:rPr>
      </w:r>
      <w:r>
        <w:rPr>
          <w:sz w:val="22"/>
          <w:szCs w:val="22"/>
        </w:rPr>
      </w:r>
    </w:p>
    <w:p>
      <w:pPr>
        <w:pStyle w:val="1038"/>
        <w:widowControl w:val="false"/>
        <w:pBdr/>
        <w:spacing/>
        <w:ind w:right="0" w:firstLine="720"/>
        <w:jc w:val="both"/>
        <w:rPr>
          <w:sz w:val="22"/>
          <w:szCs w:val="22"/>
        </w:rPr>
      </w:pPr>
      <w:r>
        <w:rPr>
          <w:sz w:val="22"/>
          <w:szCs w:val="22"/>
        </w:rPr>
      </w:r>
      <w:r>
        <w:rPr>
          <w:sz w:val="22"/>
          <w:szCs w:val="22"/>
        </w:rPr>
      </w:r>
      <w:r>
        <w:rPr>
          <w:sz w:val="22"/>
          <w:szCs w:val="22"/>
        </w:rPr>
      </w:r>
    </w:p>
    <w:p>
      <w:pPr>
        <w:pStyle w:val="1038"/>
        <w:widowControl w:val="false"/>
        <w:pBdr/>
        <w:spacing/>
        <w:ind w:right="0" w:firstLine="720"/>
        <w:rPr>
          <w:b/>
          <w:bCs/>
          <w:sz w:val="22"/>
          <w:szCs w:val="22"/>
          <w:lang w:val="en-US"/>
        </w:rPr>
      </w:pPr>
      <w:r>
        <w:rPr>
          <w:b/>
          <w:bCs/>
          <w:sz w:val="22"/>
          <w:szCs w:val="22"/>
        </w:rPr>
        <w:t xml:space="preserve">Обоснование выбора метода</w:t>
      </w:r>
      <w:r>
        <w:rPr>
          <w:b/>
          <w:bCs/>
          <w:sz w:val="22"/>
          <w:szCs w:val="22"/>
          <w:lang w:val="en-US"/>
        </w:rPr>
      </w:r>
      <w:r>
        <w:rPr>
          <w:b/>
          <w:bCs/>
          <w:sz w:val="22"/>
          <w:szCs w:val="22"/>
          <w:lang w:val="en-US"/>
        </w:rPr>
      </w:r>
    </w:p>
    <w:p>
      <w:pPr>
        <w:pStyle w:val="1038"/>
        <w:widowControl w:val="false"/>
        <w:pBdr/>
        <w:spacing/>
        <w:ind w:right="0" w:firstLine="720"/>
        <w:jc w:val="both"/>
        <w:rPr>
          <w:sz w:val="22"/>
          <w:szCs w:val="22"/>
          <w:highlight w:val="none"/>
        </w:rPr>
      </w:pPr>
      <w:r>
        <w:rPr>
          <w:sz w:val="22"/>
          <w:szCs w:val="22"/>
        </w:rPr>
        <w:t xml:space="preserve">Метод</w:t>
      </w:r>
      <w:r>
        <w:rPr>
          <w:sz w:val="22"/>
          <w:szCs w:val="22"/>
        </w:rPr>
        <w:t xml:space="preserve"> сравнения продаж является основным и наиболее распространенным методом в рамках сравнительного подхода. Его применение обосновано наличием на открытом рынке достаточного количества объектов-аналогов (не менее 3–5 сопоставимых объектов), по которым доступн</w:t>
      </w:r>
      <w:r>
        <w:rPr>
          <w:sz w:val="22"/>
          <w:szCs w:val="22"/>
        </w:rPr>
        <w:t xml:space="preserve">а достоверная информация о ценах предложений (сделок). Вторичный рынок транспортных средств характеризуется высоким уровнем конкуренции и прозрачностью ценообразования, что позволяет провести корректные корректировки на различия в характеристиках объектов.</w:t>
      </w:r>
      <w:r>
        <w:rPr>
          <w:sz w:val="22"/>
          <w:szCs w:val="22"/>
          <w:highlight w:val="none"/>
        </w:rPr>
      </w:r>
      <w:r>
        <w:rPr>
          <w:sz w:val="22"/>
          <w:szCs w:val="22"/>
          <w:highlight w:val="none"/>
        </w:rPr>
      </w:r>
    </w:p>
    <w:p>
      <w:pPr>
        <w:pBdr/>
        <w:shd w:val="nil" w:color="auto"/>
        <w:spacing/>
        <w:ind/>
        <w:rPr>
          <w:sz w:val="22"/>
          <w:szCs w:val="22"/>
        </w:rPr>
      </w:pPr>
      <w:r>
        <w:rPr>
          <w:sz w:val="22"/>
          <w:szCs w:val="22"/>
        </w:rPr>
        <w:br w:type="page" w:clear="all"/>
      </w:r>
      <w:r>
        <w:rPr>
          <w:sz w:val="22"/>
          <w:szCs w:val="22"/>
        </w:rPr>
      </w:r>
      <w:r>
        <w:rPr>
          <w:sz w:val="22"/>
          <w:szCs w:val="22"/>
        </w:rPr>
      </w:r>
    </w:p>
    <w:p>
      <w:pPr>
        <w:pStyle w:val="1040"/>
        <w:numPr>
          <w:ilvl w:val="1"/>
          <w:numId w:val="1"/>
        </w:numPr>
        <w:pBdr/>
        <w:spacing/>
        <w:ind w:firstLine="0" w:left="0"/>
        <w:jc w:val="center"/>
        <w:rPr>
          <w:sz w:val="22"/>
          <w:szCs w:val="22"/>
        </w:rPr>
      </w:pPr>
      <w:r>
        <w:rPr>
          <w:b/>
          <w:sz w:val="22"/>
          <w:szCs w:val="22"/>
        </w:rPr>
        <w:t xml:space="preserve">12.4. Расчет стоимости объекта оценки сравнительным подходом</w:t>
      </w:r>
      <w:r>
        <w:rPr>
          <w:sz w:val="22"/>
          <w:szCs w:val="22"/>
        </w:rPr>
      </w:r>
      <w:r>
        <w:rPr>
          <w:sz w:val="22"/>
          <w:szCs w:val="22"/>
        </w:rPr>
      </w:r>
    </w:p>
    <w:p>
      <w:pPr>
        <w:pStyle w:val="1160"/>
        <w:pBdr/>
        <w:spacing/>
        <w:ind/>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pPr>
        <w:pStyle w:val="1038"/>
        <w:widowControl w:val="false"/>
        <w:pBdr/>
        <w:spacing/>
        <w:ind/>
        <w:jc w:val="both"/>
        <w:rPr>
          <w:sz w:val="22"/>
          <w:szCs w:val="22"/>
        </w:rPr>
      </w:pPr>
      <w:r>
        <w:rPr>
          <w:sz w:val="22"/>
          <w:szCs w:val="22"/>
        </w:rPr>
        <w:tab/>
        <w:t xml:space="preserve">По результатам исследования и детализации данных объекта оценки, предоставленных Заказчиком, и уточнения технического состояния объектов-ан</w:t>
      </w:r>
      <w:r>
        <w:rPr>
          <w:sz w:val="22"/>
          <w:szCs w:val="22"/>
        </w:rPr>
        <w:t xml:space="preserve">алогов, оценщик определил объекты-аналоги для использования в расчетах при определении стоимости объекта оценки сравнительным подходом, с использованием метода прямого сравнения с аналогичными объектами, с внесением направленных качественных корректировок.</w:t>
      </w:r>
      <w:r>
        <w:rPr>
          <w:sz w:val="22"/>
          <w:szCs w:val="22"/>
        </w:rPr>
      </w:r>
      <w:r>
        <w:rPr>
          <w:sz w:val="22"/>
          <w:szCs w:val="22"/>
        </w:rPr>
      </w:r>
    </w:p>
    <w:p>
      <w:pPr>
        <w:pStyle w:val="1038"/>
        <w:widowControl w:val="false"/>
        <w:numPr>
          <w:ilvl w:val="0"/>
          <w:numId w:val="4"/>
        </w:numPr>
        <w:pBdr/>
        <w:spacing/>
        <w:ind w:right="0" w:hanging="360" w:left="2694"/>
        <w:jc w:val="right"/>
        <w:rPr>
          <w:sz w:val="22"/>
          <w:szCs w:val="22"/>
        </w:rPr>
      </w:pPr>
      <w:r>
        <w:rPr>
          <w:sz w:val="22"/>
          <w:szCs w:val="22"/>
        </w:rPr>
      </w:r>
      <w:r>
        <w:rPr>
          <w:sz w:val="22"/>
          <w:szCs w:val="22"/>
        </w:rPr>
      </w:r>
      <w:r>
        <w:rPr>
          <w:sz w:val="22"/>
          <w:szCs w:val="22"/>
        </w:rPr>
      </w:r>
    </w:p>
    <w:tbl>
      <w:tblPr>
        <w:tblW w:w="10705"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1632"/>
        <w:gridCol w:w="1416"/>
        <w:gridCol w:w="1488"/>
        <w:gridCol w:w="1488"/>
        <w:gridCol w:w="1560"/>
        <w:gridCol w:w="1562"/>
        <w:gridCol w:w="1559"/>
      </w:tblGrid>
      <w:tr>
        <w:trPr>
          <w:trHeight w:val="495"/>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b/>
                <w:bCs/>
                <w:sz w:val="18"/>
                <w:szCs w:val="18"/>
              </w:rPr>
            </w:pPr>
            <w:r>
              <w:rPr>
                <w:b/>
                <w:bCs/>
                <w:sz w:val="18"/>
                <w:szCs w:val="18"/>
              </w:rPr>
              <w:t xml:space="preserve">Характеристика</w:t>
            </w:r>
            <w:r>
              <w:rPr>
                <w:b/>
                <w:bCs/>
                <w:sz w:val="18"/>
                <w:szCs w:val="18"/>
              </w:rPr>
            </w:r>
            <w:r>
              <w:rPr>
                <w:b/>
                <w:bCs/>
                <w:sz w:val="18"/>
                <w:szCs w:val="18"/>
              </w:rPr>
            </w:r>
          </w:p>
        </w:tc>
        <w:tc>
          <w:tcPr>
            <w:shd w:val="clear" w:color="auto" w:fill="ffffff"/>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Style w:val="1038"/>
              <w:pBdr/>
              <w:spacing/>
              <w:ind/>
              <w:jc w:val="center"/>
              <w:rPr>
                <w:b/>
                <w:bCs/>
                <w:sz w:val="18"/>
                <w:szCs w:val="18"/>
              </w:rPr>
            </w:pPr>
            <w:r>
              <w:rPr>
                <w:b/>
                <w:bCs/>
                <w:sz w:val="18"/>
                <w:szCs w:val="18"/>
              </w:rPr>
              <w:t xml:space="preserve">Объект оценки</w:t>
            </w:r>
            <w:r>
              <w:rPr>
                <w:b/>
                <w:bCs/>
                <w:sz w:val="18"/>
                <w:szCs w:val="18"/>
              </w:rPr>
            </w:r>
            <w:r>
              <w:rPr>
                <w:b/>
                <w:bCs/>
                <w:sz w:val="18"/>
                <w:szCs w:val="18"/>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Style w:val="1038"/>
              <w:pBdr/>
              <w:spacing/>
              <w:ind/>
              <w:jc w:val="center"/>
              <w:rPr>
                <w:b/>
                <w:bCs/>
                <w:sz w:val="18"/>
                <w:szCs w:val="18"/>
              </w:rPr>
            </w:pPr>
            <w:r>
              <w:rPr>
                <w:b/>
                <w:bCs/>
                <w:sz w:val="18"/>
                <w:szCs w:val="18"/>
              </w:rPr>
              <w:t xml:space="preserve">1-й аналог</w:t>
            </w:r>
            <w:r>
              <w:rPr>
                <w:b/>
                <w:bCs/>
                <w:sz w:val="18"/>
                <w:szCs w:val="18"/>
              </w:rPr>
            </w:r>
            <w:r>
              <w:rPr>
                <w:b/>
                <w:bCs/>
                <w:sz w:val="18"/>
                <w:szCs w:val="18"/>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Style w:val="1038"/>
              <w:pBdr/>
              <w:spacing/>
              <w:ind/>
              <w:jc w:val="center"/>
              <w:rPr>
                <w:b/>
                <w:bCs/>
                <w:sz w:val="18"/>
                <w:szCs w:val="18"/>
              </w:rPr>
            </w:pPr>
            <w:r>
              <w:rPr>
                <w:b/>
                <w:bCs/>
                <w:sz w:val="18"/>
                <w:szCs w:val="18"/>
              </w:rPr>
              <w:t xml:space="preserve">2-й аналог</w:t>
            </w:r>
            <w:r>
              <w:rPr>
                <w:b/>
                <w:bCs/>
                <w:sz w:val="18"/>
                <w:szCs w:val="18"/>
              </w:rPr>
            </w:r>
            <w:r>
              <w:rPr>
                <w:b/>
                <w:bCs/>
                <w:sz w:val="18"/>
                <w:szCs w:val="18"/>
              </w:rPr>
            </w:r>
          </w:p>
        </w:tc>
        <w:tc>
          <w:tcPr>
            <w:shd w:val="clear" w:color="auto" w:fill="ffffff"/>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Style w:val="1038"/>
              <w:pBdr/>
              <w:spacing/>
              <w:ind/>
              <w:jc w:val="center"/>
              <w:rPr>
                <w:b/>
                <w:bCs/>
                <w:sz w:val="18"/>
                <w:szCs w:val="18"/>
              </w:rPr>
            </w:pPr>
            <w:r>
              <w:rPr>
                <w:b/>
                <w:bCs/>
                <w:sz w:val="18"/>
                <w:szCs w:val="18"/>
              </w:rPr>
              <w:t xml:space="preserve">3-й аналог</w:t>
            </w:r>
            <w:r>
              <w:rPr>
                <w:b/>
                <w:bCs/>
                <w:sz w:val="18"/>
                <w:szCs w:val="18"/>
              </w:rPr>
            </w:r>
            <w:r>
              <w:rPr>
                <w:b/>
                <w:bCs/>
                <w:sz w:val="18"/>
                <w:szCs w:val="18"/>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Style w:val="1038"/>
              <w:pBdr/>
              <w:spacing/>
              <w:ind/>
              <w:jc w:val="center"/>
              <w:rPr>
                <w:b/>
                <w:bCs/>
                <w:sz w:val="18"/>
                <w:szCs w:val="18"/>
              </w:rPr>
            </w:pPr>
            <w:r>
              <w:rPr>
                <w:b/>
                <w:bCs/>
                <w:sz w:val="18"/>
                <w:szCs w:val="18"/>
              </w:rPr>
              <w:t xml:space="preserve">4-аналог</w:t>
            </w:r>
            <w:r>
              <w:rPr>
                <w:b/>
                <w:bCs/>
                <w:sz w:val="18"/>
                <w:szCs w:val="18"/>
              </w:rPr>
            </w:r>
            <w:r>
              <w:rPr>
                <w:b/>
                <w:bCs/>
                <w:sz w:val="18"/>
                <w:szCs w:val="18"/>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Style w:val="1038"/>
              <w:pBdr/>
              <w:spacing/>
              <w:ind/>
              <w:jc w:val="center"/>
              <w:rPr>
                <w:b/>
                <w:bCs/>
                <w:sz w:val="18"/>
                <w:szCs w:val="18"/>
              </w:rPr>
            </w:pPr>
            <w:r>
              <w:rPr>
                <w:b/>
                <w:bCs/>
                <w:sz w:val="18"/>
                <w:szCs w:val="18"/>
              </w:rPr>
              <w:t xml:space="preserve">5-аналог</w:t>
            </w:r>
            <w:r>
              <w:rPr>
                <w:b/>
                <w:bCs/>
                <w:sz w:val="18"/>
                <w:szCs w:val="18"/>
              </w:rPr>
            </w:r>
            <w:r>
              <w:rPr>
                <w:b/>
                <w:bCs/>
                <w:sz w:val="18"/>
                <w:szCs w:val="18"/>
              </w:rPr>
            </w:r>
          </w:p>
        </w:tc>
      </w:tr>
      <w:tr>
        <w:trPr>
          <w:gridAfter w:val="6"/>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Марка, модель</w:t>
            </w:r>
            <w:r>
              <w:rPr>
                <w:color w:val="ff0000"/>
                <w:sz w:val="18"/>
                <w:szCs w:val="18"/>
              </w:rPr>
            </w:r>
            <w:r>
              <w:rPr>
                <w:color w:val="ff0000"/>
                <w:sz w:val="18"/>
                <w:szCs w:val="18"/>
              </w:rPr>
            </w:r>
          </w:p>
        </w:tc>
      </w:tr>
      <w:tr>
        <w:trPr>
          <w:gridAfter w:val="6"/>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000000"/>
                <w:sz w:val="18"/>
                <w:szCs w:val="18"/>
              </w:rPr>
            </w:pPr>
            <w:r>
              <w:rPr>
                <w:color w:val="000000"/>
                <w:sz w:val="18"/>
                <w:szCs w:val="18"/>
              </w:rPr>
              <w:t xml:space="preserve">Передаваемые права</w:t>
            </w:r>
            <w:r>
              <w:rPr>
                <w:color w:val="000000"/>
                <w:sz w:val="18"/>
                <w:szCs w:val="18"/>
              </w:rPr>
            </w:r>
            <w:r>
              <w:rPr>
                <w:color w:val="000000"/>
                <w:sz w:val="18"/>
                <w:szCs w:val="18"/>
              </w:rPr>
            </w:r>
          </w:p>
        </w:tc>
      </w:tr>
      <w:tr>
        <w:trPr>
          <w:gridAfter w:val="6"/>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Источник информации</w:t>
            </w:r>
            <w:r>
              <w:rPr>
                <w:color w:val="ff0000"/>
                <w:sz w:val="18"/>
                <w:szCs w:val="18"/>
              </w:rPr>
            </w:r>
            <w:r>
              <w:rPr>
                <w:color w:val="ff0000"/>
                <w:sz w:val="18"/>
                <w:szCs w:val="18"/>
              </w:rPr>
            </w:r>
          </w:p>
        </w:tc>
      </w:tr>
      <w:tr>
        <w:trPr>
          <w:gridAfter w:val="6"/>
          <w:trHeight w:val="24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Год выпуска</w:t>
            </w:r>
            <w:r>
              <w:rPr>
                <w:color w:val="ff0000"/>
                <w:sz w:val="18"/>
                <w:szCs w:val="18"/>
              </w:rPr>
            </w:r>
            <w:r>
              <w:rPr>
                <w:color w:val="ff0000"/>
                <w:sz w:val="18"/>
                <w:szCs w:val="18"/>
              </w:rPr>
            </w:r>
          </w:p>
        </w:tc>
      </w:tr>
      <w:tr>
        <w:trPr>
          <w:gridAfter w:val="6"/>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Цена предложения, руб.</w:t>
            </w:r>
            <w:r>
              <w:rPr>
                <w:color w:val="ff0000"/>
                <w:sz w:val="18"/>
                <w:szCs w:val="18"/>
              </w:rPr>
            </w:r>
            <w:r>
              <w:rPr>
                <w:color w:val="ff0000"/>
                <w:sz w:val="18"/>
                <w:szCs w:val="18"/>
              </w:rPr>
            </w:r>
          </w:p>
        </w:tc>
      </w:tr>
      <w:tr>
        <w:trPr>
          <w:gridAfter w:val="6"/>
          <w:trHeight w:val="72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Местонахождение</w:t>
            </w:r>
            <w:r>
              <w:rPr>
                <w:color w:val="ff0000"/>
                <w:sz w:val="18"/>
                <w:szCs w:val="18"/>
              </w:rPr>
            </w:r>
            <w:r>
              <w:rPr>
                <w:color w:val="ff0000"/>
                <w:sz w:val="18"/>
                <w:szCs w:val="18"/>
              </w:rPr>
            </w:r>
          </w:p>
        </w:tc>
      </w:tr>
      <w:tr>
        <w:trPr>
          <w:gridAfter w:val="6"/>
          <w:trHeight w:val="24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Тип двигателя</w:t>
            </w:r>
            <w:r>
              <w:rPr>
                <w:color w:val="ff0000"/>
                <w:sz w:val="18"/>
                <w:szCs w:val="18"/>
              </w:rPr>
            </w:r>
            <w:r>
              <w:rPr>
                <w:color w:val="ff0000"/>
                <w:sz w:val="18"/>
                <w:szCs w:val="18"/>
              </w:rPr>
            </w:r>
          </w:p>
        </w:tc>
      </w:tr>
      <w:tr>
        <w:trPr>
          <w:gridAfter w:val="6"/>
          <w:trHeight w:val="24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Тип коробки передач</w:t>
            </w:r>
            <w:r>
              <w:rPr>
                <w:color w:val="ff0000"/>
                <w:sz w:val="18"/>
                <w:szCs w:val="18"/>
              </w:rPr>
            </w:r>
            <w:r>
              <w:rPr>
                <w:color w:val="ff0000"/>
                <w:sz w:val="18"/>
                <w:szCs w:val="18"/>
              </w:rPr>
            </w:r>
          </w:p>
        </w:tc>
      </w:tr>
      <w:tr>
        <w:trPr>
          <w:gridAfter w:val="6"/>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Мощность двигателя, л.с.</w:t>
            </w:r>
            <w:r>
              <w:rPr>
                <w:color w:val="ff0000"/>
                <w:sz w:val="18"/>
                <w:szCs w:val="18"/>
              </w:rPr>
            </w:r>
            <w:r>
              <w:rPr>
                <w:color w:val="ff0000"/>
                <w:sz w:val="18"/>
                <w:szCs w:val="18"/>
              </w:rPr>
            </w:r>
          </w:p>
        </w:tc>
      </w:tr>
      <w:tr>
        <w:trPr>
          <w:gridAfter w:val="6"/>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Рабочий объем двигателя, куб. л.</w:t>
            </w:r>
            <w:r>
              <w:rPr>
                <w:color w:val="ff0000"/>
                <w:sz w:val="18"/>
                <w:szCs w:val="18"/>
              </w:rPr>
            </w:r>
            <w:r>
              <w:rPr>
                <w:color w:val="ff0000"/>
                <w:sz w:val="18"/>
                <w:szCs w:val="18"/>
              </w:rPr>
            </w:r>
          </w:p>
        </w:tc>
      </w:tr>
      <w:tr>
        <w:trPr>
          <w:gridAfter w:val="6"/>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Пробег, км</w:t>
            </w:r>
            <w:r>
              <w:rPr>
                <w:color w:val="ff0000"/>
                <w:sz w:val="18"/>
                <w:szCs w:val="18"/>
              </w:rPr>
            </w:r>
            <w:r>
              <w:rPr>
                <w:color w:val="ff0000"/>
                <w:sz w:val="18"/>
                <w:szCs w:val="18"/>
              </w:rPr>
            </w:r>
          </w:p>
        </w:tc>
      </w:tr>
      <w:tr>
        <w:trPr>
          <w:gridAfter w:val="6"/>
          <w:trHeight w:val="360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Style w:val="1038"/>
              <w:pBdr/>
              <w:spacing/>
              <w:ind/>
              <w:jc w:val="center"/>
              <w:rPr>
                <w:color w:val="ff0000"/>
                <w:sz w:val="18"/>
                <w:szCs w:val="18"/>
              </w:rPr>
            </w:pPr>
            <w:r>
              <w:rPr>
                <w:color w:val="ff0000"/>
                <w:sz w:val="18"/>
                <w:szCs w:val="18"/>
              </w:rPr>
              <w:t xml:space="preserve">Техническое состояние</w:t>
            </w:r>
            <w:r>
              <w:rPr>
                <w:color w:val="ff0000"/>
                <w:sz w:val="18"/>
                <w:szCs w:val="18"/>
              </w:rPr>
            </w:r>
            <w:r>
              <w:rPr>
                <w:color w:val="ff0000"/>
                <w:sz w:val="18"/>
                <w:szCs w:val="18"/>
              </w:rPr>
            </w:r>
          </w:p>
        </w:tc>
      </w:tr>
    </w:tbl>
    <w:p>
      <w:pPr>
        <w:pStyle w:val="1038"/>
        <w:widowControl w:val="false"/>
        <w:pBdr/>
        <w:spacing/>
        <w:ind w:right="0" w:firstLine="720"/>
        <w:jc w:val="both"/>
        <w:rPr>
          <w:sz w:val="22"/>
          <w:szCs w:val="22"/>
        </w:rPr>
      </w:pPr>
      <w:r>
        <w:rPr>
          <w:sz w:val="22"/>
          <w:szCs w:val="22"/>
        </w:rPr>
      </w:r>
      <w:r>
        <w:rPr>
          <w:sz w:val="22"/>
          <w:szCs w:val="22"/>
        </w:rPr>
      </w:r>
      <w:r>
        <w:rPr>
          <w:sz w:val="22"/>
          <w:szCs w:val="22"/>
        </w:rPr>
      </w:r>
    </w:p>
    <w:p>
      <w:pPr>
        <w:pStyle w:val="1038"/>
        <w:widowControl w:val="false"/>
        <w:pBdr/>
        <w:spacing/>
        <w:ind w:right="0" w:firstLine="720"/>
        <w:jc w:val="both"/>
        <w:rPr>
          <w:sz w:val="22"/>
          <w:szCs w:val="22"/>
        </w:rPr>
      </w:pPr>
      <w:r>
        <w:rPr>
          <w:sz w:val="22"/>
          <w:szCs w:val="22"/>
        </w:rPr>
      </w:r>
      <w:r>
        <w:rPr>
          <w:sz w:val="22"/>
          <w:szCs w:val="22"/>
        </w:rPr>
      </w:r>
      <w:r>
        <w:rPr>
          <w:sz w:val="22"/>
          <w:szCs w:val="22"/>
        </w:rPr>
      </w:r>
    </w:p>
    <w:p>
      <w:pPr>
        <w:pBdr/>
        <w:shd w:val="nil" w:color="auto"/>
        <w:spacing/>
        <w:ind/>
        <w:rPr>
          <w:sz w:val="22"/>
          <w:szCs w:val="22"/>
        </w:rPr>
      </w:pPr>
      <w:r>
        <w:rPr>
          <w:sz w:val="22"/>
          <w:szCs w:val="22"/>
        </w:rPr>
        <w:br w:type="page" w:clear="all"/>
      </w:r>
      <w:r>
        <w:rPr>
          <w:sz w:val="22"/>
          <w:szCs w:val="22"/>
        </w:rPr>
      </w:r>
      <w:r>
        <w:rPr>
          <w:sz w:val="22"/>
          <w:szCs w:val="22"/>
        </w:rPr>
      </w:r>
    </w:p>
    <w:p>
      <w:pPr>
        <w:pStyle w:val="1038"/>
        <w:widowControl w:val="false"/>
        <w:pBdr/>
        <w:spacing/>
        <w:ind/>
        <w:jc w:val="center"/>
        <w:rPr>
          <w:b/>
          <w:bCs/>
          <w:sz w:val="22"/>
          <w:szCs w:val="22"/>
          <w:highlight w:val="none"/>
        </w:rPr>
      </w:pPr>
      <w:r>
        <w:rPr>
          <w:b/>
          <w:bCs/>
          <w:sz w:val="22"/>
          <w:szCs w:val="22"/>
        </w:rPr>
        <w:t xml:space="preserve">Выборка объектов</w:t>
      </w:r>
      <w:r>
        <w:rPr>
          <w:b/>
          <w:bCs/>
          <w:sz w:val="22"/>
          <w:szCs w:val="22"/>
          <w:lang w:val="en-US"/>
        </w:rPr>
        <w:t xml:space="preserve">-</w:t>
      </w:r>
      <w:r>
        <w:rPr>
          <w:b/>
          <w:bCs/>
          <w:sz w:val="22"/>
          <w:szCs w:val="22"/>
        </w:rPr>
        <w:t xml:space="preserve">аналогов</w:t>
      </w:r>
      <w:r>
        <w:rPr>
          <w:b/>
          <w:bCs/>
          <w:sz w:val="22"/>
          <w:szCs w:val="22"/>
          <w:highlight w:val="none"/>
        </w:rPr>
      </w:r>
      <w:r>
        <w:rPr>
          <w:b/>
          <w:bCs/>
          <w:sz w:val="22"/>
          <w:szCs w:val="22"/>
          <w:highlight w:val="none"/>
        </w:rPr>
      </w:r>
    </w:p>
    <w:p>
      <w:pPr>
        <w:pStyle w:val="1038"/>
        <w:widowControl w:val="false"/>
        <w:pBdr/>
        <w:spacing/>
        <w:ind/>
        <w:jc w:val="center"/>
        <w:rPr>
          <w:b/>
          <w:bCs/>
          <w:sz w:val="22"/>
          <w:szCs w:val="22"/>
        </w:rPr>
      </w:pPr>
      <w:r>
        <w:rPr>
          <w:b/>
          <w:bCs/>
          <w:sz w:val="22"/>
          <w:szCs w:val="22"/>
          <w:highlight w:val="none"/>
        </w:rPr>
      </w:r>
      <w:r>
        <w:rPr>
          <w:b/>
          <w:bCs/>
          <w:sz w:val="22"/>
          <w:szCs w:val="22"/>
        </w:rPr>
      </w:r>
      <w:r>
        <w:rPr>
          <w:b/>
          <w:bCs/>
          <w:sz w:val="22"/>
          <w:szCs w:val="22"/>
        </w:rPr>
      </w:r>
    </w:p>
    <w:p>
      <w:pPr>
        <w:pStyle w:val="1038"/>
        <w:widowControl w:val="false"/>
        <w:pBdr/>
        <w:spacing/>
        <w:ind/>
        <w:rPr>
          <w:b w:val="0"/>
          <w:bCs w:val="0"/>
          <w:sz w:val="22"/>
          <w:szCs w:val="22"/>
        </w:rPr>
      </w:pPr>
      <w:r>
        <w:rPr>
          <w:b w:val="0"/>
          <w:bCs w:val="0"/>
          <w:sz w:val="22"/>
          <w:szCs w:val="22"/>
        </w:rPr>
        <w:t xml:space="preserve">${offer_block}</w:t>
      </w:r>
      <w:r>
        <w:rPr>
          <w:b w:val="0"/>
          <w:bCs w:val="0"/>
          <w:sz w:val="22"/>
          <w:szCs w:val="22"/>
        </w:rPr>
      </w:r>
      <w:r>
        <w:rPr>
          <w:b w:val="0"/>
          <w:bCs w:val="0"/>
          <w:sz w:val="22"/>
          <w:szCs w:val="22"/>
        </w:rPr>
      </w:r>
    </w:p>
    <w:tbl>
      <w:tblPr>
        <w:tblW w:w="5000" w:type="pct"/>
        <w:tblInd w:w="55" w:type="dxa"/>
        <w:tblBorders/>
        <w:tblLayout w:type="fixed"/>
        <w:tblCellMar>
          <w:left w:w="55" w:type="dxa"/>
          <w:top w:w="55" w:type="dxa"/>
          <w:right w:w="55" w:type="dxa"/>
          <w:bottom w:w="55" w:type="dxa"/>
        </w:tblCellMar>
        <w:tblLook w:val="04A0" w:firstRow="1" w:lastRow="0" w:firstColumn="1" w:lastColumn="0" w:noHBand="0" w:noVBand="1"/>
      </w:tblPr>
      <w:tblGrid>
        <w:gridCol w:w="2484"/>
        <w:gridCol w:w="1171"/>
        <w:gridCol w:w="1482"/>
        <w:gridCol w:w="1668"/>
        <w:gridCol w:w="1462"/>
        <w:gridCol w:w="1654"/>
      </w:tblGrid>
      <w:tr>
        <w:trPr/>
        <w:tc>
          <w:tcPr>
            <w:gridSpan w:val="6"/>
            <w:tcBorders>
              <w:top w:val="single" w:color="808080" w:sz="4" w:space="0"/>
              <w:left w:val="single" w:color="808080" w:sz="4" w:space="0"/>
              <w:right w:val="single" w:color="808080" w:sz="4" w:space="0"/>
            </w:tcBorders>
            <w:tcW w:w="9921" w:type="dxa"/>
            <w:textDirection w:val="lrTb"/>
            <w:noWrap w:val="false"/>
          </w:tcPr>
          <w:p>
            <w:pPr>
              <w:pStyle w:val="1218"/>
              <w:pBdr/>
              <w:spacing/>
              <w:ind/>
              <w:jc w:val="center"/>
              <w:rPr>
                <w:b/>
                <w:bCs/>
              </w:rPr>
            </w:pPr>
            <w:r>
              <w:rPr>
                <w:b/>
                <w:bCs/>
              </w:rPr>
              <w:t xml:space="preserve">Объект-аналог №${</w:t>
            </w:r>
            <w:r>
              <w:rPr>
                <w:b/>
                <w:bCs/>
              </w:rPr>
              <w:t xml:space="preserve">block_</w:t>
            </w:r>
            <w:r>
              <w:rPr>
                <w:b/>
                <w:bCs/>
              </w:rPr>
              <w:t xml:space="preserve">offer_number}</w:t>
            </w:r>
            <w:r>
              <w:rPr>
                <w:b/>
                <w:bCs/>
              </w:rPr>
            </w:r>
            <w:r>
              <w:rPr>
                <w:b/>
                <w:bCs/>
              </w:rPr>
            </w:r>
          </w:p>
        </w:tc>
      </w:tr>
      <w:tr>
        <w:trPr/>
        <w:tc>
          <w:tcPr>
            <w:tcBorders>
              <w:left w:val="single" w:color="808080" w:sz="4" w:space="0"/>
              <w:bottom w:val="single" w:color="808080" w:sz="4" w:space="0"/>
            </w:tcBorders>
            <w:tcW w:w="2484" w:type="dxa"/>
            <w:vMerge w:val="restart"/>
            <w:textDirection w:val="lrTb"/>
            <w:noWrap w:val="false"/>
          </w:tcPr>
          <w:p>
            <w:pPr>
              <w:pStyle w:val="1218"/>
              <w:pBdr/>
              <w:spacing/>
              <w:ind/>
              <w:rPr/>
            </w:pPr>
            <w:r>
              <w:t xml:space="preserve">${</w:t>
            </w:r>
            <w:r>
              <w:rPr>
                <w:lang w:val="en-US"/>
              </w:rPr>
              <w:t xml:space="preserve">block_</w:t>
            </w:r>
            <w:r>
              <w:t xml:space="preserve">offer_image}</w:t>
            </w:r>
            <w:r/>
            <w:r/>
          </w:p>
        </w:tc>
        <w:tc>
          <w:tcPr>
            <w:gridSpan w:val="4"/>
            <w:tcBorders/>
            <w:tcW w:w="5783" w:type="dxa"/>
            <w:textDirection w:val="lrTb"/>
            <w:noWrap w:val="false"/>
          </w:tcPr>
          <w:p>
            <w:pPr>
              <w:pStyle w:val="1218"/>
              <w:pBdr/>
              <w:spacing/>
              <w:ind/>
              <w:rPr/>
            </w:pPr>
            <w:r>
              <w:t xml:space="preserve">${</w:t>
            </w:r>
            <w:r>
              <w:rPr>
                <w:lang w:val="en-US"/>
              </w:rPr>
              <w:t xml:space="preserve">block_</w:t>
            </w:r>
            <w:r>
              <w:t xml:space="preserve">offer_title}</w:t>
            </w:r>
            <w:r/>
            <w:r/>
          </w:p>
        </w:tc>
        <w:tc>
          <w:tcPr>
            <w:tcBorders>
              <w:right w:val="single" w:color="808080" w:sz="4" w:space="0"/>
            </w:tcBorders>
            <w:tcW w:w="1654" w:type="dxa"/>
            <w:textDirection w:val="lrTb"/>
            <w:noWrap w:val="false"/>
          </w:tcPr>
          <w:p>
            <w:pPr>
              <w:pStyle w:val="1218"/>
              <w:pBdr/>
              <w:spacing/>
              <w:ind/>
              <w:rPr/>
            </w:pPr>
            <w:r>
              <w:t xml:space="preserve">${</w:t>
            </w:r>
            <w:r>
              <w:rPr>
                <w:lang w:val="en-US"/>
              </w:rPr>
              <w:t xml:space="preserve">block_</w:t>
            </w:r>
            <w:r>
              <w:t xml:space="preserve">offer_price}</w:t>
            </w:r>
            <w:r/>
            <w:r/>
          </w:p>
        </w:tc>
      </w:tr>
      <w:tr>
        <w:trPr/>
        <w:tc>
          <w:tcPr>
            <w:tcBorders>
              <w:left w:val="single" w:color="808080" w:sz="4" w:space="0"/>
            </w:tcBorders>
            <w:tcW w:w="2484" w:type="dxa"/>
            <w:vMerge w:val="continue"/>
            <w:textDirection w:val="lrTb"/>
            <w:noWrap w:val="false"/>
          </w:tcPr>
          <w:p>
            <w:pPr>
              <w:pStyle w:val="1218"/>
              <w:pBdr/>
              <w:spacing/>
              <w:ind/>
              <w:rPr/>
            </w:pPr>
            <w:r/>
            <w:r/>
            <w:r/>
          </w:p>
        </w:tc>
        <w:tc>
          <w:tcPr>
            <w:tcBorders/>
            <w:tcW w:w="1171" w:type="dxa"/>
            <w:textDirection w:val="lrTb"/>
            <w:noWrap w:val="false"/>
          </w:tcPr>
          <w:p>
            <w:pPr>
              <w:pStyle w:val="1218"/>
              <w:pBdr/>
              <w:spacing/>
              <w:ind/>
              <w:rPr>
                <w:color w:val="808080"/>
              </w:rPr>
            </w:pPr>
            <w:r>
              <w:rPr>
                <w:color w:val="808080"/>
              </w:rPr>
              <w:t xml:space="preserve">Мощность</w:t>
            </w:r>
            <w:r>
              <w:rPr>
                <w:color w:val="808080"/>
              </w:rPr>
            </w:r>
            <w:r>
              <w:rPr>
                <w:color w:val="808080"/>
              </w:rPr>
            </w:r>
          </w:p>
        </w:tc>
        <w:tc>
          <w:tcPr>
            <w:tcBorders/>
            <w:tcW w:w="1482" w:type="dxa"/>
            <w:textDirection w:val="lrTb"/>
            <w:noWrap w:val="false"/>
          </w:tcPr>
          <w:p>
            <w:pPr>
              <w:pStyle w:val="1218"/>
              <w:pBdr/>
              <w:spacing/>
              <w:ind/>
              <w:rPr>
                <w:color w:val="808080"/>
              </w:rPr>
            </w:pPr>
            <w:r>
              <w:rPr>
                <w:color w:val="808080"/>
              </w:rPr>
              <w:t xml:space="preserve">Трансмиссия</w:t>
            </w:r>
            <w:r>
              <w:rPr>
                <w:color w:val="808080"/>
              </w:rPr>
            </w:r>
            <w:r>
              <w:rPr>
                <w:color w:val="808080"/>
              </w:rPr>
            </w:r>
          </w:p>
        </w:tc>
        <w:tc>
          <w:tcPr>
            <w:tcBorders/>
            <w:tcW w:w="1668" w:type="dxa"/>
            <w:textDirection w:val="lrTb"/>
            <w:noWrap w:val="false"/>
          </w:tcPr>
          <w:p>
            <w:pPr>
              <w:pStyle w:val="1218"/>
              <w:pBdr/>
              <w:spacing/>
              <w:ind/>
              <w:rPr>
                <w:color w:val="808080"/>
              </w:rPr>
            </w:pPr>
            <w:r>
              <w:rPr>
                <w:color w:val="808080"/>
              </w:rPr>
              <w:t xml:space="preserve">Тип кузова</w:t>
            </w:r>
            <w:r>
              <w:rPr>
                <w:color w:val="808080"/>
              </w:rPr>
            </w:r>
            <w:r>
              <w:rPr>
                <w:color w:val="808080"/>
              </w:rPr>
            </w:r>
          </w:p>
        </w:tc>
        <w:tc>
          <w:tcPr>
            <w:tcBorders/>
            <w:tcW w:w="1462" w:type="dxa"/>
            <w:textDirection w:val="lrTb"/>
            <w:noWrap w:val="false"/>
          </w:tcPr>
          <w:p>
            <w:pPr>
              <w:pStyle w:val="1218"/>
              <w:pBdr/>
              <w:spacing/>
              <w:ind/>
              <w:rPr>
                <w:color w:val="808080"/>
              </w:rPr>
            </w:pPr>
            <w:r>
              <w:rPr>
                <w:color w:val="808080"/>
              </w:rPr>
              <w:t xml:space="preserve">Двигатель</w:t>
            </w:r>
            <w:r>
              <w:rPr>
                <w:color w:val="808080"/>
              </w:rPr>
            </w:r>
            <w:r>
              <w:rPr>
                <w:color w:val="808080"/>
              </w:rPr>
            </w:r>
          </w:p>
        </w:tc>
        <w:tc>
          <w:tcPr>
            <w:tcBorders>
              <w:right w:val="single" w:color="808080" w:sz="4" w:space="0"/>
            </w:tcBorders>
            <w:tcW w:w="1654" w:type="dxa"/>
            <w:textDirection w:val="lrTb"/>
            <w:noWrap w:val="false"/>
          </w:tcPr>
          <w:p>
            <w:pPr>
              <w:pStyle w:val="1218"/>
              <w:pBdr/>
              <w:spacing/>
              <w:ind/>
              <w:rPr/>
            </w:pPr>
            <w:r/>
            <w:r/>
            <w:r/>
          </w:p>
        </w:tc>
      </w:tr>
      <w:tr>
        <w:trPr/>
        <w:tc>
          <w:tcPr>
            <w:tcBorders>
              <w:left w:val="single" w:color="808080" w:sz="4" w:space="0"/>
            </w:tcBorders>
            <w:tcW w:w="2484" w:type="dxa"/>
            <w:vMerge w:val="continue"/>
            <w:textDirection w:val="lrTb"/>
            <w:noWrap w:val="false"/>
          </w:tcPr>
          <w:p>
            <w:pPr>
              <w:pStyle w:val="1218"/>
              <w:pBdr/>
              <w:spacing/>
              <w:ind/>
              <w:rPr/>
            </w:pPr>
            <w:r/>
            <w:r/>
            <w:r/>
          </w:p>
        </w:tc>
        <w:tc>
          <w:tcPr>
            <w:tcBorders/>
            <w:tcW w:w="1171" w:type="dxa"/>
            <w:textDirection w:val="lrTb"/>
            <w:noWrap w:val="false"/>
          </w:tcPr>
          <w:p>
            <w:pPr>
              <w:pStyle w:val="1218"/>
              <w:pBdr/>
              <w:spacing/>
              <w:ind/>
              <w:rPr/>
            </w:pPr>
            <w:r>
              <w:rPr>
                <w:lang w:val="en-US"/>
              </w:rPr>
              <w:t xml:space="preserve">${</w:t>
            </w:r>
            <w:r>
              <w:rPr>
                <w:lang w:val="en-US"/>
              </w:rPr>
              <w:t xml:space="preserve">block_</w:t>
            </w:r>
            <w:r>
              <w:rPr>
                <w:lang w:val="en-US"/>
              </w:rPr>
              <w:t xml:space="preserve">offer_power</w:t>
            </w:r>
            <w:r>
              <w:rPr>
                <w:lang w:val="en-US"/>
              </w:rPr>
              <w:t xml:space="preserve">}</w:t>
            </w:r>
            <w:r/>
            <w:r/>
          </w:p>
        </w:tc>
        <w:tc>
          <w:tcPr>
            <w:tcBorders/>
            <w:tcW w:w="1482" w:type="dxa"/>
            <w:textDirection w:val="lrTb"/>
            <w:noWrap w:val="false"/>
          </w:tcPr>
          <w:p>
            <w:pPr>
              <w:pStyle w:val="1218"/>
              <w:pBdr/>
              <w:spacing/>
              <w:ind/>
              <w:rPr/>
            </w:pPr>
            <w:r>
              <w:rPr>
                <w:lang w:val="en-US"/>
              </w:rPr>
              <w:t xml:space="preserve">${</w:t>
            </w:r>
            <w:r>
              <w:rPr>
                <w:lang w:val="en-US"/>
              </w:rPr>
              <w:t xml:space="preserve">block_</w:t>
            </w:r>
            <w:r>
              <w:rPr>
                <w:lang w:val="en-US"/>
              </w:rPr>
              <w:t xml:space="preserve">offer_</w:t>
            </w:r>
            <w:r>
              <w:rPr>
                <w:lang w:val="en-US"/>
              </w:rPr>
              <w:t xml:space="preserve">transmission}</w:t>
            </w:r>
            <w:r/>
            <w:r/>
          </w:p>
          <w:p>
            <w:pPr>
              <w:pStyle w:val="1218"/>
              <w:pBdr/>
              <w:spacing/>
              <w:ind/>
              <w:rPr/>
            </w:pPr>
            <w:r/>
            <w:r/>
            <w:r/>
          </w:p>
        </w:tc>
        <w:tc>
          <w:tcPr>
            <w:tcBorders/>
            <w:tcW w:w="1668" w:type="dxa"/>
            <w:textDirection w:val="lrTb"/>
            <w:noWrap w:val="false"/>
          </w:tcPr>
          <w:p>
            <w:pPr>
              <w:pStyle w:val="1218"/>
              <w:pBdr/>
              <w:spacing/>
              <w:ind/>
              <w:rPr/>
            </w:pPr>
            <w:r>
              <w:rPr>
                <w:lang w:val="en-US"/>
              </w:rPr>
              <w:t xml:space="preserve">${</w:t>
            </w:r>
            <w:r>
              <w:rPr>
                <w:lang w:val="en-US"/>
              </w:rPr>
              <w:t xml:space="preserve">block_</w:t>
            </w:r>
            <w:r>
              <w:rPr>
                <w:lang w:val="en-US"/>
              </w:rPr>
              <w:t xml:space="preserve">offer_body</w:t>
            </w:r>
            <w:r>
              <w:rPr>
                <w:lang w:val="en-US"/>
              </w:rPr>
              <w:t xml:space="preserve">}</w:t>
            </w:r>
            <w:r/>
            <w:r/>
          </w:p>
          <w:p>
            <w:pPr>
              <w:pStyle w:val="1218"/>
              <w:pBdr/>
              <w:spacing/>
              <w:ind/>
              <w:rPr/>
            </w:pPr>
            <w:r/>
            <w:r/>
            <w:r/>
          </w:p>
        </w:tc>
        <w:tc>
          <w:tcPr>
            <w:tcBorders/>
            <w:tcW w:w="1462" w:type="dxa"/>
            <w:textDirection w:val="lrTb"/>
            <w:noWrap w:val="false"/>
          </w:tcPr>
          <w:p>
            <w:pPr>
              <w:pStyle w:val="1218"/>
              <w:pBdr/>
              <w:spacing/>
              <w:ind/>
              <w:rPr/>
            </w:pPr>
            <w:r>
              <w:rPr>
                <w:lang w:val="en-US"/>
              </w:rPr>
              <w:t xml:space="preserve">${</w:t>
            </w:r>
            <w:r>
              <w:rPr>
                <w:lang w:val="en-US"/>
              </w:rPr>
              <w:t xml:space="preserve">block_</w:t>
            </w:r>
            <w:r>
              <w:rPr>
                <w:lang w:val="en-US"/>
              </w:rPr>
              <w:t xml:space="preserve">offer_engine_type</w:t>
            </w:r>
            <w:r>
              <w:rPr>
                <w:lang w:val="en-US"/>
              </w:rPr>
              <w:t xml:space="preserve">}</w:t>
            </w:r>
            <w:r/>
            <w:r/>
          </w:p>
          <w:p>
            <w:pPr>
              <w:pStyle w:val="1218"/>
              <w:pBdr/>
              <w:spacing/>
              <w:ind/>
              <w:rPr/>
            </w:pPr>
            <w:r/>
            <w:r/>
            <w:r/>
          </w:p>
        </w:tc>
        <w:tc>
          <w:tcPr>
            <w:tcBorders>
              <w:right w:val="single" w:color="808080" w:sz="4" w:space="0"/>
            </w:tcBorders>
            <w:tcW w:w="1654" w:type="dxa"/>
            <w:textDirection w:val="lrTb"/>
            <w:noWrap w:val="false"/>
          </w:tcPr>
          <w:p>
            <w:pPr>
              <w:pStyle w:val="1218"/>
              <w:pBdr/>
              <w:spacing/>
              <w:ind/>
              <w:rPr/>
            </w:pPr>
            <w:r/>
            <w:r/>
            <w:r/>
          </w:p>
        </w:tc>
      </w:tr>
      <w:tr>
        <w:trPr/>
        <w:tc>
          <w:tcPr>
            <w:tcBorders>
              <w:left w:val="single" w:color="808080" w:sz="4" w:space="0"/>
            </w:tcBorders>
            <w:tcW w:w="2484" w:type="dxa"/>
            <w:vMerge w:val="continue"/>
            <w:textDirection w:val="lrTb"/>
            <w:noWrap w:val="false"/>
          </w:tcPr>
          <w:p>
            <w:pPr>
              <w:pStyle w:val="1218"/>
              <w:pBdr/>
              <w:spacing/>
              <w:ind/>
              <w:rPr/>
            </w:pPr>
            <w:r/>
            <w:r/>
            <w:r/>
          </w:p>
        </w:tc>
        <w:tc>
          <w:tcPr>
            <w:tcBorders/>
            <w:tcW w:w="1171" w:type="dxa"/>
            <w:textDirection w:val="lrTb"/>
            <w:noWrap w:val="false"/>
          </w:tcPr>
          <w:p>
            <w:pPr>
              <w:pStyle w:val="1218"/>
              <w:pBdr/>
              <w:spacing/>
              <w:ind/>
              <w:rPr>
                <w:color w:val="808080"/>
              </w:rPr>
            </w:pPr>
            <w:r>
              <w:rPr>
                <w:color w:val="808080"/>
              </w:rPr>
              <w:t xml:space="preserve">Привод</w:t>
            </w:r>
            <w:r>
              <w:rPr>
                <w:color w:val="808080"/>
              </w:rPr>
            </w:r>
            <w:r>
              <w:rPr>
                <w:color w:val="808080"/>
              </w:rPr>
            </w:r>
          </w:p>
        </w:tc>
        <w:tc>
          <w:tcPr>
            <w:tcBorders/>
            <w:tcW w:w="1482" w:type="dxa"/>
            <w:textDirection w:val="lrTb"/>
            <w:noWrap w:val="false"/>
          </w:tcPr>
          <w:p>
            <w:pPr>
              <w:pStyle w:val="1218"/>
              <w:pBdr/>
              <w:spacing/>
              <w:ind/>
              <w:rPr>
                <w:color w:val="808080"/>
              </w:rPr>
            </w:pPr>
            <w:r>
              <w:rPr>
                <w:color w:val="808080"/>
              </w:rPr>
              <w:t xml:space="preserve">Пробег</w:t>
            </w:r>
            <w:r>
              <w:rPr>
                <w:color w:val="808080"/>
              </w:rPr>
            </w:r>
            <w:r>
              <w:rPr>
                <w:color w:val="808080"/>
              </w:rPr>
            </w:r>
          </w:p>
        </w:tc>
        <w:tc>
          <w:tcPr>
            <w:tcBorders/>
            <w:tcW w:w="1668" w:type="dxa"/>
            <w:textDirection w:val="lrTb"/>
            <w:noWrap w:val="false"/>
          </w:tcPr>
          <w:p>
            <w:pPr>
              <w:pStyle w:val="1218"/>
              <w:pBdr/>
              <w:spacing/>
              <w:ind/>
              <w:rPr/>
            </w:pPr>
            <w:r/>
            <w:r/>
            <w:r/>
          </w:p>
        </w:tc>
        <w:tc>
          <w:tcPr>
            <w:tcBorders/>
            <w:tcW w:w="1462" w:type="dxa"/>
            <w:textDirection w:val="lrTb"/>
            <w:noWrap w:val="false"/>
          </w:tcPr>
          <w:p>
            <w:pPr>
              <w:pStyle w:val="1218"/>
              <w:pBdr/>
              <w:spacing/>
              <w:ind/>
              <w:rPr/>
            </w:pPr>
            <w:r/>
            <w:r/>
            <w:r/>
          </w:p>
        </w:tc>
        <w:tc>
          <w:tcPr>
            <w:tcBorders>
              <w:right w:val="single" w:color="808080" w:sz="4" w:space="0"/>
            </w:tcBorders>
            <w:tcW w:w="1654" w:type="dxa"/>
            <w:textDirection w:val="lrTb"/>
            <w:noWrap w:val="false"/>
          </w:tcPr>
          <w:p>
            <w:pPr>
              <w:pStyle w:val="1218"/>
              <w:pBdr/>
              <w:spacing/>
              <w:ind/>
              <w:rPr/>
            </w:pPr>
            <w:r/>
            <w:r/>
            <w:r/>
          </w:p>
        </w:tc>
      </w:tr>
      <w:tr>
        <w:trPr/>
        <w:tc>
          <w:tcPr>
            <w:tcBorders>
              <w:left w:val="single" w:color="808080" w:sz="4" w:space="0"/>
            </w:tcBorders>
            <w:tcW w:w="2484" w:type="dxa"/>
            <w:vMerge w:val="continue"/>
            <w:textDirection w:val="lrTb"/>
            <w:noWrap w:val="false"/>
          </w:tcPr>
          <w:p>
            <w:pPr>
              <w:pStyle w:val="1218"/>
              <w:pBdr/>
              <w:spacing/>
              <w:ind/>
              <w:rPr/>
            </w:pPr>
            <w:r/>
            <w:r/>
            <w:r/>
          </w:p>
        </w:tc>
        <w:tc>
          <w:tcPr>
            <w:tcBorders/>
            <w:tcW w:w="1171" w:type="dxa"/>
            <w:textDirection w:val="lrTb"/>
            <w:noWrap w:val="false"/>
          </w:tcPr>
          <w:p>
            <w:pPr>
              <w:pStyle w:val="1218"/>
              <w:pBdr/>
              <w:spacing/>
              <w:ind/>
              <w:rPr/>
            </w:pPr>
            <w:r>
              <w:rPr>
                <w:lang w:val="en-US"/>
              </w:rPr>
              <w:t xml:space="preserve">${</w:t>
            </w:r>
            <w:r>
              <w:rPr>
                <w:lang w:val="en-US"/>
              </w:rPr>
              <w:t xml:space="preserve">block_</w:t>
            </w:r>
            <w:r>
              <w:rPr>
                <w:lang w:val="en-US"/>
              </w:rPr>
              <w:t xml:space="preserve">offer_gear_type</w:t>
            </w:r>
            <w:r>
              <w:rPr>
                <w:lang w:val="en-US"/>
              </w:rPr>
              <w:t xml:space="preserve">}</w:t>
            </w:r>
            <w:r/>
            <w:r/>
          </w:p>
        </w:tc>
        <w:tc>
          <w:tcPr>
            <w:tcBorders/>
            <w:tcW w:w="1482" w:type="dxa"/>
            <w:textDirection w:val="lrTb"/>
            <w:noWrap w:val="false"/>
          </w:tcPr>
          <w:p>
            <w:pPr>
              <w:pStyle w:val="1218"/>
              <w:pBdr/>
              <w:spacing/>
              <w:ind/>
              <w:rPr/>
            </w:pPr>
            <w:r>
              <w:rPr>
                <w:lang w:val="en-US"/>
              </w:rPr>
              <w:t xml:space="preserve">${</w:t>
            </w:r>
            <w:r>
              <w:rPr>
                <w:lang w:val="en-US"/>
              </w:rPr>
              <w:t xml:space="preserve">block_</w:t>
            </w:r>
            <w:r>
              <w:rPr>
                <w:lang w:val="en-US"/>
              </w:rPr>
              <w:t xml:space="preserve">offer_mileage</w:t>
            </w:r>
            <w:r>
              <w:rPr>
                <w:lang w:val="en-US"/>
              </w:rPr>
              <w:t xml:space="preserve">}</w:t>
            </w:r>
            <w:r/>
            <w:r/>
          </w:p>
        </w:tc>
        <w:tc>
          <w:tcPr>
            <w:tcBorders/>
            <w:tcW w:w="1668" w:type="dxa"/>
            <w:textDirection w:val="lrTb"/>
            <w:noWrap w:val="false"/>
          </w:tcPr>
          <w:p>
            <w:pPr>
              <w:pStyle w:val="1218"/>
              <w:pBdr/>
              <w:spacing/>
              <w:ind/>
              <w:rPr/>
            </w:pPr>
            <w:r/>
            <w:r/>
            <w:r/>
          </w:p>
        </w:tc>
        <w:tc>
          <w:tcPr>
            <w:tcBorders/>
            <w:tcW w:w="1462" w:type="dxa"/>
            <w:textDirection w:val="lrTb"/>
            <w:noWrap w:val="false"/>
          </w:tcPr>
          <w:p>
            <w:pPr>
              <w:pStyle w:val="1218"/>
              <w:pBdr/>
              <w:spacing/>
              <w:ind/>
              <w:rPr/>
            </w:pPr>
            <w:r/>
            <w:r/>
            <w:r/>
          </w:p>
        </w:tc>
        <w:tc>
          <w:tcPr>
            <w:tcBorders>
              <w:right w:val="single" w:color="808080" w:sz="4" w:space="0"/>
            </w:tcBorders>
            <w:tcW w:w="1654" w:type="dxa"/>
            <w:textDirection w:val="lrTb"/>
            <w:noWrap w:val="false"/>
          </w:tcPr>
          <w:p>
            <w:pPr>
              <w:pStyle w:val="1218"/>
              <w:pBdr/>
              <w:spacing/>
              <w:ind/>
              <w:rPr/>
            </w:pPr>
            <w:r/>
            <w:r/>
            <w:r/>
          </w:p>
        </w:tc>
      </w:tr>
      <w:tr>
        <w:trPr/>
        <w:tc>
          <w:tcPr>
            <w:tcBorders>
              <w:left w:val="single" w:color="808080" w:sz="4" w:space="0"/>
              <w:bottom w:val="single" w:color="808080" w:sz="4" w:space="0"/>
            </w:tcBorders>
            <w:tcW w:w="2484" w:type="dxa"/>
            <w:vMerge w:val="continue"/>
            <w:textDirection w:val="lrTb"/>
            <w:noWrap w:val="false"/>
          </w:tcPr>
          <w:p>
            <w:pPr>
              <w:pStyle w:val="1218"/>
              <w:pBdr/>
              <w:spacing/>
              <w:ind/>
              <w:rPr/>
            </w:pPr>
            <w:r/>
            <w:r/>
            <w:r/>
          </w:p>
        </w:tc>
        <w:tc>
          <w:tcPr>
            <w:gridSpan w:val="5"/>
            <w:tcBorders>
              <w:bottom w:val="single" w:color="808080" w:sz="4" w:space="0"/>
              <w:right w:val="single" w:color="808080" w:sz="4" w:space="0"/>
            </w:tcBorders>
            <w:tcW w:w="7437" w:type="dxa"/>
            <w:textDirection w:val="lrTb"/>
            <w:noWrap w:val="false"/>
          </w:tcPr>
          <w:tbl>
            <w:tblPr>
              <w:tblStyle w:val="878"/>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10"/>
              <w:gridCol w:w="7215"/>
            </w:tblGrid>
            <w:tr>
              <w:trPr/>
              <w:tc>
                <w:tcPr>
                  <w:tcBorders>
                    <w:right w:val="none" w:color="000000" w:sz="4" w:space="0"/>
                  </w:tcBorders>
                  <w:tcW w:w="410" w:type="dxa"/>
                  <w:textDirection w:val="lrTb"/>
                  <w:noWrap w:val="false"/>
                </w:tcPr>
                <w:p>
                  <w:pPr>
                    <w:pStyle w:val="1218"/>
                    <w:pBdr/>
                    <w:spacing/>
                    <w:ind/>
                    <w:jc w:val="both"/>
                    <w:rPr>
                      <w:color w:val="808080"/>
                      <w:lang w:val="en-US"/>
                    </w:rPr>
                  </w:pPr>
                  <w:r>
                    <w:rPr>
                      <w:color w:val="808080"/>
                      <w:lang w:val="en-US"/>
                    </w:rPr>
                  </w:r>
                  <w:r>
                    <mc:AlternateContent>
                      <mc:Choice Requires="wpg">
                        <w:drawing>
                          <wp:inline xmlns:wp="http://schemas.openxmlformats.org/drawingml/2006/wordprocessingDrawing" distT="0" distB="0" distL="0" distR="0">
                            <wp:extent cx="152400" cy="152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89766" name="Image6"/>
                                    <pic:cNvPicPr>
                                      <a:picLocks noChangeAspect="1"/>
                                    </pic:cNvPicPr>
                                    <pic:nvPr/>
                                  </pic:nvPicPr>
                                  <pic:blipFill>
                                    <a:blip r:embed="rId28"/>
                                    <a:stretch/>
                                  </pic:blipFill>
                                  <pic:spPr bwMode="auto">
                                    <a:xfrm>
                                      <a:off x="0" y="0"/>
                                      <a:ext cx="152398" cy="152398"/>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2.00pt;height:12.00pt;mso-wrap-distance-left:0.00pt;mso-wrap-distance-top:0.00pt;mso-wrap-distance-right:0.00pt;mso-wrap-distance-bottom:0.00pt;z-index:1;" stroked="false">
                            <v:imagedata r:id="rId28" o:title=""/>
                            <o:lock v:ext="edit" rotation="t"/>
                          </v:shape>
                        </w:pict>
                      </mc:Fallback>
                    </mc:AlternateContent>
                  </w:r>
                  <w:r>
                    <w:rPr>
                      <w:color w:val="808080"/>
                      <w:lang w:val="en-US"/>
                    </w:rPr>
                  </w:r>
                  <w:r>
                    <w:rPr>
                      <w:color w:val="808080"/>
                      <w:lang w:val="en-US"/>
                    </w:rPr>
                  </w:r>
                </w:p>
              </w:tc>
              <w:tc>
                <w:tcPr>
                  <w:tcBorders>
                    <w:top w:val="none" w:color="000000" w:sz="4" w:space="0"/>
                    <w:left w:val="none" w:color="000000" w:sz="4" w:space="0"/>
                    <w:bottom w:val="none" w:color="000000" w:sz="4" w:space="0"/>
                    <w:right w:val="none" w:color="000000" w:sz="4" w:space="0"/>
                  </w:tcBorders>
                  <w:tcW w:w="7215" w:type="dxa"/>
                  <w:textDirection w:val="lrTb"/>
                  <w:noWrap w:val="false"/>
                </w:tcPr>
                <w:p>
                  <w:pPr>
                    <w:pStyle w:val="1218"/>
                    <w:pBdr/>
                    <w:spacing/>
                    <w:ind/>
                    <w:rPr>
                      <w:color w:val="808080"/>
                      <w:lang w:val="en-US"/>
                    </w:rPr>
                  </w:pPr>
                  <w:r>
                    <w:rPr>
                      <w:color w:val="808080"/>
                    </w:rPr>
                    <w:t xml:space="preserve">${</w:t>
                  </w:r>
                  <w:r>
                    <w:rPr>
                      <w:color w:val="808080"/>
                    </w:rPr>
                    <w:t xml:space="preserve">block_</w:t>
                  </w:r>
                  <w:r>
                    <w:rPr>
                      <w:color w:val="808080"/>
                    </w:rPr>
                    <w:t xml:space="preserve">offer_</w:t>
                  </w:r>
                  <w:r>
                    <w:rPr>
                      <w:color w:val="808080"/>
                      <w:lang w:val="en-US"/>
                    </w:rPr>
                    <w:t xml:space="preserve">region</w:t>
                  </w:r>
                  <w:r>
                    <w:rPr>
                      <w:color w:val="808080"/>
                    </w:rPr>
                    <w:t xml:space="preserve">}</w:t>
                  </w:r>
                  <w:r>
                    <w:rPr>
                      <w:color w:val="808080"/>
                      <w:lang w:val="en-US"/>
                    </w:rPr>
                    <w:t xml:space="preserve"> </w:t>
                  </w:r>
                  <w:r>
                    <w:rPr>
                      <w:color w:val="808080"/>
                      <w:lang w:val="en-US"/>
                    </w:rPr>
                  </w:r>
                  <w:r>
                    <w:rPr>
                      <w:color w:val="808080"/>
                      <w:lang w:val="en-US"/>
                    </w:rPr>
                  </w:r>
                </w:p>
              </w:tc>
            </w:tr>
          </w:tbl>
          <w:p>
            <w:pPr>
              <w:pStyle w:val="1218"/>
              <w:pBdr/>
              <w:spacing/>
              <w:ind/>
              <w:rPr>
                <w:color w:val="808080"/>
              </w:rPr>
            </w:pPr>
            <w:r>
              <w:rPr>
                <w:color w:val="808080"/>
                <w:lang w:val="en-US"/>
              </w:rPr>
            </w:r>
            <w:r>
              <w:rPr>
                <w:color w:val="808080"/>
              </w:rPr>
            </w:r>
            <w:r>
              <w:rPr>
                <w:color w:val="808080"/>
              </w:rPr>
            </w:r>
          </w:p>
        </w:tc>
      </w:tr>
    </w:tbl>
    <w:p>
      <w:pPr>
        <w:pStyle w:val="1038"/>
        <w:widowControl w:val="false"/>
        <w:pBdr/>
        <w:spacing/>
        <w:ind/>
        <w:rPr>
          <w:b w:val="0"/>
          <w:bCs w:val="0"/>
          <w:sz w:val="22"/>
          <w:szCs w:val="22"/>
        </w:rPr>
      </w:pPr>
      <w:r>
        <w:rPr>
          <w:b w:val="0"/>
          <w:bCs w:val="0"/>
          <w:sz w:val="22"/>
          <w:szCs w:val="22"/>
        </w:rPr>
        <w:t xml:space="preserve">${/offer_block}</w:t>
      </w:r>
      <w:r>
        <w:rPr>
          <w:b w:val="0"/>
          <w:bCs w:val="0"/>
          <w:sz w:val="22"/>
          <w:szCs w:val="22"/>
        </w:rPr>
      </w:r>
      <w:r>
        <w:rPr>
          <w:b w:val="0"/>
          <w:bCs w:val="0"/>
          <w:sz w:val="22"/>
          <w:szCs w:val="22"/>
        </w:rPr>
      </w:r>
      <w:r>
        <w:rPr>
          <w:b w:val="0"/>
          <w:bCs w:val="0"/>
          <w:sz w:val="22"/>
          <w:szCs w:val="22"/>
        </w:rPr>
      </w:r>
      <w:r>
        <w:rPr>
          <w:b w:val="0"/>
          <w:bCs w:val="0"/>
          <w:sz w:val="22"/>
          <w:szCs w:val="22"/>
        </w:rPr>
      </w:r>
      <w:r>
        <w:rPr>
          <w:b w:val="0"/>
          <w:bCs w:val="0"/>
          <w:sz w:val="22"/>
          <w:szCs w:val="22"/>
        </w:rPr>
      </w:r>
    </w:p>
    <w:p>
      <w:pPr>
        <w:pStyle w:val="1038"/>
        <w:widowControl w:val="false"/>
        <w:pBdr/>
        <w:spacing/>
        <w:ind/>
        <w:rPr>
          <w:sz w:val="22"/>
          <w:szCs w:val="22"/>
        </w:rPr>
      </w:pPr>
      <w:r>
        <w:rPr>
          <w:sz w:val="22"/>
          <w:szCs w:val="22"/>
        </w:rPr>
      </w:r>
      <w:r>
        <w:rPr>
          <w:sz w:val="22"/>
          <w:szCs w:val="22"/>
        </w:rPr>
      </w:r>
      <w:r>
        <w:rPr>
          <w:sz w:val="22"/>
          <w:szCs w:val="22"/>
        </w:rPr>
      </w:r>
    </w:p>
    <w:p>
      <w:pPr>
        <w:pBdr/>
        <w:shd w:val="nil" w:color="auto"/>
        <w:spacing/>
        <w:ind/>
        <w:rPr>
          <w:sz w:val="22"/>
          <w:szCs w:val="22"/>
          <w:lang w:val="en-US" w:eastAsia="en-US"/>
        </w:rPr>
      </w:pPr>
      <w:r>
        <w:rPr>
          <w:sz w:val="22"/>
          <w:szCs w:val="22"/>
          <w:lang w:val="en-US" w:eastAsia="en-US"/>
        </w:rPr>
        <w:br w:type="page" w:clear="all"/>
      </w:r>
      <w:r>
        <w:rPr>
          <w:sz w:val="22"/>
          <w:szCs w:val="22"/>
          <w:lang w:val="en-US" w:eastAsia="en-US"/>
        </w:rPr>
      </w:r>
      <w:r>
        <w:rPr>
          <w:sz w:val="22"/>
          <w:szCs w:val="22"/>
          <w:lang w:val="en-US" w:eastAsia="en-US"/>
        </w:rPr>
      </w:r>
    </w:p>
    <w:p>
      <w:pPr>
        <w:pStyle w:val="1038"/>
        <w:widowControl w:val="false"/>
        <w:pBdr/>
        <w:spacing/>
        <w:ind/>
        <w:jc w:val="center"/>
        <w:rPr>
          <w:b/>
          <w:bCs/>
          <w:sz w:val="22"/>
          <w:szCs w:val="22"/>
        </w:rPr>
      </w:pPr>
      <w:r>
        <w:rPr>
          <w:b/>
          <w:bCs/>
          <w:sz w:val="22"/>
          <w:szCs w:val="22"/>
        </w:rPr>
        <w:t xml:space="preserve">Выбор единицы сравнения.</w:t>
      </w:r>
      <w:r>
        <w:rPr>
          <w:b/>
          <w:bCs/>
          <w:sz w:val="22"/>
          <w:szCs w:val="22"/>
        </w:rPr>
      </w:r>
      <w:r>
        <w:rPr>
          <w:b/>
          <w:bCs/>
          <w:sz w:val="22"/>
          <w:szCs w:val="22"/>
        </w:rPr>
      </w:r>
    </w:p>
    <w:p>
      <w:pPr>
        <w:pStyle w:val="1038"/>
        <w:widowControl w:val="false"/>
        <w:pBdr/>
        <w:spacing/>
        <w:ind/>
        <w:jc w:val="center"/>
        <w:rPr>
          <w:b/>
          <w:sz w:val="22"/>
          <w:szCs w:val="22"/>
        </w:rPr>
      </w:pPr>
      <w:r>
        <w:rPr>
          <w:b/>
          <w:sz w:val="22"/>
          <w:szCs w:val="22"/>
        </w:rPr>
      </w:r>
      <w:r>
        <w:rPr>
          <w:b/>
          <w:sz w:val="22"/>
          <w:szCs w:val="22"/>
        </w:rPr>
      </w:r>
      <w:r>
        <w:rPr>
          <w:b/>
          <w:sz w:val="22"/>
          <w:szCs w:val="22"/>
        </w:rPr>
      </w:r>
    </w:p>
    <w:p>
      <w:pPr>
        <w:pStyle w:val="1038"/>
        <w:widowControl w:val="false"/>
        <w:pBdr/>
        <w:spacing/>
        <w:ind w:right="0" w:firstLine="720"/>
        <w:jc w:val="both"/>
        <w:rPr>
          <w:sz w:val="22"/>
          <w:szCs w:val="22"/>
        </w:rPr>
      </w:pPr>
      <w:r>
        <w:rPr>
          <w:sz w:val="22"/>
          <w:szCs w:val="22"/>
        </w:rPr>
        <w:t xml:space="preserve">Прежде чем проводить корректировки, необходимо выбрать единицу сравнения. В качестве таковой выбрана цена одного подержанного </w:t>
      </w:r>
      <w:r>
        <w:rPr>
          <w:color w:val="ff0000"/>
          <w:sz w:val="22"/>
          <w:szCs w:val="22"/>
        </w:rPr>
        <w:t xml:space="preserve">транспортного средства марки</w:t>
      </w:r>
      <w:r>
        <w:rPr>
          <w:sz w:val="22"/>
          <w:szCs w:val="22"/>
        </w:rPr>
        <w:t xml:space="preserve"> </w:t>
      </w:r>
      <w:r>
        <w:rPr>
          <w:sz w:val="22"/>
          <w:szCs w:val="22"/>
        </w:rPr>
        <w:t xml:space="preserve">${vehicle_brand_name} ${vehicle_model_name}</w:t>
      </w:r>
      <w:r>
        <w:rPr>
          <w:sz w:val="22"/>
          <w:szCs w:val="22"/>
        </w:rPr>
        <w:t xml:space="preserve">.</w:t>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jc w:val="center"/>
        <w:rPr>
          <w:b/>
          <w:bCs/>
          <w:sz w:val="22"/>
          <w:szCs w:val="22"/>
        </w:rPr>
      </w:pPr>
      <w:r>
        <w:rPr>
          <w:b/>
          <w:bCs/>
          <w:sz w:val="22"/>
          <w:szCs w:val="22"/>
        </w:rPr>
        <w:t xml:space="preserve">Описание корректировок (элементов сравнения)</w:t>
      </w:r>
      <w:r>
        <w:rPr>
          <w:b/>
          <w:bCs/>
          <w:sz w:val="22"/>
          <w:szCs w:val="22"/>
        </w:rPr>
      </w:r>
      <w:r>
        <w:rPr>
          <w:b/>
          <w:bCs/>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передаваемые имущественные права.</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Разница между объектом оценки и объектами-аналогами</w:t>
      </w:r>
      <w:r>
        <w:rPr>
          <w:sz w:val="22"/>
          <w:szCs w:val="22"/>
        </w:rPr>
        <w:t xml:space="preserve">, влияющая на их стоимость, может определяться различиями в их юридическом статусе. Объем передаваемых прав на объект оценки и объекты-аналоги — право собственности. На основании вышеизложенного, ввиду сопоставимости условий, корректировка не производится.</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год выпуска.</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Год выпуска определяет физический возраст транспортного средства, степень его износа и остаточный ре</w:t>
      </w:r>
      <w:r>
        <w:rPr>
          <w:sz w:val="22"/>
          <w:szCs w:val="22"/>
        </w:rPr>
        <w:t xml:space="preserve">сурс основных агрегатов. Объект оценки и отобранные аналоги имеют идентичный год выпуска, что подтверждается анализом представленных данных. Существенных различий по данному ценообразующему фактору не выявлено, в связи с чем корректировка не производится. </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регион местонахождения.</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Регион местонахождения учитывает вл</w:t>
      </w:r>
      <w:r>
        <w:rPr>
          <w:sz w:val="22"/>
          <w:szCs w:val="22"/>
        </w:rPr>
        <w:t xml:space="preserve">ияние географического положения рынка на уровень цен (уровень доходов населения, климатические условия, насыщенность рынка). Объект оценки и все аналоги находятся в одном регионе, рыночная конъюнктура для них является единой. Корректировка не производится.</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тип топлива.</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Тип топлива определяет эксплуатационн</w:t>
      </w:r>
      <w:r>
        <w:rPr>
          <w:sz w:val="22"/>
          <w:szCs w:val="22"/>
        </w:rPr>
        <w:t xml:space="preserve">ые расходы владельца и экологические характеристики объекта. Объект оценки и объекты-аналоги оснащены двигателями, работающими на идентичном типе топлива. Влияния данного фактора на стоимость в рамках подборки не наблюдается, корректировка не производится.</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тип коробки переключения передач (КПП).</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Тип КПП влияет на комфорт управления, дин</w:t>
      </w:r>
      <w:r>
        <w:rPr>
          <w:sz w:val="22"/>
          <w:szCs w:val="22"/>
        </w:rPr>
        <w:t xml:space="preserve">амические характеристики и стоимость обслуживания. Объект оценки и аналоги укомплектованы одинаковым типом коробки передач. Рыночная стоимость объектов с данным типом КПП в выбранном сегменте не имеет значительных отклонений, корректировка не производится.</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мощность двигателя (л.с.).</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Мощность двигателя характеризует энерговооруженность и динамически</w:t>
      </w:r>
      <w:r>
        <w:rPr>
          <w:sz w:val="22"/>
          <w:szCs w:val="22"/>
        </w:rPr>
        <w:t xml:space="preserve">е свойства автомобиля, влияет на налоговую нагрузку. Объект оценки и объекты-аналоги не имеют существенных различий по данному параметру (расхождение находится в допустимом рыночном диапазоне, не требующем внесения поправок). Корректировка не производится.</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рабочий объем двигателя (куб. см / литры).</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Рабочий объем двигателя определяет потенциальную мощность, крутящий момент и топливную экономичность, коррелирует с налоговой ставкой. Объект оценки и аналоги имеют сопоставимый рабочий объем двигателя. Корректировка не производится.</w:t>
      </w:r>
      <w:r>
        <w:rPr>
          <w:sz w:val="22"/>
          <w:szCs w:val="22"/>
        </w:rPr>
      </w:r>
      <w:r>
        <w:rPr>
          <w:sz w:val="22"/>
          <w:szCs w:val="22"/>
        </w:rPr>
      </w:r>
    </w:p>
    <w:p>
      <w:pPr>
        <w:pStyle w:val="1038"/>
        <w:widowControl w:val="false"/>
        <w:pBdr/>
        <w:spacing/>
        <w:ind w:right="0" w:firstLine="709"/>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торг (уторговывание). </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Данная корректировка учитывает разницу между ценой предложения, публично заявленной продавцом, и фактической ценой сделки, которая формируется в процессе переговоров между п</w:t>
      </w:r>
      <w:r>
        <w:rPr>
          <w:sz w:val="22"/>
          <w:szCs w:val="22"/>
        </w:rPr>
        <w:t xml:space="preserve">окупателем и продавцом. Цены предложений на вторичном рынке, как правило, изначально завышаются продавцами с целью создания пространства для маневра при встрече с реальным покупателем, поэтому итоговая цена сделки почти всегда оказывается ниже заявленной. </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Размер скидки на торг зависит от множества факторов, включая ликвидн</w:t>
      </w:r>
      <w:r>
        <w:rPr>
          <w:sz w:val="22"/>
          <w:szCs w:val="22"/>
        </w:rPr>
        <w:t xml:space="preserve">ость объекта, его фактическое состояние, регион продажи и даже настроение участников сделки. В рамках настоящей Оценки, учитывая развитость вторичного рынка, высокий уровень конкуренции и сложившуюся рыночную практику, для всех объектов-аналогов применена </w:t>
      </w:r>
      <w:r>
        <w:rPr>
          <w:color w:val="ff0000"/>
          <w:sz w:val="22"/>
          <w:szCs w:val="22"/>
        </w:rPr>
        <w:t xml:space="preserve">скидка на торг</w:t>
      </w:r>
      <w:r>
        <w:rPr>
          <w:sz w:val="22"/>
          <w:szCs w:val="22"/>
        </w:rPr>
        <w:t xml:space="preserve"> в размере </w:t>
      </w:r>
      <w:r>
        <w:rPr>
          <w:sz w:val="22"/>
          <w:szCs w:val="22"/>
          <w:highlight w:val="yellow"/>
          <w:lang w:val="en-US"/>
        </w:rPr>
        <w:t xml:space="preserve">$</w:t>
      </w:r>
      <w:r>
        <w:rPr>
          <w:sz w:val="22"/>
          <w:szCs w:val="22"/>
          <w:highlight w:val="yellow"/>
          <w:lang w:val="en-US"/>
        </w:rPr>
        <w:t xml:space="preserve">{discount}</w:t>
      </w:r>
      <w:r>
        <w:rPr>
          <w:sz w:val="22"/>
          <w:szCs w:val="22"/>
          <w:highlight w:val="yellow"/>
        </w:rPr>
        <w:t xml:space="preserve">%</w:t>
      </w:r>
      <w:r>
        <w:rPr>
          <w:sz w:val="22"/>
          <w:szCs w:val="22"/>
        </w:rPr>
        <w:t xml:space="preserve"> от цены предложения. Данный размер корректировки также подтверждается судебной практикой и признается обоснованным при оценке движимого имущества в текущих рыночных условиях.</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b/>
          <w:bCs/>
          <w:sz w:val="22"/>
          <w:szCs w:val="22"/>
        </w:rPr>
      </w:pPr>
      <w:r>
        <w:rPr>
          <w:b/>
          <w:bCs/>
          <w:sz w:val="22"/>
          <w:szCs w:val="22"/>
        </w:rPr>
        <w:t xml:space="preserve">Корректировка на пробег. </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Пробег транспортного средства является одним из ценообразующих факторов, поскольку напрямую влияет на физический износ ходовой части, двигателя и других агрегатов, о</w:t>
      </w:r>
      <w:r>
        <w:rPr>
          <w:sz w:val="22"/>
          <w:szCs w:val="22"/>
        </w:rPr>
        <w:t xml:space="preserve">пределяя остаточный ресурс объекта и предстоящие затраты владельца на ремонт и обслуживание. Чем выше пробег, тем значительнее износ и, соответственно, ниже рыночная стоимость при прочих равных условиях. Однако в рамках настоящей Оценки оценка производится</w:t>
      </w:r>
      <w:r>
        <w:rPr>
          <w:sz w:val="22"/>
          <w:szCs w:val="22"/>
        </w:rPr>
        <w:t xml:space="preserve"> на ретроспективную дату — дату оценки. Установить фактический пробег объекта оценки на указанную дату в прошлом не представляется возможным, поскольку соответствующая информация отсутствует в представленных документах и не может быть получена из независим</w:t>
      </w:r>
      <w:r>
        <w:rPr>
          <w:sz w:val="22"/>
          <w:szCs w:val="22"/>
        </w:rPr>
        <w:t xml:space="preserve">ых достоверных источников (отсутствуют данные одометра на ретроспективную дату, не проводились периодические осмотры с фиксацией пробега). Определить величину корректировки на разницу в пробеге между объектом оценки и объектами-аналогами на ретроспективную</w:t>
      </w:r>
      <w:r>
        <w:rPr>
          <w:sz w:val="22"/>
          <w:szCs w:val="22"/>
        </w:rPr>
        <w:t xml:space="preserve"> дату также не представляется возможным ввиду отсутствия необходимых данных. На основании вышеизложенного, корректировка по данному элементу сравнения не производится. Влияние данного фактора на итоговую стоимость в рамках настоящего Отчета не учитывается.</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pBdr/>
        <w:spacing/>
        <w:ind/>
        <w:jc w:val="both"/>
        <w:rPr>
          <w:sz w:val="22"/>
          <w:szCs w:val="22"/>
        </w:rPr>
      </w:pPr>
      <w:r>
        <w:rPr>
          <w:b/>
          <w:bCs/>
          <w:sz w:val="22"/>
          <w:szCs w:val="22"/>
        </w:rPr>
        <w:t xml:space="preserve">Корректировка на техническое состояние.</w:t>
      </w:r>
      <w:r>
        <w:rPr>
          <w:sz w:val="22"/>
          <w:szCs w:val="22"/>
        </w:rPr>
        <w:t xml:space="preserve"> </w:t>
      </w:r>
      <w:r>
        <w:rPr>
          <w:sz w:val="22"/>
          <w:szCs w:val="22"/>
        </w:rPr>
      </w:r>
      <w:r>
        <w:rPr>
          <w:sz w:val="22"/>
          <w:szCs w:val="22"/>
        </w:rPr>
      </w:r>
    </w:p>
    <w:p>
      <w:pPr>
        <w:pStyle w:val="1038"/>
        <w:widowControl w:val="false"/>
        <w:pBdr/>
        <w:spacing/>
        <w:ind w:right="0" w:firstLine="709"/>
        <w:jc w:val="both"/>
        <w:rPr>
          <w:sz w:val="22"/>
          <w:szCs w:val="22"/>
        </w:rPr>
      </w:pPr>
      <w:r>
        <w:rPr>
          <w:sz w:val="22"/>
          <w:szCs w:val="22"/>
        </w:rPr>
        <w:t xml:space="preserve">Техническое состояние транспортного средства является одним из ценообразующих факторов, поскольку определяет его эксплуатационную надежность, безопасность, остаточный ресурс основных агрегатов и величину</w:t>
      </w:r>
      <w:r>
        <w:rPr>
          <w:sz w:val="22"/>
          <w:szCs w:val="22"/>
        </w:rPr>
        <w:t xml:space="preserve"> предстоящих затрат нового владельца на ремонт и обслуживание. Суть корректировки заключается в сопоставлении технического состояния объекта оценки и каждого объекта-аналога со шкалой технического состояния, если имеются различия – вводится корректировка. </w:t>
      </w:r>
      <w:r>
        <w:rPr>
          <w:sz w:val="22"/>
          <w:szCs w:val="22"/>
        </w:rPr>
      </w:r>
      <w:r>
        <w:rPr>
          <w:sz w:val="22"/>
          <w:szCs w:val="22"/>
        </w:rPr>
      </w:r>
    </w:p>
    <w:p>
      <w:pPr>
        <w:pStyle w:val="1038"/>
        <w:widowControl w:val="false"/>
        <w:numPr>
          <w:ilvl w:val="0"/>
          <w:numId w:val="4"/>
        </w:numPr>
        <w:pBdr/>
        <w:spacing/>
        <w:ind w:right="0" w:hanging="360" w:left="2694"/>
        <w:jc w:val="right"/>
        <w:rPr>
          <w:sz w:val="22"/>
          <w:szCs w:val="22"/>
        </w:rPr>
      </w:pPr>
      <w:r>
        <w:rPr>
          <w:sz w:val="22"/>
          <w:szCs w:val="22"/>
        </w:rPr>
      </w:r>
      <w:r>
        <w:rPr>
          <w:sz w:val="22"/>
          <w:szCs w:val="22"/>
        </w:rPr>
      </w:r>
      <w:r>
        <w:rPr>
          <w:sz w:val="22"/>
          <w:szCs w:val="22"/>
        </w:rPr>
      </w:r>
    </w:p>
    <w:tbl>
      <w:tblPr>
        <w:tblW w:w="9493"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3894"/>
        <w:gridCol w:w="2607"/>
        <w:gridCol w:w="2992"/>
      </w:tblGrid>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b/>
                <w:sz w:val="18"/>
                <w:szCs w:val="18"/>
              </w:rPr>
            </w:pPr>
            <w:r>
              <w:rPr>
                <w:b/>
                <w:sz w:val="18"/>
                <w:szCs w:val="18"/>
              </w:rPr>
              <w:t xml:space="preserve">Физическая характеристика состояния АМТС</w:t>
            </w:r>
            <w:r>
              <w:rPr>
                <w:b/>
                <w:sz w:val="18"/>
                <w:szCs w:val="18"/>
              </w:rPr>
            </w:r>
            <w:r>
              <w:rPr>
                <w:b/>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b/>
                <w:sz w:val="18"/>
                <w:szCs w:val="18"/>
              </w:rPr>
            </w:pPr>
            <w:r>
              <w:rPr>
                <w:b/>
                <w:sz w:val="18"/>
                <w:szCs w:val="18"/>
              </w:rPr>
              <w:t xml:space="preserve">Оценка состояния</w:t>
            </w:r>
            <w:r>
              <w:rPr>
                <w:b/>
                <w:sz w:val="18"/>
                <w:szCs w:val="18"/>
              </w:rPr>
            </w:r>
            <w:r>
              <w:rPr>
                <w:b/>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b/>
                <w:sz w:val="18"/>
                <w:szCs w:val="18"/>
              </w:rPr>
            </w:pPr>
            <w:r>
              <w:rPr>
                <w:b/>
                <w:sz w:val="18"/>
                <w:szCs w:val="18"/>
              </w:rPr>
              <w:t xml:space="preserve">Коэффициент износа, %</w:t>
            </w:r>
            <w:r>
              <w:rPr>
                <w:b/>
                <w:sz w:val="18"/>
                <w:szCs w:val="18"/>
              </w:rPr>
            </w:r>
            <w:r>
              <w:rPr>
                <w:b/>
                <w:sz w:val="18"/>
                <w:szCs w:val="18"/>
              </w:rP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sz w:val="18"/>
                <w:szCs w:val="18"/>
              </w:rPr>
            </w:pPr>
            <w:r>
              <w:rPr>
                <w:sz w:val="18"/>
                <w:szCs w:val="18"/>
              </w:rPr>
              <w:t xml:space="preserve">Новое, не зарегистрированное в ГИБДД АМТС в отличном состоянии, после выполнения предпродажной подготовки, без признаков эксплуатации</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sz w:val="18"/>
                <w:szCs w:val="18"/>
              </w:rPr>
            </w:pPr>
            <w:r>
              <w:rPr>
                <w:sz w:val="18"/>
                <w:szCs w:val="18"/>
              </w:rPr>
              <w:t xml:space="preserve">Новое</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sz w:val="18"/>
                <w:szCs w:val="18"/>
              </w:rPr>
            </w:pPr>
            <w:r>
              <w:rPr>
                <w:sz w:val="18"/>
                <w:szCs w:val="18"/>
              </w:rPr>
              <w:t xml:space="preserve">0-10</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sz w:val="18"/>
                <w:szCs w:val="18"/>
              </w:rPr>
            </w:pPr>
            <w:r>
              <w:rPr>
                <w:sz w:val="18"/>
                <w:szCs w:val="18"/>
              </w:rPr>
              <w:t xml:space="preserve">Практически новое АМТС на гарантийном периоде эксплуатации, с выполненными объемами технического обслуживания и не требующее ремонта или замены каких=либо частей</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sz w:val="18"/>
                <w:szCs w:val="18"/>
              </w:rPr>
            </w:pPr>
            <w:r>
              <w:rPr>
                <w:sz w:val="18"/>
                <w:szCs w:val="18"/>
              </w:rPr>
              <w:t xml:space="preserve">Очень хорошее</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sz w:val="18"/>
                <w:szCs w:val="18"/>
              </w:rPr>
            </w:pPr>
            <w:r>
              <w:rPr>
                <w:sz w:val="18"/>
                <w:szCs w:val="18"/>
              </w:rPr>
              <w:t xml:space="preserve">10-20</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sz w:val="18"/>
                <w:szCs w:val="18"/>
              </w:rPr>
            </w:pPr>
            <w:r>
              <w:rPr>
                <w:sz w:val="18"/>
                <w:szCs w:val="18"/>
              </w:rPr>
              <w:t xml:space="preserve">АМТС на послегарантийном периоде эксплуатации, с выполненными объемами технического обслуживания, не требующее текущего ремонта или замены каких-либо частей</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sz w:val="18"/>
                <w:szCs w:val="18"/>
              </w:rPr>
            </w:pPr>
            <w:r>
              <w:rPr>
                <w:sz w:val="18"/>
                <w:szCs w:val="18"/>
              </w:rPr>
              <w:t xml:space="preserve">Хорошее</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sz w:val="18"/>
                <w:szCs w:val="18"/>
              </w:rPr>
            </w:pPr>
            <w:r>
              <w:rPr>
                <w:sz w:val="18"/>
                <w:szCs w:val="18"/>
              </w:rPr>
              <w:t xml:space="preserve">20-40</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sz w:val="18"/>
                <w:szCs w:val="18"/>
              </w:rPr>
            </w:pPr>
            <w:r>
              <w:rPr>
                <w:sz w:val="18"/>
                <w:szCs w:val="18"/>
              </w:rPr>
              <w:t xml:space="preserve">Бывший в эксплуатации объект с выполненными объемами технического обслуживания, требующий текущего ремонта или замены некоторых деталей, имеющий незначительные повреждения лакокрасочного покрытия</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sz w:val="18"/>
                <w:szCs w:val="18"/>
              </w:rPr>
            </w:pPr>
            <w:r>
              <w:rPr>
                <w:sz w:val="18"/>
                <w:szCs w:val="18"/>
              </w:rPr>
              <w:t xml:space="preserve">Удовлетворительное</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sz w:val="18"/>
                <w:szCs w:val="18"/>
              </w:rPr>
            </w:pPr>
            <w:r>
              <w:rPr>
                <w:sz w:val="18"/>
                <w:szCs w:val="18"/>
              </w:rPr>
              <w:t xml:space="preserve">40 - 60</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sz w:val="18"/>
                <w:szCs w:val="18"/>
              </w:rPr>
            </w:pPr>
            <w:r>
              <w:rPr>
                <w:sz w:val="18"/>
                <w:szCs w:val="18"/>
              </w:rPr>
              <w:t xml:space="preserve">Бывший в эксплуатации АМТС, в состоянии, пригодном для дальнейшей эксплуатации после выполнения работ текущего ремонта (замены) агрегатов, ремонта (наружной окраски) кузова (кабины)</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sz w:val="18"/>
                <w:szCs w:val="18"/>
              </w:rPr>
            </w:pPr>
            <w:r>
              <w:rPr>
                <w:sz w:val="18"/>
                <w:szCs w:val="18"/>
              </w:rPr>
              <w:t xml:space="preserve">Условно пригодное</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sz w:val="18"/>
                <w:szCs w:val="18"/>
              </w:rPr>
            </w:pPr>
            <w:r>
              <w:rPr>
                <w:sz w:val="18"/>
                <w:szCs w:val="18"/>
              </w:rPr>
              <w:t xml:space="preserve">60 - 75</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sz w:val="18"/>
                <w:szCs w:val="18"/>
              </w:rPr>
            </w:pPr>
            <w:r>
              <w:rPr>
                <w:sz w:val="18"/>
                <w:szCs w:val="18"/>
              </w:rPr>
              <w:t xml:space="preserve">Бывшее в эксплуатации АМТС, требующее значительного капитального ремонта или замены номерных агрегатов (двигателя, кузова, рамы), полной окраски кузова</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sz w:val="18"/>
                <w:szCs w:val="18"/>
              </w:rPr>
            </w:pPr>
            <w:r>
              <w:rPr>
                <w:sz w:val="18"/>
                <w:szCs w:val="18"/>
              </w:rPr>
              <w:t xml:space="preserve">Неудовлетворительное</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sz w:val="18"/>
                <w:szCs w:val="18"/>
              </w:rPr>
            </w:pPr>
            <w:r>
              <w:rPr>
                <w:sz w:val="18"/>
                <w:szCs w:val="18"/>
              </w:rPr>
              <w:t xml:space="preserve">До 80</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Style w:val="1038"/>
              <w:pBdr/>
              <w:spacing/>
              <w:ind/>
              <w:jc w:val="center"/>
              <w:rPr>
                <w:sz w:val="18"/>
                <w:szCs w:val="18"/>
              </w:rPr>
            </w:pPr>
            <w:r>
              <w:rPr>
                <w:sz w:val="18"/>
                <w:szCs w:val="18"/>
              </w:rPr>
              <w:t xml:space="preserve">Бывшее в эксплуатации АМТС, требующее ремонта в объеме, превышающем экономическую целесообразность его выполнения; отсутствие технической возможности осуществления такового; непригодное к эксплуатации; непригодное к эксплуатации и ремонту</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Style w:val="1038"/>
              <w:pBdr/>
              <w:spacing/>
              <w:ind/>
              <w:jc w:val="center"/>
              <w:rPr>
                <w:sz w:val="18"/>
                <w:szCs w:val="18"/>
              </w:rPr>
            </w:pPr>
            <w:r>
              <w:rPr>
                <w:sz w:val="18"/>
                <w:szCs w:val="18"/>
              </w:rPr>
              <w:t xml:space="preserve">Предельное</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Style w:val="1038"/>
              <w:pBdr/>
              <w:spacing/>
              <w:ind/>
              <w:jc w:val="center"/>
              <w:rPr>
                <w:sz w:val="18"/>
                <w:szCs w:val="18"/>
              </w:rPr>
            </w:pPr>
            <w:r>
              <w:rPr>
                <w:sz w:val="18"/>
                <w:szCs w:val="18"/>
              </w:rPr>
              <w:t xml:space="preserve">80 и более</w:t>
            </w:r>
            <w:r>
              <w:rPr>
                <w:sz w:val="18"/>
                <w:szCs w:val="18"/>
              </w:rPr>
            </w:r>
            <w:r>
              <w:rPr>
                <w:sz w:val="18"/>
                <w:szCs w:val="18"/>
              </w:rPr>
            </w:r>
          </w:p>
        </w:tc>
      </w:tr>
    </w:tbl>
    <w:p>
      <w:pPr>
        <w:pStyle w:val="1038"/>
        <w:widowControl w:val="false"/>
        <w:pBdr/>
        <w:spacing/>
        <w:ind w:right="0" w:firstLine="709"/>
        <w:rPr>
          <w:bCs/>
          <w:i/>
          <w:iCs/>
          <w:sz w:val="22"/>
          <w:szCs w:val="22"/>
        </w:rPr>
      </w:pPr>
      <w:r>
        <w:rPr>
          <w:bCs/>
          <w:i/>
          <w:iCs/>
          <w:sz w:val="22"/>
          <w:szCs w:val="22"/>
        </w:rPr>
        <w:t xml:space="preserve">Справочник оценщика машин и оборудования «Корректирующие коэффициенты и характеристики рынка машин и оборудования» под редакцией Лейфера Л.А., Нижний Новгород, 2023</w:t>
      </w:r>
      <w:r>
        <w:rPr>
          <w:bCs/>
          <w:i/>
          <w:iCs/>
          <w:sz w:val="22"/>
          <w:szCs w:val="22"/>
        </w:rPr>
      </w:r>
      <w:r>
        <w:rPr>
          <w:bCs/>
          <w:i/>
          <w:iCs/>
          <w:sz w:val="22"/>
          <w:szCs w:val="22"/>
        </w:rPr>
      </w:r>
    </w:p>
    <w:p>
      <w:pPr>
        <w:pStyle w:val="1038"/>
        <w:widowControl w:val="false"/>
        <w:pBdr/>
        <w:spacing/>
        <w:ind w:right="0" w:firstLine="709"/>
        <w:jc w:val="both"/>
        <w:rPr>
          <w:bCs/>
          <w:sz w:val="22"/>
          <w:szCs w:val="22"/>
          <w:lang w:val="en-US"/>
        </w:rPr>
      </w:pPr>
      <w:r>
        <w:rPr>
          <w:bCs/>
          <w:sz w:val="22"/>
          <w:szCs w:val="22"/>
          <w:lang w:val="en-US"/>
        </w:rPr>
      </w:r>
      <w:r>
        <w:rPr>
          <w:bCs/>
          <w:sz w:val="22"/>
          <w:szCs w:val="22"/>
          <w:lang w:val="en-US"/>
        </w:rPr>
      </w:r>
      <w:r>
        <w:rPr>
          <w:bCs/>
          <w:sz w:val="22"/>
          <w:szCs w:val="22"/>
          <w:lang w:val="en-US"/>
        </w:rPr>
      </w:r>
    </w:p>
    <w:p>
      <w:pPr>
        <w:pStyle w:val="1038"/>
        <w:widowControl w:val="false"/>
        <w:pBdr/>
        <w:spacing/>
        <w:ind w:right="0" w:firstLine="709"/>
        <w:jc w:val="both"/>
        <w:rPr>
          <w:bCs/>
          <w:sz w:val="22"/>
          <w:szCs w:val="22"/>
          <w:lang w:val="en-US"/>
        </w:rPr>
      </w:pPr>
      <w:r>
        <w:rPr>
          <w:bCs/>
          <w:sz w:val="22"/>
          <w:szCs w:val="22"/>
          <w:lang w:val="en-US"/>
        </w:rPr>
      </w:r>
      <w:r>
        <w:rPr>
          <w:bCs/>
          <w:sz w:val="22"/>
          <w:szCs w:val="22"/>
          <w:lang w:val="en-US"/>
        </w:rPr>
      </w:r>
      <w:r>
        <w:rPr>
          <w:bCs/>
          <w:sz w:val="22"/>
          <w:szCs w:val="22"/>
          <w:lang w:val="en-US"/>
        </w:rPr>
      </w:r>
    </w:p>
    <w:p>
      <w:pPr>
        <w:pStyle w:val="1038"/>
        <w:widowControl w:val="false"/>
        <w:pBdr/>
        <w:spacing/>
        <w:ind w:right="0" w:firstLine="709"/>
        <w:jc w:val="both"/>
        <w:rPr>
          <w:bCs/>
          <w:sz w:val="22"/>
          <w:szCs w:val="22"/>
        </w:rPr>
      </w:pPr>
      <w:r>
        <w:rPr>
          <w:bCs/>
          <w:sz w:val="22"/>
          <w:szCs w:val="22"/>
        </w:rPr>
      </w:r>
      <w:r>
        <w:rPr>
          <w:bCs/>
          <w:sz w:val="22"/>
          <w:szCs w:val="22"/>
        </w:rPr>
      </w:r>
      <w:r>
        <w:rPr>
          <w:bCs/>
          <w:sz w:val="22"/>
          <w:szCs w:val="22"/>
        </w:rPr>
      </w:r>
    </w:p>
    <w:p>
      <w:pPr>
        <w:pStyle w:val="1038"/>
        <w:widowControl w:val="false"/>
        <w:pBdr/>
        <w:spacing/>
        <w:ind/>
        <w:jc w:val="both"/>
        <w:rPr>
          <w:b/>
          <w:bCs/>
          <w:sz w:val="22"/>
          <w:szCs w:val="22"/>
        </w:rPr>
      </w:pPr>
      <w:r>
        <w:rPr>
          <w:b/>
          <w:bCs/>
          <w:sz w:val="22"/>
          <w:szCs w:val="22"/>
        </w:rPr>
        <w:t xml:space="preserve">Итоговый вывод по корректировкам</w:t>
      </w:r>
      <w:r>
        <w:rPr>
          <w:b/>
          <w:bCs/>
          <w:sz w:val="22"/>
          <w:szCs w:val="22"/>
        </w:rPr>
      </w:r>
      <w:r>
        <w:rPr>
          <w:b/>
          <w:bCs/>
          <w:sz w:val="22"/>
          <w:szCs w:val="22"/>
        </w:rPr>
      </w:r>
    </w:p>
    <w:p>
      <w:pPr>
        <w:pStyle w:val="1038"/>
        <w:widowControl w:val="false"/>
        <w:pBdr/>
        <w:spacing/>
        <w:ind w:right="0" w:firstLine="709"/>
        <w:jc w:val="both"/>
        <w:rPr>
          <w:sz w:val="22"/>
          <w:szCs w:val="22"/>
        </w:rPr>
      </w:pPr>
      <w:r>
        <w:rPr>
          <w:sz w:val="22"/>
          <w:szCs w:val="22"/>
        </w:rPr>
        <w:t xml:space="preserve">Поскольку по всем вышеперечисленным элементам сравнения (передаваемые права, год выпуска, ре</w:t>
      </w:r>
      <w:r>
        <w:rPr>
          <w:sz w:val="22"/>
          <w:szCs w:val="22"/>
        </w:rPr>
        <w:t xml:space="preserve">гион, тип топлива, тип КПП, мощность, объем двигателя) объект оценки и объекты-аналоги полностью сопоставимы, все корректировки приняты равными нулю (0%). Итоговая стоимость объекта оценки определяется как средневзвешенное значение цен отобранных аналогов </w:t>
      </w:r>
      <w:r>
        <w:rPr>
          <w:sz w:val="22"/>
          <w:szCs w:val="22"/>
          <w:lang w:val="en-US"/>
        </w:rPr>
        <w:t xml:space="preserve">c</w:t>
      </w:r>
      <w:r>
        <w:rPr>
          <w:sz w:val="22"/>
          <w:szCs w:val="22"/>
        </w:rPr>
        <w:t xml:space="preserve"> применением поправки на торг.</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tbl>
      <w:tblPr>
        <w:tblW w:w="10705"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1810"/>
        <w:gridCol w:w="1238"/>
        <w:gridCol w:w="1488"/>
        <w:gridCol w:w="1488"/>
        <w:gridCol w:w="1560"/>
        <w:gridCol w:w="1562"/>
        <w:gridCol w:w="1559"/>
      </w:tblGrid>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b/>
                <w:bCs/>
                <w:sz w:val="18"/>
                <w:szCs w:val="18"/>
                <w:highlight w:val="yellow"/>
              </w:rPr>
            </w:pPr>
            <w:r>
              <w:rPr>
                <w:b/>
                <w:bCs/>
                <w:highlight w:val="yellow"/>
              </w:rPr>
              <w:t xml:space="preserve">Характеристика</w:t>
            </w:r>
            <w:r>
              <w:rPr>
                <w:b/>
                <w:bCs/>
                <w:sz w:val="18"/>
                <w:szCs w:val="18"/>
                <w:highlight w:val="yellow"/>
              </w:rPr>
            </w:r>
            <w:r>
              <w:rPr>
                <w:b/>
                <w:bCs/>
                <w:sz w:val="18"/>
                <w:szCs w:val="18"/>
                <w:highlight w:val="yellow"/>
              </w:rPr>
            </w:r>
          </w:p>
        </w:tc>
        <w:tc>
          <w:tcPr>
            <w:shd w:val="clear" w:color="auto" w:fill="ffffff"/>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b/>
                <w:bCs/>
                <w:sz w:val="18"/>
                <w:szCs w:val="18"/>
                <w:highlight w:val="yellow"/>
              </w:rPr>
            </w:pPr>
            <w:r>
              <w:rPr>
                <w:b/>
                <w:bCs/>
                <w:highlight w:val="yellow"/>
              </w:rPr>
              <w:t xml:space="preserve">Объект оценки</w:t>
            </w:r>
            <w:r>
              <w:rPr>
                <w:b/>
                <w:bCs/>
                <w:sz w:val="18"/>
                <w:szCs w:val="18"/>
                <w:highlight w:val="yellow"/>
              </w:rPr>
            </w:r>
            <w:r>
              <w:rPr>
                <w:b/>
                <w:bCs/>
                <w:sz w:val="18"/>
                <w:szCs w:val="18"/>
                <w:highlight w:val="yellow"/>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textDirection w:val="lrTb"/>
            <w:noWrap w:val="false"/>
          </w:tcPr>
          <w:p>
            <w:pPr>
              <w:pStyle w:val="1038"/>
              <w:pBdr/>
              <w:spacing/>
              <w:ind/>
              <w:jc w:val="center"/>
              <w:rPr>
                <w:b/>
                <w:bCs/>
                <w:sz w:val="18"/>
                <w:szCs w:val="18"/>
                <w:highlight w:val="yellow"/>
              </w:rPr>
            </w:pPr>
            <w:r>
              <w:rPr>
                <w:b/>
                <w:bCs/>
                <w:highlight w:val="yellow"/>
              </w:rPr>
              <w:t xml:space="preserve">1-й аналог</w:t>
            </w:r>
            <w:r>
              <w:rPr>
                <w:b/>
                <w:bCs/>
                <w:sz w:val="18"/>
                <w:szCs w:val="18"/>
                <w:highlight w:val="yellow"/>
              </w:rPr>
            </w:r>
            <w:r>
              <w:rPr>
                <w:b/>
                <w:bCs/>
                <w:sz w:val="18"/>
                <w:szCs w:val="18"/>
                <w:highlight w:val="yellow"/>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textDirection w:val="lrTb"/>
            <w:noWrap w:val="false"/>
          </w:tcPr>
          <w:p>
            <w:pPr>
              <w:pStyle w:val="1038"/>
              <w:pBdr/>
              <w:spacing/>
              <w:ind/>
              <w:jc w:val="center"/>
              <w:rPr>
                <w:b/>
                <w:bCs/>
                <w:sz w:val="18"/>
                <w:szCs w:val="18"/>
                <w:highlight w:val="yellow"/>
              </w:rPr>
            </w:pPr>
            <w:r>
              <w:rPr>
                <w:b/>
                <w:bCs/>
                <w:highlight w:val="yellow"/>
              </w:rPr>
              <w:t xml:space="preserve">2-й аналог</w:t>
            </w:r>
            <w:r>
              <w:rPr>
                <w:b/>
                <w:bCs/>
                <w:sz w:val="18"/>
                <w:szCs w:val="18"/>
                <w:highlight w:val="yellow"/>
              </w:rPr>
            </w:r>
            <w:r>
              <w:rPr>
                <w:b/>
                <w:bCs/>
                <w:sz w:val="18"/>
                <w:szCs w:val="18"/>
                <w:highlight w:val="yellow"/>
              </w:rPr>
            </w:r>
          </w:p>
        </w:tc>
        <w:tc>
          <w:tcPr>
            <w:shd w:val="clear" w:color="auto" w:fill="ffffff"/>
            <w:tcBorders>
              <w:top w:val="single" w:color="000000" w:sz="4" w:space="0"/>
              <w:left w:val="single" w:color="000000" w:sz="4" w:space="0"/>
              <w:bottom w:val="single" w:color="000000" w:sz="4" w:space="0"/>
              <w:right w:val="single" w:color="000000" w:sz="4" w:space="0"/>
            </w:tcBorders>
            <w:tcW w:w="1560" w:type="dxa"/>
            <w:textDirection w:val="lrTb"/>
            <w:noWrap w:val="false"/>
          </w:tcPr>
          <w:p>
            <w:pPr>
              <w:pStyle w:val="1038"/>
              <w:pBdr/>
              <w:spacing/>
              <w:ind/>
              <w:jc w:val="center"/>
              <w:rPr>
                <w:b/>
                <w:bCs/>
                <w:sz w:val="18"/>
                <w:szCs w:val="18"/>
                <w:highlight w:val="yellow"/>
              </w:rPr>
            </w:pPr>
            <w:r>
              <w:rPr>
                <w:b/>
                <w:bCs/>
                <w:highlight w:val="yellow"/>
              </w:rPr>
              <w:t xml:space="preserve">3-й аналог</w:t>
            </w:r>
            <w:r>
              <w:rPr>
                <w:b/>
                <w:bCs/>
                <w:sz w:val="18"/>
                <w:szCs w:val="18"/>
                <w:highlight w:val="yellow"/>
              </w:rPr>
            </w:r>
            <w:r>
              <w:rPr>
                <w:b/>
                <w:bCs/>
                <w:sz w:val="18"/>
                <w:szCs w:val="18"/>
                <w:highlight w:val="yellow"/>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textDirection w:val="lrTb"/>
            <w:noWrap w:val="false"/>
          </w:tcPr>
          <w:p>
            <w:pPr>
              <w:pStyle w:val="1038"/>
              <w:pBdr/>
              <w:spacing/>
              <w:ind/>
              <w:jc w:val="center"/>
              <w:rPr>
                <w:b/>
                <w:bCs/>
                <w:sz w:val="18"/>
                <w:szCs w:val="18"/>
                <w:highlight w:val="yellow"/>
              </w:rPr>
            </w:pPr>
            <w:r>
              <w:rPr>
                <w:b/>
                <w:bCs/>
                <w:highlight w:val="yellow"/>
              </w:rPr>
              <w:t xml:space="preserve">4-аналог</w:t>
            </w:r>
            <w:r>
              <w:rPr>
                <w:b/>
                <w:bCs/>
                <w:sz w:val="18"/>
                <w:szCs w:val="18"/>
                <w:highlight w:val="yellow"/>
              </w:rPr>
            </w:r>
            <w:r>
              <w:rPr>
                <w:b/>
                <w:bCs/>
                <w:sz w:val="18"/>
                <w:szCs w:val="18"/>
                <w:highlight w:val="yellow"/>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Style w:val="1038"/>
              <w:pBdr/>
              <w:spacing/>
              <w:ind/>
              <w:jc w:val="center"/>
              <w:rPr>
                <w:b/>
                <w:bCs/>
                <w:sz w:val="18"/>
                <w:szCs w:val="18"/>
                <w:highlight w:val="yellow"/>
              </w:rPr>
            </w:pPr>
            <w:r>
              <w:rPr>
                <w:b/>
                <w:bCs/>
                <w:highlight w:val="yellow"/>
              </w:rPr>
              <w:t xml:space="preserve">5-аналог</w:t>
            </w:r>
            <w:r>
              <w:rPr>
                <w:b/>
                <w:bCs/>
                <w:sz w:val="18"/>
                <w:szCs w:val="18"/>
                <w:highlight w:val="yellow"/>
              </w:rPr>
            </w:r>
            <w:r>
              <w:rPr>
                <w:b/>
                <w:bCs/>
                <w:sz w:val="18"/>
                <w:szCs w:val="18"/>
                <w:highlight w:val="yellow"/>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Цена предложения,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rPr>
            </w:r>
            <w:r>
              <w:rPr>
                <w:sz w:val="18"/>
                <w:szCs w:val="18"/>
                <w:highlight w:val="yellow"/>
              </w:rPr>
            </w:r>
            <w:r>
              <w:rPr>
                <w:sz w:val="18"/>
                <w:szCs w:val="18"/>
                <w:highlight w:val="yellow"/>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Style w:val="1038"/>
              <w:pBdr/>
              <w:spacing/>
              <w:ind/>
              <w:jc w:val="center"/>
              <w:rPr>
                <w:sz w:val="18"/>
                <w:szCs w:val="18"/>
                <w:highlight w:val="yellow"/>
              </w:rPr>
            </w:pPr>
            <w:r>
              <w:rPr>
                <w:highlight w:val="yellow"/>
              </w:rPr>
            </w:r>
            <w:r>
              <w:rPr>
                <w:highlight w:val="yellow"/>
              </w:rPr>
              <w:t xml:space="preserve">${offer_price</w:t>
            </w:r>
            <w:r>
              <w:rPr>
                <w:highlight w:val="yellow"/>
                <w:lang w:val="en-US"/>
              </w:rPr>
              <w:t xml:space="preserve">_</w:t>
            </w:r>
            <w:r>
              <w:rPr>
                <w:highlight w:val="yellow"/>
              </w:rPr>
              <w:t xml:space="preserve">1}</w:t>
            </w:r>
            <w:r>
              <w:rPr>
                <w:highlight w:val="yellow"/>
              </w:rPr>
              <w:t xml:space="preserve">,00</w:t>
            </w:r>
            <w:r>
              <w:rPr>
                <w:sz w:val="18"/>
                <w:szCs w:val="18"/>
                <w:highlight w:val="yellow"/>
              </w:rPr>
            </w:r>
            <w:r>
              <w:rPr>
                <w:sz w:val="18"/>
                <w:szCs w:val="18"/>
                <w:highlight w:val="yellow"/>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Style w:val="1038"/>
              <w:pBdr/>
              <w:spacing/>
              <w:ind/>
              <w:jc w:val="center"/>
              <w:rPr>
                <w:sz w:val="18"/>
                <w:szCs w:val="18"/>
                <w:highlight w:val="yellow"/>
              </w:rPr>
            </w:pPr>
            <w:r>
              <w:rPr>
                <w:highlight w:val="yellow"/>
              </w:rPr>
            </w:r>
            <w:r>
              <w:rPr>
                <w:highlight w:val="yellow"/>
              </w:rPr>
              <w:t xml:space="preserve">${offer_price</w:t>
            </w:r>
            <w:r>
              <w:rPr>
                <w:highlight w:val="yellow"/>
                <w:lang w:val="en-US"/>
              </w:rPr>
              <w:t xml:space="preserve">_</w:t>
            </w:r>
            <w:r>
              <w:rPr>
                <w:highlight w:val="yellow"/>
                <w:lang w:val="en-US"/>
              </w:rPr>
              <w:t xml:space="preserve">2</w:t>
            </w:r>
            <w:r>
              <w:rPr>
                <w:highlight w:val="yellow"/>
              </w:rPr>
              <w:t xml:space="preserve">}</w:t>
            </w:r>
            <w:r>
              <w:rPr>
                <w:highlight w:val="yellow"/>
              </w:rPr>
              <w:t xml:space="preserve">,00</w:t>
            </w:r>
            <w:r>
              <w:rPr>
                <w:sz w:val="18"/>
                <w:szCs w:val="18"/>
                <w:highlight w:val="yellow"/>
              </w:rPr>
            </w:r>
            <w:r>
              <w:rPr>
                <w:sz w:val="18"/>
                <w:szCs w:val="18"/>
                <w:highlight w:val="yellow"/>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Style w:val="1038"/>
              <w:pBdr/>
              <w:spacing/>
              <w:ind/>
              <w:jc w:val="center"/>
              <w:rPr>
                <w:sz w:val="18"/>
                <w:szCs w:val="18"/>
                <w:highlight w:val="yellow"/>
              </w:rPr>
            </w:pPr>
            <w:r>
              <w:rPr>
                <w:highlight w:val="yellow"/>
              </w:rPr>
            </w:r>
            <w:r>
              <w:rPr>
                <w:highlight w:val="yellow"/>
              </w:rPr>
              <w:t xml:space="preserve">${offer_price</w:t>
            </w:r>
            <w:r>
              <w:rPr>
                <w:highlight w:val="yellow"/>
                <w:lang w:val="en-US"/>
              </w:rPr>
              <w:t xml:space="preserve">_</w:t>
            </w:r>
            <w:r>
              <w:rPr>
                <w:highlight w:val="yellow"/>
                <w:lang w:val="en-US"/>
              </w:rPr>
              <w:t xml:space="preserve">3</w:t>
            </w:r>
            <w:r>
              <w:rPr>
                <w:highlight w:val="yellow"/>
              </w:rPr>
              <w:t xml:space="preserve">}</w:t>
            </w:r>
            <w:r>
              <w:rPr>
                <w:highlight w:val="yellow"/>
              </w:rPr>
              <w:t xml:space="preserve">,00</w:t>
            </w:r>
            <w:r>
              <w:rPr>
                <w:sz w:val="18"/>
                <w:szCs w:val="18"/>
                <w:highlight w:val="yellow"/>
              </w:rPr>
            </w:r>
            <w:r>
              <w:rPr>
                <w:sz w:val="18"/>
                <w:szCs w:val="18"/>
                <w:highlight w:val="yellow"/>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Style w:val="1038"/>
              <w:pBdr/>
              <w:spacing/>
              <w:ind/>
              <w:jc w:val="center"/>
              <w:rPr>
                <w:sz w:val="18"/>
                <w:szCs w:val="18"/>
                <w:highlight w:val="yellow"/>
              </w:rPr>
            </w:pPr>
            <w:r>
              <w:rPr>
                <w:highlight w:val="yellow"/>
              </w:rPr>
            </w:r>
            <w:r>
              <w:rPr>
                <w:highlight w:val="yellow"/>
              </w:rPr>
              <w:t xml:space="preserve">${offer_price</w:t>
            </w:r>
            <w:r>
              <w:rPr>
                <w:highlight w:val="yellow"/>
                <w:lang w:val="en-US"/>
              </w:rPr>
              <w:t xml:space="preserve">_</w:t>
            </w:r>
            <w:r>
              <w:rPr>
                <w:highlight w:val="yellow"/>
                <w:lang w:val="en-US"/>
              </w:rPr>
              <w:t xml:space="preserve">4</w:t>
            </w:r>
            <w:r>
              <w:rPr>
                <w:highlight w:val="yellow"/>
              </w:rPr>
              <w:t xml:space="preserve">}</w:t>
            </w:r>
            <w:r>
              <w:rPr>
                <w:highlight w:val="yellow"/>
              </w:rPr>
              <w:t xml:space="preserve">,00</w:t>
            </w:r>
            <w:r>
              <w:rPr>
                <w:sz w:val="18"/>
                <w:szCs w:val="18"/>
                <w:highlight w:val="yellow"/>
              </w:rPr>
            </w:r>
            <w:r>
              <w:rPr>
                <w:sz w:val="18"/>
                <w:szCs w:val="18"/>
                <w:highlight w:val="yellow"/>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Style w:val="1038"/>
              <w:pBdr/>
              <w:spacing/>
              <w:ind/>
              <w:jc w:val="center"/>
              <w:rPr>
                <w:sz w:val="18"/>
                <w:szCs w:val="18"/>
                <w:highlight w:val="yellow"/>
              </w:rPr>
            </w:pPr>
            <w:r>
              <w:rPr>
                <w:highlight w:val="yellow"/>
              </w:rPr>
            </w:r>
            <w:r>
              <w:rPr>
                <w:highlight w:val="yellow"/>
              </w:rPr>
              <w:t xml:space="preserve">${offer_price</w:t>
            </w:r>
            <w:r>
              <w:rPr>
                <w:highlight w:val="yellow"/>
                <w:lang w:val="en-US"/>
              </w:rPr>
              <w:t xml:space="preserve">_</w:t>
            </w:r>
            <w:r>
              <w:rPr>
                <w:highlight w:val="yellow"/>
                <w:lang w:val="en-US"/>
              </w:rPr>
              <w:t xml:space="preserve">5</w:t>
            </w:r>
            <w:r>
              <w:rPr>
                <w:highlight w:val="yellow"/>
              </w:rPr>
              <w:t xml:space="preserve">}</w:t>
            </w:r>
            <w:r>
              <w:rPr>
                <w:highlight w:val="yellow"/>
              </w:rPr>
              <w:t xml:space="preserve">,00</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000000"/>
                <w:sz w:val="18"/>
                <w:szCs w:val="18"/>
                <w:highlight w:val="none"/>
              </w:rPr>
            </w:pPr>
            <w:r>
              <w:rPr>
                <w:highlight w:val="none"/>
              </w:rPr>
              <w:t xml:space="preserve">Корректировка на торг, %</w:t>
            </w:r>
            <w:r>
              <w:rPr>
                <w:color w:val="000000"/>
                <w:sz w:val="18"/>
                <w:szCs w:val="18"/>
                <w:highlight w:val="none"/>
              </w:rPr>
            </w:r>
            <w:r>
              <w:rPr>
                <w:color w:val="000000"/>
                <w:sz w:val="18"/>
                <w:szCs w:val="18"/>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none"/>
              </w:rPr>
            </w:pPr>
            <w:r>
              <w:rPr>
                <w:highlight w:val="none"/>
              </w:rPr>
            </w:r>
            <w:r>
              <w:rPr>
                <w:sz w:val="18"/>
                <w:szCs w:val="18"/>
                <w:highlight w:val="none"/>
              </w:rPr>
            </w:r>
            <w:r>
              <w:rPr>
                <w:sz w:val="18"/>
                <w:szCs w:val="18"/>
                <w:highlight w:val="none"/>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Величина корректировки,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за объект,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Источник информации</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Год выпуска</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rPr>
            </w:r>
            <w:r>
              <w:rPr>
                <w:highlight w:val="yellow"/>
                <w:lang w:val="en-US"/>
              </w:rPr>
              <w:t xml:space="preserve">${vehicle_year}</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none"/>
              </w:rPr>
            </w:pPr>
            <w:r>
              <w:rPr>
                <w:highlight w:val="none"/>
              </w:rPr>
              <w:t xml:space="preserve">Корректировка,%</w:t>
            </w:r>
            <w:r>
              <w:rPr>
                <w:color w:val="ff0000"/>
                <w:sz w:val="18"/>
                <w:szCs w:val="18"/>
                <w:highlight w:val="none"/>
              </w:rPr>
            </w:r>
            <w:r>
              <w:rPr>
                <w:color w:val="ff0000"/>
                <w:sz w:val="18"/>
                <w:szCs w:val="18"/>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none"/>
              </w:rPr>
            </w:pPr>
            <w:r>
              <w:rPr>
                <w:sz w:val="18"/>
                <w:szCs w:val="18"/>
                <w:highlight w:val="none"/>
              </w:rPr>
            </w:r>
            <w:r>
              <w:rPr>
                <w:sz w:val="18"/>
                <w:szCs w:val="18"/>
                <w:highlight w:val="none"/>
              </w:rPr>
            </w:r>
            <w:r>
              <w:rPr>
                <w:sz w:val="18"/>
                <w:szCs w:val="18"/>
                <w:highlight w:val="none"/>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за объект,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Местонахождение</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rPr>
            </w:r>
            <w:r>
              <w:rPr>
                <w:highlight w:val="yellow"/>
                <w:lang w:val="en-US"/>
              </w:rPr>
              <w:t xml:space="preserve">${vehicle_region_name}</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none"/>
              </w:rPr>
            </w:pPr>
            <w:r>
              <w:rPr>
                <w:highlight w:val="none"/>
              </w:rPr>
              <w:t xml:space="preserve">Корректировка,%</w:t>
            </w:r>
            <w:r>
              <w:rPr>
                <w:color w:val="ff0000"/>
                <w:sz w:val="18"/>
                <w:szCs w:val="18"/>
                <w:highlight w:val="none"/>
              </w:rPr>
            </w:r>
            <w:r>
              <w:rPr>
                <w:color w:val="ff0000"/>
                <w:sz w:val="18"/>
                <w:szCs w:val="18"/>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none"/>
              </w:rPr>
            </w:pPr>
            <w:r>
              <w:rPr>
                <w:sz w:val="18"/>
                <w:szCs w:val="18"/>
                <w:highlight w:val="none"/>
              </w:rPr>
            </w:r>
            <w:r>
              <w:rPr>
                <w:sz w:val="18"/>
                <w:szCs w:val="18"/>
                <w:highlight w:val="none"/>
              </w:rPr>
            </w:r>
            <w:r>
              <w:rPr>
                <w:sz w:val="18"/>
                <w:szCs w:val="18"/>
                <w:highlight w:val="none"/>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за объект,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Тип двигателя</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rPr>
            </w:r>
            <w:r>
              <w:rPr>
                <w:highlight w:val="yellow"/>
                <w:lang w:val="en-US"/>
              </w:rPr>
              <w:t xml:space="preserve">${vehicle_</w:t>
            </w:r>
            <w:r>
              <w:rPr>
                <w:highlight w:val="yellow"/>
              </w:rPr>
              <w:t xml:space="preserve">engine_type</w:t>
            </w:r>
            <w:r>
              <w:rPr>
                <w:highlight w:val="yellow"/>
                <w:lang w:val="en-US"/>
              </w:rPr>
              <w:t xml:space="preserve">}</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none"/>
              </w:rPr>
            </w:pPr>
            <w:r>
              <w:rPr>
                <w:highlight w:val="none"/>
              </w:rPr>
              <w:t xml:space="preserve">Корректировка,%</w:t>
            </w:r>
            <w:r>
              <w:rPr>
                <w:color w:val="ff0000"/>
                <w:sz w:val="18"/>
                <w:szCs w:val="18"/>
                <w:highlight w:val="none"/>
              </w:rPr>
            </w:r>
            <w:r>
              <w:rPr>
                <w:color w:val="ff0000"/>
                <w:sz w:val="18"/>
                <w:szCs w:val="18"/>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none"/>
              </w:rPr>
            </w:pPr>
            <w:r>
              <w:rPr>
                <w:sz w:val="18"/>
                <w:szCs w:val="18"/>
                <w:highlight w:val="none"/>
              </w:rPr>
            </w:r>
            <w:r>
              <w:rPr>
                <w:sz w:val="18"/>
                <w:szCs w:val="18"/>
                <w:highlight w:val="none"/>
              </w:rPr>
            </w:r>
            <w:r>
              <w:rPr>
                <w:sz w:val="18"/>
                <w:szCs w:val="18"/>
                <w:highlight w:val="none"/>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Тип коробки передач</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rPr>
            </w:r>
            <w:r>
              <w:rPr>
                <w:highlight w:val="yellow"/>
                <w:lang w:val="en-US"/>
              </w:rPr>
              <w:t xml:space="preserve">${vehicle_</w:t>
            </w:r>
            <w:r>
              <w:rPr>
                <w:highlight w:val="yellow"/>
                <w:lang w:val="en-US"/>
              </w:rPr>
              <w:t xml:space="preserve">transmission</w:t>
            </w:r>
            <w:r>
              <w:rPr>
                <w:highlight w:val="yellow"/>
                <w:lang w:val="en-US"/>
              </w:rPr>
              <w:t xml:space="preserve">}</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none"/>
              </w:rPr>
            </w:pPr>
            <w:r>
              <w:rPr>
                <w:highlight w:val="none"/>
              </w:rPr>
              <w:t xml:space="preserve">Корректировка,%</w:t>
            </w:r>
            <w:r>
              <w:rPr>
                <w:color w:val="ff0000"/>
                <w:sz w:val="18"/>
                <w:szCs w:val="18"/>
                <w:highlight w:val="none"/>
              </w:rPr>
            </w:r>
            <w:r>
              <w:rPr>
                <w:color w:val="ff0000"/>
                <w:sz w:val="18"/>
                <w:szCs w:val="18"/>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none"/>
              </w:rPr>
            </w:pPr>
            <w:r>
              <w:rPr>
                <w:sz w:val="18"/>
                <w:szCs w:val="18"/>
                <w:highlight w:val="none"/>
              </w:rPr>
            </w:r>
            <w:r>
              <w:rPr>
                <w:sz w:val="18"/>
                <w:szCs w:val="18"/>
                <w:highlight w:val="none"/>
              </w:rPr>
            </w:r>
            <w:r>
              <w:rPr>
                <w:sz w:val="18"/>
                <w:szCs w:val="18"/>
                <w:highlight w:val="none"/>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за объект,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Мощность двигателя, л.с.</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rPr>
            </w:r>
            <w:r>
              <w:rPr>
                <w:highlight w:val="yellow"/>
                <w:lang w:val="en-US"/>
              </w:rPr>
              <w:t xml:space="preserve">${vehicle_power}</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none"/>
              </w:rPr>
            </w:pPr>
            <w:r>
              <w:rPr>
                <w:highlight w:val="none"/>
              </w:rPr>
              <w:t xml:space="preserve">Корректировка,%</w:t>
            </w:r>
            <w:r>
              <w:rPr>
                <w:color w:val="ff0000"/>
                <w:sz w:val="18"/>
                <w:szCs w:val="18"/>
                <w:highlight w:val="none"/>
              </w:rPr>
            </w:r>
            <w:r>
              <w:rPr>
                <w:color w:val="ff0000"/>
                <w:sz w:val="18"/>
                <w:szCs w:val="18"/>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none"/>
              </w:rPr>
            </w:pPr>
            <w:r>
              <w:rPr>
                <w:sz w:val="18"/>
                <w:szCs w:val="18"/>
                <w:highlight w:val="none"/>
              </w:rPr>
            </w:r>
            <w:r>
              <w:rPr>
                <w:sz w:val="18"/>
                <w:szCs w:val="18"/>
                <w:highlight w:val="none"/>
              </w:rPr>
            </w:r>
            <w:r>
              <w:rPr>
                <w:sz w:val="18"/>
                <w:szCs w:val="18"/>
                <w:highlight w:val="none"/>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за объект,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Пробег, км</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rPr>
            </w:r>
            <w:r>
              <w:rPr>
                <w:highlight w:val="yellow"/>
                <w:lang w:val="en-US"/>
              </w:rPr>
              <w:t xml:space="preserve">${vehicle_mileage}</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none"/>
              </w:rPr>
            </w:pPr>
            <w:r>
              <w:rPr>
                <w:highlight w:val="none"/>
              </w:rPr>
              <w:t xml:space="preserve">Корректировка,%</w:t>
            </w:r>
            <w:r>
              <w:rPr>
                <w:color w:val="ff0000"/>
                <w:sz w:val="18"/>
                <w:szCs w:val="18"/>
                <w:highlight w:val="none"/>
              </w:rPr>
            </w:r>
            <w:r>
              <w:rPr>
                <w:color w:val="ff0000"/>
                <w:sz w:val="18"/>
                <w:szCs w:val="18"/>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none"/>
              </w:rPr>
            </w:pPr>
            <w:r>
              <w:rPr>
                <w:sz w:val="18"/>
                <w:szCs w:val="18"/>
                <w:highlight w:val="none"/>
              </w:rPr>
            </w:r>
            <w:r>
              <w:rPr>
                <w:sz w:val="18"/>
                <w:szCs w:val="18"/>
                <w:highlight w:val="none"/>
              </w:rPr>
            </w:r>
            <w:r>
              <w:rPr>
                <w:sz w:val="18"/>
                <w:szCs w:val="18"/>
                <w:highlight w:val="none"/>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за объект,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Коэффициент износа, %</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highlight w:val="yellow"/>
                <w:lang w:val="en-US"/>
              </w:rPr>
              <w:t xml:space="preserve">${vehicle_wear}</w:t>
            </w:r>
            <w:r>
              <w:rPr>
                <w:highlight w:val="yellow"/>
              </w:rPr>
              <w:t xml:space="preserve">,0</w:t>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Корректировка,%</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color w:val="ff0000"/>
                <w:sz w:val="18"/>
                <w:szCs w:val="18"/>
                <w:highlight w:val="yellow"/>
              </w:rPr>
            </w:pPr>
            <w:r>
              <w:rPr>
                <w:highlight w:val="yellow"/>
              </w:rPr>
              <w:t xml:space="preserve">Скорректированная стоимость, за объект, руб.</w:t>
            </w:r>
            <w:r>
              <w:rPr>
                <w:color w:val="ff0000"/>
                <w:sz w:val="18"/>
                <w:szCs w:val="18"/>
                <w:highlight w:val="yellow"/>
              </w:rPr>
            </w:r>
            <w:r>
              <w:rPr>
                <w:color w:val="ff0000"/>
                <w:sz w:val="18"/>
                <w:szCs w:val="18"/>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gridAfter w:val="5"/>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Style w:val="1038"/>
              <w:pBdr/>
              <w:spacing/>
              <w:ind/>
              <w:jc w:val="center"/>
              <w:rPr>
                <w:highlight w:val="yellow"/>
              </w:rPr>
            </w:pPr>
            <w:r>
              <w:rPr>
                <w:highlight w:val="yellow"/>
              </w:rPr>
              <w:t xml:space="preserve">Весовой к-т</w:t>
            </w:r>
            <w:r>
              <w:rPr>
                <w:highlight w:val="yellow"/>
              </w:rPr>
            </w:r>
            <w:r>
              <w:rPr>
                <w:highlight w:val="yellow"/>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Style w:val="1038"/>
              <w:pBdr/>
              <w:spacing/>
              <w:ind/>
              <w:jc w:val="center"/>
              <w:rPr>
                <w:sz w:val="18"/>
                <w:szCs w:val="18"/>
                <w:highlight w:val="yellow"/>
              </w:rPr>
            </w:pPr>
            <w:r>
              <w:rPr>
                <w:sz w:val="18"/>
                <w:szCs w:val="18"/>
                <w:highlight w:val="yellow"/>
              </w:rPr>
            </w:r>
            <w:r>
              <w:rPr>
                <w:sz w:val="18"/>
                <w:szCs w:val="18"/>
                <w:highlight w:val="yellow"/>
              </w:rPr>
            </w:r>
            <w:r>
              <w:rPr>
                <w:sz w:val="18"/>
                <w:szCs w:val="18"/>
                <w:highlight w:val="yellow"/>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vAlign w:val="center"/>
            <w:textDirection w:val="lrTb"/>
            <w:noWrap w:val="false"/>
          </w:tcPr>
          <w:p>
            <w:pPr>
              <w:pStyle w:val="1038"/>
              <w:pBdr/>
              <w:spacing/>
              <w:ind/>
              <w:jc w:val="center"/>
              <w:rPr>
                <w:highlight w:val="yellow"/>
              </w:rPr>
            </w:pPr>
            <w:r>
              <w:rPr>
                <w:highlight w:val="yellow"/>
              </w:rPr>
              <w:t xml:space="preserve">Рыночная стоимость, руб.</w:t>
            </w:r>
            <w:r>
              <w:rPr>
                <w:highlight w:val="yellow"/>
              </w:rPr>
            </w:r>
            <w:r>
              <w:rPr>
                <w:highlight w:val="yellow"/>
              </w:rPr>
            </w:r>
          </w:p>
        </w:tc>
        <w:tc>
          <w:tcPr>
            <w:gridSpan w:val="6"/>
            <w:tcBorders>
              <w:top w:val="single" w:color="000000" w:sz="4" w:space="0"/>
              <w:left w:val="single" w:color="000000" w:sz="4" w:space="0"/>
              <w:bottom w:val="single" w:color="000000" w:sz="4" w:space="0"/>
              <w:right w:val="single" w:color="000000" w:sz="4" w:space="0"/>
            </w:tcBorders>
            <w:tcW w:w="8895" w:type="dxa"/>
            <w:vAlign w:val="center"/>
            <w:textDirection w:val="lrTb"/>
            <w:noWrap w:val="false"/>
          </w:tcPr>
          <w:p>
            <w:pPr>
              <w:pStyle w:val="1038"/>
              <w:pBdr/>
              <w:spacing/>
              <w:ind/>
              <w:jc w:val="center"/>
              <w:rPr/>
            </w:pPr>
            <w:r>
              <w:rPr>
                <w:highlight w:val="yellow"/>
              </w:rPr>
            </w:r>
            <w:r>
              <w:rPr>
                <w:highlight w:val="yellow"/>
              </w:rPr>
              <w:t xml:space="preserve">${</w:t>
            </w:r>
            <w:r>
              <w:rPr>
                <w:highlight w:val="yellow"/>
                <w:lang w:val="en-US"/>
              </w:rPr>
              <w:t xml:space="preserve">final_</w:t>
            </w:r>
            <w:r>
              <w:rPr>
                <w:highlight w:val="yellow"/>
                <w:lang w:val="en-US"/>
              </w:rPr>
              <w:t xml:space="preserve">price</w:t>
            </w:r>
            <w:r>
              <w:rPr>
                <w:highlight w:val="yellow"/>
              </w:rPr>
              <w:t xml:space="preserve">}</w:t>
            </w:r>
            <w:r>
              <w:rPr>
                <w:highlight w:val="yellow"/>
              </w:rPr>
            </w:r>
            <w:r/>
          </w:p>
        </w:tc>
      </w:tr>
    </w:tbl>
    <w:p>
      <w:pPr>
        <w:pStyle w:val="1038"/>
        <w:widowControl w:val="false"/>
        <w:pBdr/>
        <w:spacing/>
        <w:ind/>
        <w:jc w:val="both"/>
        <w:rPr>
          <w:sz w:val="22"/>
          <w:szCs w:val="22"/>
        </w:rPr>
      </w:pPr>
      <w:r>
        <w:rPr>
          <w:sz w:val="22"/>
          <w:szCs w:val="22"/>
        </w:rPr>
      </w:r>
      <w:r>
        <w:rPr>
          <w:sz w:val="22"/>
          <w:szCs w:val="22"/>
        </w:rPr>
      </w:r>
      <w:r>
        <w:rPr>
          <w:sz w:val="22"/>
          <w:szCs w:val="22"/>
        </w:rPr>
      </w:r>
    </w:p>
    <w:p>
      <w:pPr>
        <w:pStyle w:val="1040"/>
        <w:keepNext w:val="false"/>
        <w:widowControl w:val="false"/>
        <w:numPr>
          <w:ilvl w:val="1"/>
          <w:numId w:val="1"/>
        </w:numPr>
        <w:pBdr/>
        <w:spacing/>
        <w:ind w:firstLine="0" w:left="0"/>
        <w:jc w:val="center"/>
        <w:rPr>
          <w:b/>
          <w:sz w:val="22"/>
          <w:szCs w:val="22"/>
        </w:rPr>
      </w:pPr>
      <w:r/>
      <w:bookmarkStart w:id="18" w:name="__RefHeading___Toc212536965"/>
      <w:r/>
      <w:bookmarkEnd w:id="18"/>
      <w:r>
        <w:rPr>
          <w:b/>
          <w:sz w:val="22"/>
          <w:szCs w:val="22"/>
        </w:rPr>
        <w:t xml:space="preserve">12.5. Согласование результатов оценки</w:t>
      </w:r>
      <w:r>
        <w:rPr>
          <w:b/>
          <w:sz w:val="22"/>
          <w:szCs w:val="22"/>
        </w:rPr>
      </w:r>
      <w:r>
        <w:rPr>
          <w:b/>
          <w:sz w:val="22"/>
          <w:szCs w:val="22"/>
        </w:rPr>
      </w:r>
    </w:p>
    <w:p>
      <w:pPr>
        <w:pStyle w:val="1038"/>
        <w:widowControl w:val="false"/>
        <w:pBdr/>
        <w:spacing/>
        <w:ind/>
        <w:rPr>
          <w:sz w:val="22"/>
          <w:szCs w:val="22"/>
        </w:rPr>
      </w:pPr>
      <w:r>
        <w:rPr>
          <w:sz w:val="22"/>
          <w:szCs w:val="22"/>
        </w:rPr>
      </w:r>
      <w:r>
        <w:rPr>
          <w:sz w:val="22"/>
          <w:szCs w:val="22"/>
        </w:rPr>
      </w:r>
      <w:r>
        <w:rPr>
          <w:sz w:val="22"/>
          <w:szCs w:val="22"/>
        </w:rPr>
      </w:r>
    </w:p>
    <w:p>
      <w:pPr>
        <w:pStyle w:val="1038"/>
        <w:widowControl w:val="false"/>
        <w:pBdr/>
        <w:spacing/>
        <w:ind w:right="0" w:firstLine="567"/>
        <w:jc w:val="both"/>
        <w:rPr>
          <w:sz w:val="22"/>
          <w:szCs w:val="22"/>
        </w:rPr>
      </w:pPr>
      <w:r>
        <w:rPr>
          <w:sz w:val="22"/>
          <w:szCs w:val="22"/>
        </w:rPr>
        <w:t xml:space="preserve">Согласование результатов оценки — это определение окончательной стоимости объекта путем математического взвешивания результатов оценки, полученных в рамках всех использованных подходов, при котором каждому результату оцен</w:t>
      </w:r>
      <w:r>
        <w:rPr>
          <w:sz w:val="22"/>
          <w:szCs w:val="22"/>
        </w:rPr>
        <w:t xml:space="preserve">ки стоимости объекта присваивается определенная весовая доля. Весовая доля тем больше, чем больше, по мнению Оценщика, данный подход применим для расчета стоимости объекта оценки и, чем лучше полученная стоимость отражает реальную стоимость объекта оценки.</w:t>
      </w:r>
      <w:r>
        <w:rPr>
          <w:sz w:val="22"/>
          <w:szCs w:val="22"/>
        </w:rPr>
      </w:r>
      <w:r>
        <w:rPr>
          <w:sz w:val="22"/>
          <w:szCs w:val="22"/>
        </w:rPr>
      </w:r>
    </w:p>
    <w:p>
      <w:pPr>
        <w:pStyle w:val="1038"/>
        <w:widowControl w:val="false"/>
        <w:pBdr/>
        <w:spacing/>
        <w:ind w:right="0" w:firstLine="567"/>
        <w:jc w:val="both"/>
        <w:rPr>
          <w:sz w:val="22"/>
          <w:szCs w:val="22"/>
        </w:rPr>
      </w:pPr>
      <w:r>
        <w:rPr>
          <w:sz w:val="22"/>
          <w:szCs w:val="22"/>
        </w:rPr>
        <w:t xml:space="preserve">При оценке в соответствии с общепринятыми нормами были проанализированы три подхода определения стоимости объектов оценки: затратный, сравнительный, доходный.</w:t>
      </w:r>
      <w:r>
        <w:rPr>
          <w:sz w:val="22"/>
          <w:szCs w:val="22"/>
        </w:rPr>
      </w:r>
      <w:r>
        <w:rPr>
          <w:sz w:val="22"/>
          <w:szCs w:val="22"/>
        </w:rPr>
      </w:r>
    </w:p>
    <w:p>
      <w:pPr>
        <w:pStyle w:val="1038"/>
        <w:widowControl w:val="false"/>
        <w:pBdr/>
        <w:spacing/>
        <w:ind w:right="0" w:firstLine="567"/>
        <w:jc w:val="both"/>
        <w:rPr>
          <w:sz w:val="22"/>
          <w:szCs w:val="22"/>
        </w:rPr>
      </w:pPr>
      <w:r>
        <w:rPr>
          <w:sz w:val="22"/>
          <w:szCs w:val="22"/>
        </w:rPr>
        <w:t xml:space="preserve">Расчет обоснованной рыночной стоимости производится по формуле:</w:t>
      </w:r>
      <w:r>
        <w:rPr>
          <w:sz w:val="22"/>
          <w:szCs w:val="22"/>
        </w:rPr>
      </w:r>
      <w:r>
        <w:rPr>
          <w:sz w:val="22"/>
          <w:szCs w:val="22"/>
        </w:rPr>
      </w:r>
    </w:p>
    <w:p>
      <w:pPr>
        <w:pStyle w:val="1038"/>
        <w:widowControl w:val="false"/>
        <w:pBdr/>
        <w:spacing/>
        <w:ind w:right="0" w:firstLine="567"/>
        <w:jc w:val="both"/>
        <w:rPr>
          <w:sz w:val="22"/>
          <w:szCs w:val="22"/>
        </w:rPr>
      </w:pPr>
      <w:r>
        <w:rPr>
          <w:sz w:val="22"/>
          <w:szCs w:val="22"/>
        </w:rPr>
      </w:r>
      <w:r>
        <w:rPr>
          <w:sz w:val="22"/>
          <w:szCs w:val="22"/>
        </w:rPr>
      </w:r>
      <w:r>
        <w:rPr>
          <w:sz w:val="22"/>
          <w:szCs w:val="22"/>
        </w:rPr>
      </w:r>
    </w:p>
    <w:p>
      <w:pPr>
        <w:pStyle w:val="1038"/>
        <w:widowControl w:val="false"/>
        <w:pBdr/>
        <w:spacing/>
        <w:ind w:right="0" w:firstLine="567"/>
        <w:jc w:val="center"/>
        <w:rPr>
          <w:sz w:val="22"/>
          <w:szCs w:val="22"/>
        </w:rPr>
      </w:pPr>
      <w:r>
        <w:rPr>
          <w:b/>
          <w:sz w:val="22"/>
          <w:szCs w:val="22"/>
        </w:rPr>
        <w:t xml:space="preserve">С = Сз.п. х Q1 + Сс.п. х Q2 + Сд.п. х Q3</w:t>
      </w:r>
      <w:r>
        <w:rPr>
          <w:sz w:val="22"/>
          <w:szCs w:val="22"/>
        </w:rPr>
        <w:t xml:space="preserve">,</w:t>
      </w:r>
      <w:r>
        <w:rPr>
          <w:sz w:val="22"/>
          <w:szCs w:val="22"/>
        </w:rPr>
      </w:r>
      <w:r>
        <w:rPr>
          <w:sz w:val="22"/>
          <w:szCs w:val="22"/>
        </w:rPr>
      </w:r>
    </w:p>
    <w:p>
      <w:pPr>
        <w:pStyle w:val="1038"/>
        <w:widowControl w:val="false"/>
        <w:pBdr/>
        <w:spacing/>
        <w:ind w:right="0" w:firstLine="567"/>
        <w:jc w:val="center"/>
        <w:rPr>
          <w:sz w:val="22"/>
          <w:szCs w:val="22"/>
        </w:rPr>
      </w:pPr>
      <w:r>
        <w:rPr>
          <w:sz w:val="22"/>
          <w:szCs w:val="22"/>
        </w:rPr>
      </w:r>
      <w:r>
        <w:rPr>
          <w:sz w:val="22"/>
          <w:szCs w:val="22"/>
        </w:rPr>
      </w:r>
      <w:r>
        <w:rPr>
          <w:sz w:val="22"/>
          <w:szCs w:val="22"/>
        </w:rPr>
      </w:r>
    </w:p>
    <w:p>
      <w:pPr>
        <w:pStyle w:val="1038"/>
        <w:widowControl w:val="false"/>
        <w:pBdr/>
        <w:spacing/>
        <w:ind w:right="0" w:firstLine="567"/>
        <w:jc w:val="both"/>
        <w:rPr>
          <w:sz w:val="22"/>
          <w:szCs w:val="22"/>
        </w:rPr>
      </w:pPr>
      <w:r>
        <w:rPr>
          <w:sz w:val="22"/>
          <w:szCs w:val="22"/>
        </w:rPr>
        <w:t xml:space="preserve">где Сзп., Ссп, Сд.п.– стоимость объекта оценки, определенная соответственно затратным, сравнительным и доходным подходами, руб.;</w:t>
      </w:r>
      <w:r>
        <w:rPr>
          <w:sz w:val="22"/>
          <w:szCs w:val="22"/>
        </w:rPr>
      </w:r>
      <w:r>
        <w:rPr>
          <w:sz w:val="22"/>
          <w:szCs w:val="22"/>
        </w:rPr>
      </w:r>
    </w:p>
    <w:p>
      <w:pPr>
        <w:pStyle w:val="1038"/>
        <w:widowControl w:val="false"/>
        <w:pBdr/>
        <w:spacing/>
        <w:ind w:right="0" w:firstLine="567"/>
        <w:jc w:val="both"/>
        <w:rPr>
          <w:sz w:val="22"/>
          <w:szCs w:val="22"/>
        </w:rPr>
      </w:pPr>
      <w:r>
        <w:rPr>
          <w:sz w:val="22"/>
          <w:szCs w:val="22"/>
        </w:rPr>
        <w:t xml:space="preserve">Q1, Q2, Q3 - средневзвешенное значение достоверности определения стоимости затратным, сравнительным и доходным подходами соответственно.</w:t>
      </w:r>
      <w:r>
        <w:rPr>
          <w:sz w:val="22"/>
          <w:szCs w:val="22"/>
        </w:rPr>
      </w:r>
      <w:r>
        <w:rPr>
          <w:sz w:val="22"/>
          <w:szCs w:val="22"/>
        </w:rPr>
      </w:r>
    </w:p>
    <w:p>
      <w:pPr>
        <w:pStyle w:val="1038"/>
        <w:widowControl w:val="false"/>
        <w:numPr>
          <w:ilvl w:val="0"/>
          <w:numId w:val="0"/>
        </w:numPr>
        <w:pBdr/>
        <w:spacing/>
        <w:ind w:right="0" w:firstLine="709" w:left="0"/>
        <w:jc w:val="both"/>
        <w:rPr>
          <w:sz w:val="22"/>
          <w:szCs w:val="22"/>
        </w:rPr>
      </w:pPr>
      <w:r>
        <w:rPr>
          <w:sz w:val="22"/>
          <w:szCs w:val="22"/>
        </w:rPr>
        <w:t xml:space="preserve">В результате анализа оценщик пришел к выводу о целесообразности применения в настоящем исследовании одного из основных подходов оценки рыночной стоимости: сравнительного. Данный подход основывается на рыночных данных в регионе регистрации объекта оценки.</w:t>
      </w:r>
      <w:r>
        <w:rPr>
          <w:sz w:val="22"/>
          <w:szCs w:val="22"/>
        </w:rPr>
      </w:r>
      <w:r>
        <w:rPr>
          <w:sz w:val="22"/>
          <w:szCs w:val="22"/>
        </w:rPr>
      </w:r>
    </w:p>
    <w:p>
      <w:pPr>
        <w:pStyle w:val="1038"/>
        <w:widowControl w:val="false"/>
        <w:pBdr/>
        <w:spacing/>
        <w:ind w:right="0" w:firstLine="567"/>
        <w:jc w:val="both"/>
        <w:rPr>
          <w:sz w:val="22"/>
          <w:szCs w:val="22"/>
        </w:rPr>
      </w:pPr>
      <w:r>
        <w:rPr>
          <w:sz w:val="22"/>
          <w:szCs w:val="22"/>
        </w:rPr>
        <w:t xml:space="preserve">Оценщик считает примененный подход справедливым, поэтому подходу присвоен вес – 1,0. </w:t>
      </w:r>
      <w:r>
        <w:rPr>
          <w:sz w:val="22"/>
          <w:szCs w:val="22"/>
        </w:rPr>
      </w:r>
      <w:r>
        <w:rPr>
          <w:sz w:val="22"/>
          <w:szCs w:val="22"/>
        </w:rPr>
      </w:r>
    </w:p>
    <w:p>
      <w:pPr>
        <w:pStyle w:val="1038"/>
        <w:widowControl w:val="false"/>
        <w:pBdr/>
        <w:spacing/>
        <w:ind w:right="0" w:firstLine="567"/>
        <w:jc w:val="both"/>
        <w:rPr>
          <w:sz w:val="22"/>
          <w:szCs w:val="22"/>
        </w:rPr>
      </w:pPr>
      <w:r>
        <w:rPr>
          <w:sz w:val="22"/>
          <w:szCs w:val="22"/>
        </w:rPr>
        <w:t xml:space="preserve">В результате изучения и анализа собранной информации, технической документации и детализации данных, предоставленных Заказчиком, изучения соотв</w:t>
      </w:r>
      <w:r>
        <w:rPr>
          <w:sz w:val="22"/>
          <w:szCs w:val="22"/>
        </w:rPr>
        <w:t xml:space="preserve">етствующего сектора рынка, анализа и расчетов, с учётом технического состояния, пробега и возраста автомобиля, а также с учетом сделанных допущений, рыночная стоимость транспортного средства, представленного к оценке по состоянию на 16.01.2026, составляет:</w:t>
      </w:r>
      <w:r>
        <w:rPr>
          <w:sz w:val="22"/>
          <w:szCs w:val="22"/>
        </w:rPr>
      </w:r>
      <w:r>
        <w:rPr>
          <w:sz w:val="22"/>
          <w:szCs w:val="22"/>
        </w:rPr>
      </w:r>
    </w:p>
    <w:p>
      <w:pPr>
        <w:pStyle w:val="1038"/>
        <w:widowControl w:val="false"/>
        <w:pBdr/>
        <w:spacing/>
        <w:ind/>
        <w:jc w:val="both"/>
        <w:rPr>
          <w:sz w:val="22"/>
          <w:szCs w:val="22"/>
        </w:rPr>
      </w:pPr>
      <w:r>
        <w:rPr>
          <w:sz w:val="22"/>
          <w:szCs w:val="22"/>
        </w:rPr>
      </w:r>
      <w:r>
        <w:rPr>
          <w:sz w:val="22"/>
          <w:szCs w:val="22"/>
        </w:rPr>
      </w:r>
      <w:r>
        <w:rPr>
          <w:sz w:val="22"/>
          <w:szCs w:val="22"/>
        </w:rPr>
      </w:r>
    </w:p>
    <w:p>
      <w:pPr>
        <w:pStyle w:val="1038"/>
        <w:widowControl w:val="false"/>
        <w:numPr>
          <w:ilvl w:val="0"/>
          <w:numId w:val="4"/>
        </w:numPr>
        <w:pBdr/>
        <w:spacing/>
        <w:ind w:right="0" w:hanging="360" w:left="1985"/>
        <w:jc w:val="righ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W w:w="10031"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790"/>
        <w:gridCol w:w="1479"/>
        <w:gridCol w:w="1927"/>
        <w:gridCol w:w="992"/>
        <w:gridCol w:w="1843"/>
      </w:tblGrid>
      <w:tr>
        <w:trPr>
          <w:trHeight w:val="23"/>
        </w:trPr>
        <w:tc>
          <w:tcPr>
            <w:shd w:val="clear" w:color="auto" w:fill="ededed"/>
            <w:tcBorders>
              <w:top w:val="single" w:color="000000" w:sz="4" w:space="0"/>
              <w:left w:val="single" w:color="000000" w:sz="4" w:space="0"/>
              <w:bottom w:val="single" w:color="000000" w:sz="4" w:space="0"/>
              <w:right w:val="single" w:color="000000" w:sz="4" w:space="0"/>
            </w:tcBorders>
            <w:tcW w:w="3790" w:type="dxa"/>
            <w:vAlign w:val="center"/>
            <w:textDirection w:val="lrTb"/>
            <w:noWrap w:val="false"/>
          </w:tcPr>
          <w:p>
            <w:pPr>
              <w:pStyle w:val="1038"/>
              <w:widowControl w:val="false"/>
              <w:pBdr/>
              <w:spacing/>
              <w:ind/>
              <w:jc w:val="center"/>
              <w:rPr>
                <w:b/>
              </w:rPr>
            </w:pPr>
            <w:r>
              <w:rPr>
                <w:b/>
              </w:rPr>
              <w:t xml:space="preserve">Наименование объекта оценки</w:t>
            </w:r>
            <w:r>
              <w:rPr>
                <w:b/>
              </w:rPr>
            </w:r>
            <w:r>
              <w:rPr>
                <w:b/>
              </w:rPr>
            </w:r>
          </w:p>
        </w:tc>
        <w:tc>
          <w:tcPr>
            <w:shd w:val="clear" w:color="auto" w:fill="ededed"/>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Style w:val="1038"/>
              <w:widowControl w:val="false"/>
              <w:pBdr/>
              <w:spacing/>
              <w:ind/>
              <w:jc w:val="center"/>
              <w:rPr>
                <w:b/>
              </w:rPr>
            </w:pPr>
            <w:r>
              <w:rPr>
                <w:b/>
              </w:rPr>
              <w:t xml:space="preserve">Подход</w:t>
            </w:r>
            <w:r>
              <w:rPr>
                <w:b/>
              </w:rPr>
            </w:r>
            <w:r>
              <w:rPr>
                <w:b/>
              </w:rPr>
            </w:r>
          </w:p>
        </w:tc>
        <w:tc>
          <w:tcPr>
            <w:shd w:val="clear" w:color="auto" w:fill="ededed"/>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Style w:val="1038"/>
              <w:widowControl w:val="false"/>
              <w:pBdr/>
              <w:spacing/>
              <w:ind/>
              <w:jc w:val="center"/>
              <w:rPr>
                <w:b/>
              </w:rPr>
            </w:pPr>
            <w:r>
              <w:rPr>
                <w:b/>
              </w:rPr>
              <w:t xml:space="preserve">Предварительная стоимость (руб.)</w:t>
            </w:r>
            <w:r>
              <w:rPr>
                <w:b/>
              </w:rPr>
            </w:r>
            <w:r>
              <w:rPr>
                <w:b/>
              </w:rPr>
            </w:r>
          </w:p>
        </w:tc>
        <w:tc>
          <w:tcPr>
            <w:shd w:val="clear" w:color="auto" w:fill="ededed"/>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ind/>
              <w:jc w:val="center"/>
              <w:rPr>
                <w:b/>
              </w:rPr>
            </w:pPr>
            <w:r>
              <w:rPr>
                <w:b/>
              </w:rPr>
              <w:t xml:space="preserve">Удельный вес</w:t>
            </w:r>
            <w:r>
              <w:rPr>
                <w:b/>
              </w:rPr>
            </w:r>
            <w:r>
              <w:rPr>
                <w:b/>
              </w:rPr>
            </w:r>
          </w:p>
        </w:tc>
        <w:tc>
          <w:tcPr>
            <w:shd w:val="clear" w:color="auto" w:fill="ededed"/>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1038"/>
              <w:widowControl w:val="false"/>
              <w:pBdr/>
              <w:spacing/>
              <w:ind/>
              <w:jc w:val="center"/>
              <w:rPr>
                <w:b/>
              </w:rPr>
            </w:pPr>
            <w:r>
              <w:rPr>
                <w:b/>
              </w:rPr>
              <w:t xml:space="preserve">Компонент итоговой стоимости (руб.)</w:t>
            </w:r>
            <w:r>
              <w:rPr>
                <w:b/>
              </w:rPr>
            </w:r>
            <w:r>
              <w:rPr>
                <w:b/>
              </w:rP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restart"/>
            <w:textDirection w:val="lrTb"/>
            <w:noWrap w:val="false"/>
          </w:tcPr>
          <w:p>
            <w:pPr>
              <w:pStyle w:val="1038"/>
              <w:widowControl w:val="false"/>
              <w:pBdr/>
              <w:spacing/>
              <w:ind/>
              <w:jc w:val="both"/>
              <w:rPr/>
            </w:pPr>
            <w:r>
              <w:rPr>
                <w:color w:val="ff0000"/>
              </w:rPr>
              <w:t xml:space="preserve">Транспортное средство марки (модели)</w:t>
            </w:r>
            <w:r>
              <w:t xml:space="preserve"> </w:t>
            </w:r>
            <w:r>
              <w:t xml:space="preserve">${vehicle_brand_name} ${vehicle_model_name}</w:t>
            </w:r>
            <w:r>
              <w:t xml:space="preserve">,</w:t>
            </w:r>
            <w:r>
              <w:rPr>
                <w:lang w:val="en-US"/>
              </w:rPr>
              <w:t xml:space="preserve"> </w:t>
            </w:r>
            <w:r>
              <w:rPr>
                <w:highlight w:val="yellow"/>
              </w:rPr>
              <w:t xml:space="preserve">${vehicle_</w:t>
            </w:r>
            <w:r>
              <w:rPr>
                <w:highlight w:val="yellow"/>
                <w:lang w:val="en-US"/>
              </w:rPr>
              <w:t xml:space="preserve">year</w:t>
            </w:r>
            <w:r>
              <w:rPr>
                <w:highlight w:val="yellow"/>
              </w:rPr>
              <w:t xml:space="preserve">}</w:t>
            </w:r>
            <w:r>
              <w:rPr>
                <w:highlight w:val="none"/>
                <w:lang w:val="en-US"/>
              </w:rPr>
              <w:t xml:space="preserve"> </w:t>
            </w:r>
            <w:r>
              <w:rPr>
                <w:color w:val="ff0000"/>
              </w:rPr>
              <w:t xml:space="preserve">года выпуска</w:t>
            </w:r>
            <w:r>
              <w:t xml:space="preserve">, </w:t>
            </w:r>
            <w:r>
              <w:rPr>
                <w:color w:val="ff0000"/>
              </w:rPr>
              <w:t xml:space="preserve">идентификационный номер (VIN</w:t>
            </w:r>
            <w:r>
              <w:t xml:space="preserve">): </w:t>
            </w:r>
            <w:r>
              <w:rPr>
                <w:highlight w:val="yellow"/>
              </w:rPr>
              <w:t xml:space="preserve">${vehicle_</w:t>
            </w:r>
            <w:r>
              <w:rPr>
                <w:highlight w:val="yellow"/>
                <w:lang w:val="en-US"/>
              </w:rPr>
              <w:t xml:space="preserve">vin</w:t>
            </w:r>
            <w:r>
              <w:rPr>
                <w:highlight w:val="yellow"/>
              </w:rPr>
              <w:t xml:space="preserve">}</w:t>
            </w:r>
            <w:r>
              <w:t xml:space="preserve">.</w:t>
            </w:r>
            <w:r/>
          </w:p>
        </w:tc>
        <w:tc>
          <w:tcPr>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Style w:val="1038"/>
              <w:widowControl w:val="false"/>
              <w:pBdr/>
              <w:spacing/>
              <w:ind/>
              <w:jc w:val="center"/>
              <w:rPr/>
            </w:pPr>
            <w:r>
              <w:t xml:space="preserve">Доходный</w:t>
            </w:r>
            <w:r/>
          </w:p>
        </w:tc>
        <w:tc>
          <w:tcPr>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Style w:val="1038"/>
              <w:widowControl w:val="false"/>
              <w:pBdr/>
              <w:spacing/>
              <w:ind/>
              <w:jc w:val="center"/>
              <w:rPr/>
            </w:pPr>
            <w:r>
              <w:t xml:space="preserve">-</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ind/>
              <w:jc w:val="center"/>
              <w:rPr/>
            </w:pPr>
            <w:r>
              <w:t xml:space="preserve">0</w:t>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1038"/>
              <w:widowControl w:val="false"/>
              <w:pBdr/>
              <w:spacing/>
              <w:ind/>
              <w:jc w:val="center"/>
              <w:rPr/>
            </w:pPr>
            <w:r>
              <w:t xml:space="preserve">-</w:t>
            </w: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continue"/>
            <w:textDirection w:val="lrTb"/>
            <w:noWrap w:val="false"/>
          </w:tcPr>
          <w:p>
            <w:pPr>
              <w:pStyle w:val="1038"/>
              <w:widowControl w:val="false"/>
              <w:pBdr/>
              <w:spacing/>
              <w:ind w:right="0" w:hanging="283" w:left="284"/>
              <w:jc w:val="both"/>
              <w:rPr/>
            </w:pPr>
            <w:r/>
            <w:r/>
          </w:p>
        </w:tc>
        <w:tc>
          <w:tcPr>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Style w:val="1038"/>
              <w:widowControl w:val="false"/>
              <w:pBdr/>
              <w:spacing/>
              <w:ind/>
              <w:jc w:val="center"/>
              <w:rPr/>
            </w:pPr>
            <w:r>
              <w:t xml:space="preserve">Затратный</w:t>
            </w:r>
            <w:r/>
          </w:p>
        </w:tc>
        <w:tc>
          <w:tcPr>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Style w:val="1038"/>
              <w:widowControl w:val="false"/>
              <w:pBdr/>
              <w:spacing/>
              <w:ind/>
              <w:jc w:val="center"/>
              <w:rPr/>
            </w:pPr>
            <w:r>
              <w:t xml:space="preserve">-</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ind/>
              <w:jc w:val="center"/>
              <w:rPr/>
            </w:pPr>
            <w:r>
              <w:t xml:space="preserve">0</w:t>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1038"/>
              <w:widowControl w:val="false"/>
              <w:pBdr/>
              <w:spacing/>
              <w:ind/>
              <w:jc w:val="center"/>
              <w:rPr/>
            </w:pPr>
            <w:r>
              <w:t xml:space="preserve">-</w:t>
            </w: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continue"/>
            <w:textDirection w:val="lrTb"/>
            <w:noWrap w:val="false"/>
          </w:tcPr>
          <w:p>
            <w:pPr>
              <w:pStyle w:val="1038"/>
              <w:widowControl w:val="false"/>
              <w:pBdr/>
              <w:spacing/>
              <w:ind w:right="0" w:hanging="283" w:left="284"/>
              <w:jc w:val="both"/>
              <w:rPr/>
            </w:pPr>
            <w:r/>
            <w:r/>
          </w:p>
        </w:tc>
        <w:tc>
          <w:tcPr>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Style w:val="1038"/>
              <w:widowControl w:val="false"/>
              <w:pBdr/>
              <w:spacing/>
              <w:ind/>
              <w:jc w:val="center"/>
              <w:rPr/>
            </w:pPr>
            <w:r>
              <w:t xml:space="preserve">Сравнительный</w:t>
            </w:r>
            <w:r/>
          </w:p>
        </w:tc>
        <w:tc>
          <w:tcPr>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Style w:val="1038"/>
              <w:widowControl w:val="false"/>
              <w:pBdr/>
              <w:spacing/>
              <w:ind/>
              <w:jc w:val="center"/>
              <w:rPr/>
            </w:pPr>
            <w:r>
              <w:rPr>
                <w:highlight w:val="yellow"/>
              </w:rPr>
            </w:r>
            <w:r>
              <w:rPr>
                <w:highlight w:val="yellow"/>
              </w:rPr>
              <w:t xml:space="preserve">${</w:t>
            </w:r>
            <w:r>
              <w:rPr>
                <w:highlight w:val="yellow"/>
              </w:rPr>
              <w:t xml:space="preserve">final_price</w:t>
            </w:r>
            <w:r>
              <w:rPr>
                <w:highlight w:val="yellow"/>
              </w:rPr>
              <w:t xml:space="preserve">}</w:t>
            </w:r>
            <w:r>
              <w:rPr>
                <w:highlight w:val="yellow"/>
              </w:rPr>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1038"/>
              <w:widowControl w:val="false"/>
              <w:pBdr/>
              <w:spacing/>
              <w:ind/>
              <w:jc w:val="center"/>
              <w:rPr/>
            </w:pPr>
            <w:r>
              <w:t xml:space="preserve">1,0</w:t>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1038"/>
              <w:widowControl w:val="false"/>
              <w:pBdr/>
              <w:spacing/>
              <w:ind/>
              <w:jc w:val="center"/>
              <w:rPr/>
            </w:pPr>
            <w:r>
              <w:rPr>
                <w:highlight w:val="yellow"/>
              </w:rPr>
            </w:r>
            <w:r>
              <w:rPr>
                <w:highlight w:val="yellow"/>
              </w:rPr>
              <w:t xml:space="preserve">${</w:t>
            </w:r>
            <w:r>
              <w:rPr>
                <w:highlight w:val="yellow"/>
              </w:rPr>
              <w:t xml:space="preserve">final_price</w:t>
            </w:r>
            <w:r>
              <w:rPr>
                <w:highlight w:val="yellow"/>
              </w:rPr>
              <w:t xml:space="preserve">}</w:t>
            </w:r>
            <w:r>
              <w:rPr>
                <w:highlight w:val="yellow"/>
              </w:rPr>
            </w: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continue"/>
            <w:textDirection w:val="lrTb"/>
            <w:noWrap w:val="false"/>
          </w:tcPr>
          <w:p>
            <w:pPr>
              <w:pStyle w:val="1038"/>
              <w:widowControl w:val="false"/>
              <w:pBdr/>
              <w:spacing/>
              <w:ind w:right="0" w:hanging="283" w:left="284"/>
              <w:jc w:val="both"/>
              <w:rPr/>
            </w:pPr>
            <w:r/>
            <w:r/>
          </w:p>
        </w:tc>
        <w:tc>
          <w:tcPr>
            <w:gridSpan w:val="3"/>
            <w:tcBorders>
              <w:top w:val="single" w:color="000000" w:sz="4" w:space="0"/>
              <w:left w:val="single" w:color="000000" w:sz="4" w:space="0"/>
              <w:bottom w:val="single" w:color="000000" w:sz="4" w:space="0"/>
              <w:right w:val="single" w:color="000000" w:sz="4" w:space="0"/>
            </w:tcBorders>
            <w:tcW w:w="4398" w:type="dxa"/>
            <w:vAlign w:val="center"/>
            <w:textDirection w:val="lrTb"/>
            <w:noWrap w:val="false"/>
          </w:tcPr>
          <w:p>
            <w:pPr>
              <w:pStyle w:val="1038"/>
              <w:widowControl w:val="false"/>
              <w:pBdr/>
              <w:spacing/>
              <w:ind/>
              <w:jc w:val="center"/>
              <w:rPr/>
            </w:pPr>
            <w:r>
              <w:t xml:space="preserve">ИТОГО:</w:t>
            </w: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Style w:val="1038"/>
              <w:widowControl w:val="false"/>
              <w:pBdr/>
              <w:spacing/>
              <w:ind/>
              <w:jc w:val="center"/>
              <w:rPr/>
            </w:pPr>
            <w:r>
              <w:rPr>
                <w:highlight w:val="yellow"/>
              </w:rPr>
            </w:r>
            <w:r>
              <w:rPr>
                <w:highlight w:val="yellow"/>
              </w:rPr>
              <w:t xml:space="preserve">${</w:t>
            </w:r>
            <w:r>
              <w:rPr>
                <w:highlight w:val="yellow"/>
              </w:rPr>
              <w:t xml:space="preserve">final_price</w:t>
            </w:r>
            <w:r>
              <w:rPr>
                <w:highlight w:val="yellow"/>
              </w:rPr>
              <w:t xml:space="preserve">}</w:t>
            </w:r>
            <w:r>
              <w:rPr>
                <w:highlight w:val="yellow"/>
                <w:lang w:val="en-US"/>
              </w:rPr>
              <w:t xml:space="preserve"> </w:t>
            </w:r>
            <w:r>
              <w:rPr>
                <w:highlight w:val="red"/>
              </w:rPr>
            </w:r>
            <w:r/>
          </w:p>
        </w:tc>
      </w:tr>
    </w:tbl>
    <w:p>
      <w:pPr>
        <w:pStyle w:val="1039"/>
        <w:keepNext w:val="false"/>
        <w:widowControl w:val="false"/>
        <w:numPr>
          <w:ilvl w:val="0"/>
          <w:numId w:val="1"/>
        </w:numPr>
        <w:pBdr/>
        <w:spacing w:after="60" w:before="0"/>
        <w:ind w:firstLine="0"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9"/>
        <w:keepNext w:val="false"/>
        <w:widowControl w:val="false"/>
        <w:numPr>
          <w:ilvl w:val="0"/>
          <w:numId w:val="1"/>
        </w:numPr>
        <w:pBdr/>
        <w:spacing w:after="60" w:before="0"/>
        <w:ind w:firstLine="0" w:left="0"/>
        <w:jc w:val="center"/>
        <w:rPr>
          <w:rFonts w:ascii="Times New Roman" w:hAnsi="Times New Roman" w:cs="Times New Roman"/>
        </w:rPr>
      </w:pPr>
      <w:r>
        <w:rPr>
          <w:rFonts w:ascii="Times New Roman" w:hAnsi="Times New Roman" w:cs="Times New Roman"/>
        </w:rPr>
        <w:t xml:space="preserve">13. РЕЗУЛЬТАТЫ ОЦЕНКИ</w:t>
      </w:r>
      <w:r>
        <w:rPr>
          <w:rFonts w:ascii="Times New Roman" w:hAnsi="Times New Roman" w:cs="Times New Roman"/>
        </w:rPr>
      </w:r>
      <w:r>
        <w:rPr>
          <w:rFonts w:ascii="Times New Roman" w:hAnsi="Times New Roman" w:cs="Times New Roman"/>
        </w:rPr>
      </w:r>
    </w:p>
    <w:p>
      <w:pPr>
        <w:pStyle w:val="1038"/>
        <w:widowControl w:val="false"/>
        <w:pBdr/>
        <w:spacing/>
        <w:ind w:right="0" w:firstLine="567"/>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38"/>
        <w:widowControl w:val="false"/>
        <w:pBdr/>
        <w:spacing/>
        <w:ind w:right="0" w:firstLine="567"/>
        <w:jc w:val="both"/>
        <w:rPr>
          <w:sz w:val="22"/>
          <w:szCs w:val="22"/>
        </w:rPr>
      </w:pPr>
      <w:r>
        <w:rPr>
          <w:sz w:val="22"/>
          <w:szCs w:val="22"/>
        </w:rPr>
        <w:t xml:space="preserve">Рыночная стоимость</w:t>
      </w:r>
      <w:r>
        <w:rPr>
          <w:bCs/>
          <w:iCs/>
          <w:sz w:val="22"/>
          <w:szCs w:val="22"/>
        </w:rPr>
        <w:t xml:space="preserve"> </w:t>
      </w:r>
      <w:r>
        <w:rPr>
          <w:bCs/>
          <w:iCs/>
          <w:color w:val="ff0000"/>
          <w:sz w:val="22"/>
          <w:szCs w:val="22"/>
        </w:rPr>
        <w:t xml:space="preserve">транспортного средства марки (модели)</w:t>
      </w:r>
      <w:r>
        <w:rPr>
          <w:bCs/>
          <w:iCs/>
          <w:sz w:val="22"/>
          <w:szCs w:val="22"/>
        </w:rPr>
        <w:t xml:space="preserve"> </w:t>
      </w:r>
      <w:r>
        <w:rPr>
          <w:bCs/>
          <w:iCs/>
          <w:sz w:val="22"/>
          <w:szCs w:val="22"/>
        </w:rPr>
        <w:t xml:space="preserve">${vehicle_brand_name} ${vehicle_model_name}</w:t>
      </w:r>
      <w:r>
        <w:rPr>
          <w:bCs/>
          <w:iCs/>
          <w:sz w:val="22"/>
          <w:szCs w:val="22"/>
        </w:rPr>
        <w:t xml:space="preserve">, </w:t>
      </w:r>
      <w:r>
        <w:rPr>
          <w:bCs/>
          <w:iCs/>
          <w:sz w:val="22"/>
          <w:szCs w:val="22"/>
        </w:rPr>
        <w:t xml:space="preserve">${vehicle_</w:t>
      </w:r>
      <w:r>
        <w:rPr>
          <w:bCs/>
          <w:iCs/>
          <w:sz w:val="22"/>
          <w:szCs w:val="22"/>
          <w:lang w:val="en-US"/>
        </w:rPr>
        <w:t xml:space="preserve">year</w:t>
      </w:r>
      <w:r>
        <w:rPr>
          <w:bCs/>
          <w:iCs/>
          <w:sz w:val="22"/>
          <w:szCs w:val="22"/>
        </w:rPr>
        <w:t xml:space="preserve">}</w:t>
      </w:r>
      <w:r>
        <w:rPr>
          <w:bCs/>
          <w:iCs/>
          <w:sz w:val="22"/>
          <w:szCs w:val="22"/>
          <w:lang w:val="en-US"/>
        </w:rPr>
        <w:t xml:space="preserve"> </w:t>
      </w:r>
      <w:r>
        <w:rPr>
          <w:bCs/>
          <w:iCs/>
          <w:color w:val="ff0000"/>
          <w:sz w:val="22"/>
          <w:szCs w:val="22"/>
        </w:rPr>
        <w:t xml:space="preserve">года выпуска</w:t>
      </w:r>
      <w:r>
        <w:rPr>
          <w:bCs/>
          <w:iCs/>
          <w:sz w:val="22"/>
          <w:szCs w:val="22"/>
        </w:rPr>
        <w:t xml:space="preserve">, </w:t>
      </w:r>
      <w:r>
        <w:rPr>
          <w:bCs/>
          <w:iCs/>
          <w:color w:val="ff0000"/>
          <w:sz w:val="22"/>
          <w:szCs w:val="22"/>
        </w:rPr>
        <w:t xml:space="preserve">идентификационный номер (VIN):</w:t>
      </w:r>
      <w:r>
        <w:rPr>
          <w:bCs/>
          <w:iCs/>
          <w:sz w:val="22"/>
          <w:szCs w:val="22"/>
        </w:rPr>
        <w:t xml:space="preserve"> </w:t>
      </w:r>
      <w:r>
        <w:rPr>
          <w:bCs/>
          <w:iCs/>
          <w:sz w:val="22"/>
          <w:szCs w:val="22"/>
        </w:rPr>
        <w:t xml:space="preserve">${vehicle_</w:t>
      </w:r>
      <w:r>
        <w:rPr>
          <w:bCs/>
          <w:iCs/>
          <w:sz w:val="22"/>
          <w:szCs w:val="22"/>
          <w:lang w:val="en-US"/>
        </w:rPr>
        <w:t xml:space="preserve">vin</w:t>
      </w:r>
      <w:r>
        <w:rPr>
          <w:bCs/>
          <w:iCs/>
          <w:sz w:val="22"/>
          <w:szCs w:val="22"/>
        </w:rPr>
        <w:t xml:space="preserve">}</w:t>
      </w:r>
      <w:r>
        <w:rPr>
          <w:bCs/>
          <w:iCs/>
          <w:sz w:val="22"/>
          <w:szCs w:val="22"/>
          <w:highlight w:val="none"/>
          <w:lang w:val="en-US"/>
        </w:rPr>
        <w:t xml:space="preserve"> </w:t>
      </w:r>
      <w:r>
        <w:rPr>
          <w:sz w:val="22"/>
          <w:szCs w:val="22"/>
        </w:rPr>
        <w:t xml:space="preserve">на основании проведенных системных расчетов, анализа соответствующего сегмента рынка, с необходимыми допущениями и ограничениями, по состоянию на </w:t>
      </w:r>
      <w:r>
        <w:rPr>
          <w:color w:val="ff0000"/>
          <w:sz w:val="22"/>
          <w:szCs w:val="22"/>
        </w:rPr>
        <w:t xml:space="preserve">дату оценки</w:t>
      </w:r>
      <w:r>
        <w:rPr>
          <w:sz w:val="22"/>
          <w:szCs w:val="22"/>
        </w:rPr>
        <w:t xml:space="preserve"> </w:t>
      </w:r>
      <w:r>
        <w:rPr>
          <w:bCs/>
          <w:iCs/>
          <w:sz w:val="22"/>
          <w:szCs w:val="22"/>
        </w:rPr>
        <w:t xml:space="preserve">${</w:t>
      </w:r>
      <w:r>
        <w:rPr>
          <w:bCs/>
          <w:iCs/>
          <w:sz w:val="22"/>
          <w:szCs w:val="22"/>
          <w:lang w:val="en-US"/>
        </w:rPr>
        <w:t xml:space="preserve">report_date</w:t>
      </w:r>
      <w:r>
        <w:rPr>
          <w:bCs/>
          <w:iCs/>
          <w:sz w:val="22"/>
          <w:szCs w:val="22"/>
        </w:rPr>
        <w:t xml:space="preserve">}</w:t>
      </w:r>
      <w:r>
        <w:rPr>
          <w:sz w:val="22"/>
          <w:szCs w:val="22"/>
        </w:rPr>
        <w:t xml:space="preserve">, составляет:</w:t>
      </w:r>
      <w:r>
        <w:rPr>
          <w:sz w:val="22"/>
          <w:szCs w:val="22"/>
        </w:rPr>
      </w:r>
      <w:r>
        <w:rPr>
          <w:sz w:val="22"/>
          <w:szCs w:val="22"/>
        </w:rPr>
      </w:r>
    </w:p>
    <w:p>
      <w:pPr>
        <w:pStyle w:val="1038"/>
        <w:widowControl w:val="false"/>
        <w:pBdr/>
        <w:spacing/>
        <w:ind w:right="0" w:firstLine="567"/>
        <w:jc w:val="both"/>
        <w:rPr>
          <w:sz w:val="22"/>
          <w:szCs w:val="22"/>
        </w:rPr>
      </w:pPr>
      <w:r>
        <w:rPr>
          <w:sz w:val="22"/>
          <w:szCs w:val="22"/>
        </w:rPr>
      </w:r>
      <w:r>
        <w:rPr>
          <w:sz w:val="22"/>
          <w:szCs w:val="22"/>
        </w:rPr>
      </w:r>
      <w:r>
        <w:rPr>
          <w:sz w:val="22"/>
          <w:szCs w:val="22"/>
        </w:rPr>
      </w:r>
    </w:p>
    <w:p>
      <w:pPr>
        <w:pStyle w:val="1038"/>
        <w:widowControl w:val="false"/>
        <w:pBdr/>
        <w:spacing/>
        <w:ind w:right="0" w:firstLine="567"/>
        <w:jc w:val="center"/>
        <w:rPr>
          <w:b/>
          <w:bCs/>
          <w:sz w:val="22"/>
          <w:szCs w:val="22"/>
        </w:rPr>
      </w:pPr>
      <w:r>
        <w:rPr>
          <w:b/>
          <w:bCs/>
          <w:sz w:val="22"/>
          <w:szCs w:val="22"/>
        </w:rPr>
      </w:r>
      <w:r>
        <w:rPr>
          <w:b/>
          <w:bCs/>
          <w:iCs/>
          <w:sz w:val="22"/>
          <w:szCs w:val="22"/>
        </w:rPr>
        <w:t xml:space="preserve">${</w:t>
      </w:r>
      <w:r>
        <w:rPr>
          <w:b/>
          <w:bCs/>
          <w:iCs/>
          <w:sz w:val="22"/>
          <w:szCs w:val="22"/>
          <w:lang w:val="en-US"/>
        </w:rPr>
        <w:t xml:space="preserve">final_price</w:t>
      </w:r>
      <w:r>
        <w:rPr>
          <w:b/>
          <w:bCs/>
          <w:iCs/>
          <w:sz w:val="22"/>
          <w:szCs w:val="22"/>
        </w:rPr>
        <w:t xml:space="preserve">}</w:t>
      </w:r>
      <w:r>
        <w:rPr>
          <w:b/>
          <w:bCs/>
          <w:sz w:val="22"/>
          <w:szCs w:val="22"/>
        </w:rPr>
        <w:t xml:space="preserve"> </w:t>
      </w:r>
      <w:r>
        <w:rPr>
          <w:b/>
          <w:bCs/>
          <w:sz w:val="22"/>
          <w:szCs w:val="22"/>
          <w:highlight w:val="yellow"/>
        </w:rPr>
        <w:t xml:space="preserve">(</w:t>
      </w:r>
      <w:r>
        <w:rPr>
          <w:b/>
          <w:bCs/>
          <w:sz w:val="22"/>
          <w:szCs w:val="22"/>
          <w:highlight w:val="yellow"/>
          <w:lang w:val="en-US"/>
        </w:rPr>
        <w:t xml:space="preserve">${</w:t>
      </w:r>
      <w:r>
        <w:rPr>
          <w:b/>
          <w:bCs/>
          <w:sz w:val="22"/>
          <w:szCs w:val="22"/>
          <w:highlight w:val="yellow"/>
          <w:lang w:val="en-US"/>
        </w:rPr>
        <w:t xml:space="preserve">final_price_words</w:t>
      </w:r>
      <w:r>
        <w:rPr>
          <w:b/>
          <w:bCs/>
          <w:sz w:val="22"/>
          <w:szCs w:val="22"/>
          <w:highlight w:val="yellow"/>
          <w:lang w:val="en-US"/>
        </w:rPr>
        <w:t xml:space="preserve">}</w:t>
      </w:r>
      <w:r>
        <w:rPr>
          <w:b/>
          <w:bCs/>
          <w:sz w:val="22"/>
          <w:szCs w:val="22"/>
          <w:highlight w:val="yellow"/>
        </w:rPr>
        <w:t xml:space="preserve">)</w:t>
      </w:r>
      <w:r>
        <w:rPr>
          <w:b/>
          <w:bCs/>
          <w:sz w:val="22"/>
          <w:szCs w:val="22"/>
        </w:rPr>
        <w:t xml:space="preserve"> рублей.</w:t>
      </w:r>
      <w:r>
        <w:rPr>
          <w:b/>
          <w:bCs/>
          <w:sz w:val="22"/>
          <w:szCs w:val="22"/>
        </w:rPr>
      </w:r>
      <w:r>
        <w:rPr>
          <w:b/>
          <w:bCs/>
          <w:sz w:val="22"/>
          <w:szCs w:val="22"/>
        </w:rPr>
      </w:r>
    </w:p>
    <w:p>
      <w:pPr>
        <w:pStyle w:val="1038"/>
        <w:widowControl w:val="false"/>
        <w:pBdr/>
        <w:spacing/>
        <w:ind w:right="0" w:firstLine="567"/>
        <w:jc w:val="both"/>
        <w:rPr>
          <w:sz w:val="22"/>
          <w:szCs w:val="22"/>
        </w:rPr>
      </w:pPr>
      <w:r>
        <w:rPr>
          <w:sz w:val="22"/>
          <w:szCs w:val="22"/>
        </w:rPr>
      </w:r>
      <w:r>
        <w:rPr>
          <w:sz w:val="22"/>
          <w:szCs w:val="22"/>
        </w:rPr>
      </w:r>
      <w:r>
        <w:rPr>
          <w:sz w:val="22"/>
          <w:szCs w:val="22"/>
        </w:rPr>
      </w:r>
    </w:p>
    <w:p>
      <w:pPr>
        <w:pStyle w:val="1038"/>
        <w:widowControl w:val="false"/>
        <w:pBdr/>
        <w:spacing/>
        <w:ind w:right="0" w:hanging="7020" w:left="7020"/>
        <w:jc w:val="both"/>
        <w:rPr>
          <w:b/>
          <w:bCs/>
          <w:i/>
          <w:iCs/>
          <w:sz w:val="22"/>
          <w:szCs w:val="22"/>
        </w:rPr>
      </w:pPr>
      <w:r>
        <w:rPr>
          <w:b/>
          <w:bCs/>
          <w:i/>
          <w:iCs/>
          <w:sz w:val="22"/>
          <w:szCs w:val="22"/>
        </w:rPr>
      </w:r>
      <w:r>
        <w:rPr>
          <w:b/>
          <w:bCs/>
          <w:i/>
          <w:iCs/>
          <w:sz w:val="22"/>
          <w:szCs w:val="22"/>
        </w:rPr>
      </w:r>
      <w:r>
        <w:rPr>
          <w:b/>
          <w:bCs/>
          <w:i/>
          <w:iCs/>
          <w:sz w:val="22"/>
          <w:szCs w:val="22"/>
        </w:rPr>
      </w:r>
    </w:p>
    <w:p>
      <w:pPr>
        <w:pStyle w:val="1038"/>
        <w:widowControl w:val="false"/>
        <w:pBdr/>
        <w:spacing/>
        <w:ind w:right="0" w:hanging="7020" w:left="7020"/>
        <w:jc w:val="both"/>
        <w:rPr>
          <w:b/>
          <w:bCs/>
          <w:i/>
          <w:iCs/>
          <w:sz w:val="22"/>
          <w:szCs w:val="22"/>
        </w:rPr>
      </w:pPr>
      <w:r>
        <w:rPr>
          <w:b/>
          <w:bCs/>
          <w:i/>
          <w:iCs/>
          <w:sz w:val="22"/>
          <w:szCs w:val="22"/>
        </w:rPr>
      </w:r>
      <w:r>
        <w:rPr>
          <w:b/>
          <w:bCs/>
          <w:i/>
          <w:iCs/>
          <w:sz w:val="22"/>
          <w:szCs w:val="22"/>
        </w:rPr>
      </w:r>
      <w:r>
        <w:rPr>
          <w:b/>
          <w:bCs/>
          <w:i/>
          <w:iCs/>
          <w:sz w:val="22"/>
          <w:szCs w:val="22"/>
        </w:rPr>
      </w:r>
    </w:p>
    <w:p>
      <w:pPr>
        <w:pStyle w:val="1038"/>
        <w:widowControl w:val="false"/>
        <w:pBdr/>
        <w:spacing/>
        <w:ind w:right="0" w:hanging="7020" w:left="7020"/>
        <w:jc w:val="both"/>
        <w:rPr>
          <w:b/>
          <w:bCs/>
          <w:i/>
          <w:iCs/>
          <w:sz w:val="22"/>
          <w:szCs w:val="22"/>
        </w:rPr>
      </w:pPr>
      <w:r>
        <w:rPr>
          <w:b/>
          <w:bCs/>
          <w:i/>
          <w:iCs/>
          <w:sz w:val="22"/>
          <w:szCs w:val="22"/>
        </w:rPr>
      </w:r>
      <w:r>
        <w:rPr>
          <w:b/>
          <w:bCs/>
          <w:i/>
          <w:iCs/>
          <w:sz w:val="22"/>
          <w:szCs w:val="22"/>
        </w:rPr>
      </w:r>
      <w:r>
        <w:rPr>
          <w:b/>
          <w:bCs/>
          <w:i/>
          <w:iCs/>
          <w:sz w:val="22"/>
          <w:szCs w:val="22"/>
        </w:rPr>
      </w:r>
    </w:p>
    <w:p>
      <w:pPr>
        <w:pStyle w:val="1038"/>
        <w:widowControl w:val="false"/>
        <w:pBdr/>
        <w:spacing/>
        <w:ind/>
        <w:jc w:val="both"/>
        <w:rPr>
          <w:rFonts w:ascii="Arial" w:hAnsi="Arial" w:cs="Arial"/>
          <w:b/>
          <w:bCs/>
          <w:i/>
          <w:sz w:val="22"/>
          <w:szCs w:val="22"/>
        </w:rPr>
      </w:pPr>
      <w:r>
        <w:rPr>
          <w:b/>
          <w:bCs/>
          <w:i/>
          <w:sz w:val="22"/>
          <w:szCs w:val="22"/>
        </w:rPr>
        <w:t xml:space="preserve">Частнопрактикующий оценщик</w:t>
      </w:r>
      <w:r>
        <w:rPr>
          <w:rFonts w:ascii="Arial" w:hAnsi="Arial" w:cs="Arial"/>
          <w:b/>
          <w:bCs/>
          <w:i/>
          <w:sz w:val="22"/>
          <w:szCs w:val="22"/>
        </w:rPr>
        <w:t xml:space="preserve">                                                                               </w:t>
      </w:r>
      <w:r>
        <w:rPr>
          <w:b/>
          <w:highlight w:val="yellow"/>
        </w:rPr>
        <w:t xml:space="preserve">${</w:t>
      </w:r>
      <w:r>
        <w:rPr>
          <w:rFonts w:eastAsia="Times New Roman" w:cs="Times New Roman"/>
          <w:b w:val="0"/>
          <w:i w:val="0"/>
          <w:caps w:val="0"/>
          <w:smallCaps w:val="0"/>
          <w:color w:val="000000"/>
          <w:spacing w:val="0"/>
          <w:highlight w:val="yellow"/>
        </w:rPr>
        <w:t xml:space="preserve">user_appraiser_name</w:t>
      </w:r>
      <w:r>
        <w:rPr>
          <w:b/>
          <w:highlight w:val="yellow"/>
        </w:rPr>
        <w:t xml:space="preserve">}</w:t>
      </w:r>
      <w:r>
        <w:rPr>
          <w:rFonts w:ascii="Arial" w:hAnsi="Arial" w:cs="Arial"/>
          <w:b/>
          <w:bCs/>
          <w:i/>
          <w:sz w:val="22"/>
          <w:szCs w:val="22"/>
        </w:rPr>
      </w:r>
      <w:r>
        <w:rPr>
          <w:rFonts w:ascii="Arial" w:hAnsi="Arial" w:cs="Arial"/>
          <w:b/>
          <w:bCs/>
          <w:i/>
          <w:sz w:val="22"/>
          <w:szCs w:val="22"/>
        </w:rPr>
      </w:r>
    </w:p>
    <w:p>
      <w:pPr>
        <w:pStyle w:val="1038"/>
        <w:widowControl w:val="false"/>
        <w:pBdr/>
        <w:spacing/>
        <w:ind/>
        <w:rPr>
          <w:b/>
          <w:bCs/>
        </w:rPr>
      </w:pPr>
      <w:r>
        <w:rPr>
          <w:b/>
          <w:bCs/>
        </w:rPr>
      </w:r>
      <w:r>
        <w:rPr>
          <w:b/>
          <w:bCs/>
        </w:rPr>
      </w:r>
      <w:r>
        <w:rPr>
          <w:b/>
          <w:bCs/>
        </w:rPr>
      </w:r>
    </w:p>
    <w:p>
      <w:pPr>
        <w:pStyle w:val="1038"/>
        <w:widowControl w:val="false"/>
        <w:pBdr/>
        <w:spacing/>
        <w:ind/>
        <w:rPr>
          <w:b/>
          <w:bCs/>
        </w:rPr>
      </w:pPr>
      <w:r>
        <w:rPr>
          <w:b/>
          <w:bCs/>
        </w:rPr>
      </w:r>
      <w:r>
        <w:rPr>
          <w:b/>
          <w:bCs/>
        </w:rPr>
      </w:r>
      <w:r>
        <w:rPr>
          <w:b/>
          <w:bCs/>
        </w:rPr>
      </w:r>
    </w:p>
    <w:p>
      <w:pPr>
        <w:pStyle w:val="1038"/>
        <w:widowControl w:val="false"/>
        <w:pBdr/>
        <w:spacing/>
        <w:ind/>
        <w:rPr>
          <w:b/>
          <w:bCs/>
        </w:rPr>
      </w:pPr>
      <w:r>
        <w:rPr>
          <w:b/>
          <w:bCs/>
        </w:rPr>
      </w:r>
      <w:r>
        <w:rPr>
          <w:b/>
          <w:bCs/>
        </w:rPr>
      </w:r>
      <w:r>
        <w:rPr>
          <w:b/>
          <w:bCs/>
        </w:rPr>
      </w:r>
    </w:p>
    <w:p>
      <w:pPr>
        <w:pStyle w:val="1038"/>
        <w:widowControl w:val="false"/>
        <w:pBdr/>
        <w:spacing/>
        <w:ind/>
        <w:rPr>
          <w:b/>
          <w:bCs/>
        </w:rPr>
      </w:pPr>
      <w:r>
        <w:rPr>
          <w:b/>
          <w:bCs/>
        </w:rPr>
      </w:r>
      <w:r>
        <w:rPr>
          <w:b/>
          <w:bCs/>
        </w:rPr>
      </w:r>
      <w:r>
        <w:rPr>
          <w:b/>
          <w:bCs/>
        </w:rPr>
      </w:r>
    </w:p>
    <w:p>
      <w:pPr>
        <w:pStyle w:val="1038"/>
        <w:widowControl w:val="false"/>
        <w:pBdr/>
        <w:spacing/>
        <w:ind/>
        <w:rPr>
          <w:b/>
          <w:bCs/>
        </w:rPr>
      </w:pPr>
      <w:r>
        <w:rPr>
          <w:b/>
          <w:bCs/>
        </w:rPr>
      </w:r>
      <w:r>
        <w:rPr>
          <w:b/>
          <w:bCs/>
        </w:rPr>
      </w:r>
      <w:r>
        <w:rPr>
          <w:b/>
          <w:bCs/>
        </w:rPr>
      </w:r>
    </w:p>
    <w:p>
      <w:pPr>
        <w:pStyle w:val="1038"/>
        <w:widowControl w:val="false"/>
        <w:pBdr/>
        <w:spacing/>
        <w:ind/>
        <w:rPr>
          <w:b/>
          <w:bCs/>
        </w:rPr>
      </w:pPr>
      <w:r>
        <w:rPr>
          <w:b/>
          <w:bCs/>
        </w:rPr>
      </w:r>
      <w:r>
        <w:rPr>
          <w:b/>
          <w:bCs/>
        </w:rPr>
      </w:r>
      <w:r>
        <w:rPr>
          <w:b/>
          <w:bCs/>
        </w:rPr>
      </w:r>
    </w:p>
    <w:p>
      <w:pPr>
        <w:pStyle w:val="1039"/>
        <w:keepNext w:val="false"/>
        <w:widowControl w:val="false"/>
        <w:numPr>
          <w:ilvl w:val="0"/>
          <w:numId w:val="1"/>
        </w:numPr>
        <w:pBdr/>
        <w:spacing w:after="60" w:before="0"/>
        <w:ind w:firstLine="0" w:left="0"/>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1039"/>
        <w:keepNext w:val="false"/>
        <w:widowControl w:val="false"/>
        <w:numPr>
          <w:ilvl w:val="0"/>
          <w:numId w:val="1"/>
        </w:numPr>
        <w:pBdr/>
        <w:spacing w:after="60" w:before="0"/>
        <w:ind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pPr>
      <w:r/>
      <w:r/>
    </w:p>
    <w:p>
      <w:pPr>
        <w:pStyle w:val="1038"/>
        <w:pBdr/>
        <w:spacing/>
        <w:ind/>
        <w:rPr>
          <w:lang w:val="en-US"/>
        </w:rPr>
      </w:pPr>
      <w:r>
        <w:rPr>
          <w:lang w:val="en-US"/>
        </w:rPr>
      </w:r>
      <w:r>
        <w:rPr>
          <w:lang w:val="en-US"/>
        </w:rPr>
      </w:r>
      <w:r>
        <w:rPr>
          <w:lang w:val="en-US"/>
        </w:rPr>
      </w:r>
    </w:p>
    <w:p>
      <w:pPr>
        <w:pStyle w:val="1038"/>
        <w:pBdr/>
        <w:spacing/>
        <w:ind/>
        <w:rPr>
          <w:lang w:val="en-US"/>
        </w:rPr>
      </w:pPr>
      <w:r>
        <w:rPr>
          <w:lang w:val="en-US"/>
        </w:rPr>
      </w:r>
      <w:r>
        <w:rPr>
          <w:lang w:val="en-US"/>
        </w:rPr>
      </w:r>
      <w:r>
        <w:rPr>
          <w:lang w:val="en-US"/>
        </w:rPr>
      </w:r>
    </w:p>
    <w:p>
      <w:pPr>
        <w:pStyle w:val="1038"/>
        <w:pBdr/>
        <w:spacing/>
        <w:ind/>
        <w:rPr/>
      </w:pPr>
      <w:r/>
      <w:r/>
    </w:p>
    <w:p>
      <w:pPr>
        <w:pStyle w:val="1039"/>
        <w:keepNext w:val="false"/>
        <w:widowControl w:val="false"/>
        <w:numPr>
          <w:ilvl w:val="0"/>
          <w:numId w:val="1"/>
        </w:numPr>
        <w:pBdr/>
        <w:spacing w:after="60" w:before="0"/>
        <w:ind w:firstLine="0" w:left="0"/>
        <w:jc w:val="center"/>
        <w:rPr>
          <w:rFonts w:ascii="Times New Roman" w:hAnsi="Times New Roman" w:cs="Times New Roman"/>
        </w:rPr>
      </w:pPr>
      <w:r/>
      <w:bookmarkStart w:id="19" w:name="__RefHeading___Toc212536967"/>
      <w:r/>
      <w:bookmarkEnd w:id="19"/>
      <w:r>
        <w:rPr>
          <w:rFonts w:ascii="Times New Roman" w:hAnsi="Times New Roman" w:cs="Times New Roman"/>
        </w:rPr>
        <w:t xml:space="preserve">ПРИЛОЖЕНИЯ</w:t>
      </w:r>
      <w:r>
        <w:rPr>
          <w:rFonts w:ascii="Times New Roman" w:hAnsi="Times New Roman" w:cs="Times New Roman"/>
        </w:rPr>
      </w:r>
      <w:r>
        <w:rPr>
          <w:rFonts w:ascii="Times New Roman" w:hAnsi="Times New Roman" w:cs="Times New Roman"/>
        </w:rPr>
      </w:r>
    </w:p>
    <w:p>
      <w:pPr>
        <w:pStyle w:val="1040"/>
        <w:keepNext w:val="false"/>
        <w:widowControl w:val="false"/>
        <w:numPr>
          <w:ilvl w:val="1"/>
          <w:numId w:val="1"/>
        </w:numPr>
        <w:pBdr/>
        <w:spacing/>
        <w:ind w:firstLine="0" w:left="0"/>
        <w:jc w:val="center"/>
        <w:rPr>
          <w:b/>
          <w:sz w:val="22"/>
          <w:szCs w:val="22"/>
          <w:lang w:val="en-US"/>
        </w:rPr>
      </w:pPr>
      <w:r/>
      <w:bookmarkStart w:id="20" w:name="__RefHeading___Toc212536969"/>
      <w:r/>
      <w:bookmarkEnd w:id="20"/>
      <w:r>
        <w:rPr>
          <w:b/>
          <w:sz w:val="22"/>
          <w:szCs w:val="22"/>
        </w:rPr>
        <w:t xml:space="preserve">Копии документов Оценщика</w:t>
      </w:r>
      <w:r>
        <w:rPr>
          <w:b/>
          <w:sz w:val="22"/>
          <w:szCs w:val="22"/>
          <w:lang w:val="en-US"/>
        </w:rPr>
      </w:r>
      <w:r>
        <w:rPr>
          <w:b/>
          <w:sz w:val="22"/>
          <w:szCs w:val="22"/>
          <w:lang w:val="en-US"/>
        </w:rPr>
      </w:r>
    </w:p>
    <w:p>
      <w:pPr>
        <w:pStyle w:val="1038"/>
        <w:pBdr/>
        <w:spacing/>
        <w:ind/>
        <w:rPr>
          <w:lang w:val="en-US"/>
        </w:rPr>
      </w:pPr>
      <w:r>
        <w:rPr>
          <w:lang w:val="en-US"/>
        </w:rPr>
      </w:r>
      <w:r>
        <w:rPr>
          <w:lang w:val="en-US"/>
        </w:rPr>
      </w:r>
      <w:r>
        <w:rPr>
          <w:lang w:val="en-US"/>
        </w:rPr>
      </w:r>
    </w:p>
    <w:p>
      <w:pPr>
        <w:pStyle w:val="1149"/>
        <w:widowControl w:val="false"/>
        <w:pBdr/>
        <w:spacing/>
        <w:ind w:right="0" w:firstLine="0" w:left="0"/>
        <w:rPr>
          <w:caps/>
          <w:sz w:val="22"/>
          <w:szCs w:val="22"/>
        </w:rPr>
      </w:pPr>
      <w:r>
        <w:rPr>
          <w:caps/>
          <w:sz w:val="22"/>
          <w:szCs w:val="22"/>
        </w:rPr>
      </w:r>
      <w:bookmarkStart w:id="21" w:name="_Hlk180414151"/>
      <w:r>
        <w:rPr>
          <w:caps/>
          <w:sz w:val="22"/>
          <w:szCs w:val="22"/>
        </w:rPr>
      </w:r>
      <w:r>
        <w:rPr>
          <w:caps/>
          <w:sz w:val="22"/>
          <w:szCs w:val="22"/>
        </w:rPr>
      </w:r>
    </w:p>
    <w:p>
      <w:pPr>
        <w:pStyle w:val="1149"/>
        <w:widowControl w:val="false"/>
        <w:pBdr/>
        <w:spacing/>
        <w:ind w:right="0" w:firstLine="0" w:left="0"/>
        <w:rPr>
          <w:caps/>
          <w:sz w:val="22"/>
          <w:szCs w:val="22"/>
        </w:rPr>
      </w:pPr>
      <w:r>
        <w:rPr>
          <w:caps/>
          <w:sz w:val="22"/>
          <w:szCs w:val="22"/>
        </w:rPr>
      </w:r>
      <w:r>
        <w:rPr>
          <w:caps/>
          <w:sz w:val="22"/>
          <w:szCs w:val="22"/>
        </w:rPr>
      </w:r>
      <w:r>
        <w:rPr>
          <w:caps/>
          <w:sz w:val="22"/>
          <w:szCs w:val="22"/>
        </w:rPr>
      </w:r>
    </w:p>
    <w:p>
      <w:pPr>
        <w:pStyle w:val="1038"/>
        <w:widowControl w:val="false"/>
        <w:pBdr/>
        <w:spacing/>
        <w:ind/>
        <w:jc w:val="center"/>
        <w:rPr>
          <w:sz w:val="22"/>
          <w:szCs w:val="22"/>
          <w:lang w:val="en-US" w:eastAsia="en-US"/>
        </w:rPr>
      </w:pPr>
      <w:r>
        <w:rPr>
          <w:sz w:val="22"/>
          <w:szCs w:val="22"/>
          <w:lang w:val="en-US" w:eastAsia="en-US"/>
        </w:rPr>
      </w:r>
      <w:r>
        <w:rPr>
          <w:sz w:val="22"/>
          <w:szCs w:val="22"/>
          <w:lang w:val="en-US" w:eastAsia="en-US"/>
        </w:rPr>
      </w:r>
      <w:r>
        <w:rPr>
          <w:sz w:val="22"/>
          <w:szCs w:val="22"/>
          <w:lang w:val="en-US" w:eastAsia="en-US"/>
        </w:rPr>
      </w:r>
    </w:p>
    <w:p>
      <w:pPr>
        <w:pStyle w:val="1038"/>
        <w:widowControl w:val="false"/>
        <w:pBdr/>
        <w:spacing/>
        <w:ind/>
        <w:jc w:val="center"/>
        <w:rPr/>
      </w:pPr>
      <w:r/>
      <w:r/>
    </w:p>
    <w:p>
      <w:pPr>
        <w:pStyle w:val="1038"/>
        <w:widowControl w:val="false"/>
        <w:pBdr/>
        <w:spacing/>
        <w:ind/>
        <w:jc w:val="center"/>
        <w:rPr/>
      </w:pPr>
      <w:r/>
      <w:r/>
    </w:p>
    <w:p>
      <w:pPr>
        <w:pStyle w:val="1038"/>
        <w:widowControl w:val="false"/>
        <w:pBdr/>
        <w:spacing/>
        <w:ind/>
        <w:jc w:val="center"/>
        <w:rPr>
          <w:color w:val="000000"/>
        </w:rPr>
      </w:pPr>
      <w:r>
        <w:rPr>
          <w:color w:val="000000"/>
        </w:rPr>
      </w:r>
      <w:r>
        <w:rPr>
          <w:color w:val="000000"/>
        </w:rPr>
      </w:r>
      <w:r>
        <w:rPr>
          <w:color w:val="000000"/>
        </w:rPr>
      </w:r>
    </w:p>
    <w:p>
      <w:pPr>
        <w:pStyle w:val="1038"/>
        <w:widowControl w:val="false"/>
        <w:pBdr/>
        <w:spacing/>
        <w:ind/>
        <w:jc w:val="center"/>
        <w:rPr>
          <w:color w:val="000000"/>
        </w:rPr>
      </w:pPr>
      <w:r>
        <w:rPr>
          <w:color w:val="000000"/>
        </w:rPr>
      </w:r>
      <w:r>
        <w:rPr>
          <w:color w:val="000000"/>
        </w:rPr>
      </w:r>
      <w:r>
        <w:rPr>
          <w:color w:val="000000"/>
        </w:rPr>
      </w:r>
    </w:p>
    <w:p>
      <w:pPr>
        <w:pStyle w:val="1038"/>
        <w:widowControl w:val="false"/>
        <w:pBdr/>
        <w:spacing/>
        <w:ind/>
        <w:jc w:val="center"/>
        <w:rPr>
          <w:color w:val="000000"/>
        </w:rPr>
      </w:pPr>
      <w:r>
        <w:rPr>
          <w:color w:val="000000"/>
        </w:rPr>
      </w:r>
      <w:r>
        <w:rPr>
          <w:color w:val="000000"/>
        </w:rPr>
      </w:r>
      <w:r>
        <w:rPr>
          <w:color w:val="000000"/>
        </w:rPr>
      </w:r>
    </w:p>
    <w:p>
      <w:pPr>
        <w:pStyle w:val="1038"/>
        <w:widowControl w:val="false"/>
        <w:pBdr/>
        <w:spacing/>
        <w:ind/>
        <w:jc w:val="center"/>
        <w:rPr>
          <w:color w:val="000000"/>
        </w:rPr>
      </w:pPr>
      <w:r>
        <w:rPr>
          <w:color w:val="000000"/>
        </w:rPr>
      </w:r>
      <w:r>
        <w:rPr>
          <w:color w:val="000000"/>
        </w:rPr>
      </w:r>
      <w:r>
        <w:rPr>
          <w:color w:val="000000"/>
        </w:rPr>
      </w:r>
    </w:p>
    <w:p>
      <w:pPr>
        <w:pStyle w:val="1038"/>
        <w:widowControl w:val="false"/>
        <w:pBdr/>
        <w:spacing/>
        <w:ind/>
        <w:jc w:val="center"/>
        <w:rPr>
          <w:color w:val="000000"/>
        </w:rPr>
      </w:pPr>
      <w:r>
        <w:rPr>
          <w:color w:val="000000"/>
        </w:rPr>
      </w:r>
      <w:r>
        <w:rPr>
          <w:color w:val="000000"/>
        </w:rPr>
      </w:r>
      <w:r>
        <w:rPr>
          <w:color w:val="000000"/>
        </w:rPr>
      </w:r>
    </w:p>
    <w:p>
      <w:pPr>
        <w:pStyle w:val="1149"/>
        <w:widowControl w:val="false"/>
        <w:pBdr/>
        <w:spacing/>
        <w:ind w:right="0" w:firstLine="0" w:left="0"/>
        <w:rPr/>
      </w:pPr>
      <w:r/>
      <w:bookmarkEnd w:id="21"/>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66" w:right="851" w:bottom="766" w:left="1134"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Mono">
    <w:panose1 w:val="02070409020205020404"/>
  </w:font>
  <w:font w:name="Calibri">
    <w:panose1 w:val="020F0502020204030204"/>
  </w:font>
  <w:font w:name="Tahoma">
    <w:panose1 w:val="020B0604030504040204"/>
  </w:font>
  <w:font w:name="Verdana">
    <w:panose1 w:val="020B0604030504040204"/>
  </w:font>
  <w:font w:name="Helvetica Neue LT Cyrillic;Arial">
    <w:panose1 w:val="02000009000000000000"/>
  </w:font>
  <w:font w:name="Courier New">
    <w:panose1 w:val="02070309020205020404"/>
  </w:font>
  <w:font w:name="Wingdings">
    <w:panose1 w:val="05010000000000000000"/>
  </w:font>
  <w:font w:name="Symbol">
    <w:panose1 w:val="05010000000000000000"/>
  </w:font>
  <w:font w:name="Times New Roman">
    <w:panose1 w:val="02020603050405020304"/>
  </w:font>
  <w:font w:name="Arial Unicode MS">
    <w:panose1 w:val="020B0604020202020204"/>
  </w:font>
  <w:font w:name="Arial">
    <w:panose1 w:val="020B0604020202020204"/>
  </w:font>
  <w:font w:name="Liberation Mono;Courier New">
    <w:panose1 w:val="02070409020205020404"/>
  </w:font>
  <w:font w:name="DejaVu Sans">
    <w:panose1 w:val="020B0603030804020204"/>
  </w:font>
  <w:font w:name="TimesDL;Times New Roman">
    <w:panose1 w:val="02000009000000000000"/>
  </w:font>
  <w:font w:name="Bookman Old Style">
    <w:panose1 w:val="02060603050605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6"/>
        <w:szCs w:val="16"/>
      </w:rPr>
    </w:pPr>
    <w:r>
      <w:rPr>
        <w:rFonts w:ascii="Arial" w:hAnsi="Arial" w:cs="Arial"/>
        <w:i/>
        <w:iCs/>
        <w:sz w:val="16"/>
        <w:szCs w:val="16"/>
      </w:rPr>
      <w:t xml:space="preserve">____________________________________________________________________________________________________</w:t>
    </w:r>
    <w:r>
      <w:rPr>
        <w:rFonts w:ascii="Arial" w:hAnsi="Arial" w:cs="Arial"/>
        <w:i/>
        <w:iCs/>
        <w:sz w:val="16"/>
        <w:szCs w:val="16"/>
      </w:rPr>
    </w:r>
    <w:r>
      <w:rPr>
        <w:rFonts w:ascii="Arial" w:hAnsi="Arial" w:cs="Arial"/>
        <w:i/>
        <w:iCs/>
        <w:sz w:val="16"/>
        <w:szCs w:val="16"/>
      </w:rPr>
    </w:r>
  </w:p>
  <w:p>
    <w:pPr>
      <w:pStyle w:val="1042"/>
      <w:numPr>
        <w:ilvl w:val="3"/>
        <w:numId w:val="1"/>
      </w:numPr>
      <w:pBdr/>
      <w:spacing/>
      <w:ind w:right="0" w:firstLine="0" w:left="0"/>
      <w:jc w:val="left"/>
      <w:rPr>
        <w:i/>
        <w:sz w:val="14"/>
        <w:szCs w:val="14"/>
        <w:lang w:val="ru-RU"/>
      </w:rPr>
    </w:pPr>
    <w:r>
      <w:rPr>
        <w:i/>
        <w:sz w:val="14"/>
        <w:szCs w:val="14"/>
        <w:lang w:val="ru-RU"/>
      </w:rPr>
      <mc:AlternateContent>
        <mc:Choice Requires="wpg">
          <w:drawing>
            <wp:anchor xmlns:wp="http://schemas.openxmlformats.org/drawingml/2006/wordprocessingDrawing" xmlns:wp14="http://schemas.microsoft.com/office/word/2010/wordprocessingDrawing" distT="0" distB="0" distL="0" distR="0" simplePos="0" relativeHeight="50" behindDoc="1" locked="0" layoutInCell="0" allowOverlap="1">
              <wp:simplePos x="0" y="0"/>
              <wp:positionH relativeFrom="page">
                <wp:posOffset>3991610</wp:posOffset>
              </wp:positionH>
              <wp:positionV relativeFrom="paragraph">
                <wp:posOffset>120015</wp:posOffset>
              </wp:positionV>
              <wp:extent cx="181610" cy="133985"/>
              <wp:effectExtent l="0" t="0" r="0" b="0"/>
              <wp:wrapSquare wrapText="bothSides"/>
              <wp:docPr id="1" name="Frame1"/>
              <wp:cNvGraphicFramePr/>
              <a:graphic xmlns:a="http://schemas.openxmlformats.org/drawingml/2006/main">
                <a:graphicData uri="http://schemas.microsoft.com/office/word/2010/wordprocessingShape">
                  <wps:wsp>
                    <wps:cNvPr id="0" name=""/>
                    <wps:cNvSpPr/>
                    <wps:spPr bwMode="auto">
                      <a:xfrm>
                        <a:off x="0" y="0"/>
                        <a:ext cx="181440" cy="133920"/>
                      </a:xfrm>
                      <a:prstGeom prst="rect">
                        <a:avLst/>
                      </a:prstGeom>
                      <a:noFill/>
                      <a:ln w="0">
                        <a:noFill/>
                      </a:ln>
                    </wps:spPr>
                    <wps:style>
                      <a:lnRef idx="0"/>
                      <a:fillRef idx="0"/>
                      <a:effectRef idx="0"/>
                      <a:fontRef idx="minor"/>
                    </wps:style>
                    <wps:txbx>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wps:txbx>
                    <wps:bodyPr lIns="0" tIns="0" rIns="0" bIns="0" anchor="t">
                      <a:noAutofit/>
                    </wps:bodyPr>
                  </wps:wsp>
                </a:graphicData>
              </a:graphic>
            </wp:anchor>
          </w:drawing>
        </mc:Choice>
        <mc:Fallback>
          <w:pict>
            <v:shape id="shape 0" o:spid="_x0000_s0" o:spt="1" type="#_x0000_t1" style="position:absolute;z-index:-50;o:allowoverlap:true;o:allowincell:false;mso-position-horizontal-relative:page;margin-left:314.30pt;mso-position-horizontal:absolute;mso-position-vertical-relative:text;margin-top:9.45pt;mso-position-vertical:absolute;width:14.30pt;height:10.55pt;mso-wrap-distance-left:0.00pt;mso-wrap-distance-top:0.00pt;mso-wrap-distance-right:0.00pt;mso-wrap-distance-bottom:0.00pt;v-text-anchor:top;visibility:visible;" filled="f" stroked="f" strokeweight="0.00pt">
              <w10:wrap type="square"/>
              <v:textbox inset="0,0,0,0">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v:textbox>
            </v:shape>
          </w:pict>
        </mc:Fallback>
      </mc:AlternateContent>
    </w:r>
    <w:r>
      <w:rPr>
        <w:i/>
        <w:sz w:val="14"/>
        <w:szCs w:val="14"/>
        <w:lang w:val="ru-RU"/>
      </w:rPr>
    </w:r>
    <w:r>
      <w:rPr>
        <w:i/>
        <w:sz w:val="14"/>
        <w:szCs w:val="14"/>
        <w:lang w:val="ru-RU"/>
      </w:rPr>
    </w:r>
  </w:p>
  <w:p>
    <w:pPr>
      <w:pStyle w:val="1042"/>
      <w:numPr>
        <w:ilvl w:val="3"/>
        <w:numId w:val="1"/>
      </w:numPr>
      <w:pBdr/>
      <w:spacing/>
      <w:ind w:right="0" w:firstLine="0" w:left="0"/>
      <w:jc w:val="left"/>
      <w:rPr>
        <w:rFonts w:ascii="Arial" w:hAnsi="Arial" w:cs="Arial"/>
        <w:i/>
        <w:sz w:val="14"/>
        <w:szCs w:val="14"/>
        <w:lang w:val="ru-RU"/>
      </w:rPr>
    </w:pPr>
    <w:r>
      <w:rPr>
        <w:rFonts w:ascii="Arial" w:hAnsi="Arial" w:cs="Arial"/>
        <w:i/>
        <w:sz w:val="14"/>
        <w:szCs w:val="14"/>
        <w:lang w:val="ru-RU"/>
      </w:rPr>
      <w:t xml:space="preserve"> </w:t>
    </w:r>
    <w:r>
      <w:rPr>
        <w:rFonts w:ascii="Arial" w:hAnsi="Arial" w:cs="Arial"/>
        <w:i/>
        <w:sz w:val="14"/>
        <w:szCs w:val="14"/>
        <w:lang w:val="ru-RU"/>
      </w:rPr>
    </w:r>
    <w:r>
      <w:rPr>
        <w:rFonts w:ascii="Arial" w:hAnsi="Arial" w:cs="Arial"/>
        <w:i/>
        <w:sz w:val="14"/>
        <w:szCs w:val="14"/>
        <w:lang w:val="ru-RU"/>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6"/>
        <w:szCs w:val="16"/>
      </w:rPr>
    </w:pPr>
    <w:r>
      <w:rPr>
        <w:rFonts w:ascii="Arial" w:hAnsi="Arial" w:cs="Arial"/>
        <w:i/>
        <w:iCs/>
        <w:sz w:val="16"/>
        <w:szCs w:val="16"/>
      </w:rPr>
      <w:t xml:space="preserve">____________________________________________________________________________________________________</w:t>
    </w:r>
    <w:r>
      <w:rPr>
        <w:rFonts w:ascii="Arial" w:hAnsi="Arial" w:cs="Arial"/>
        <w:i/>
        <w:iCs/>
        <w:sz w:val="16"/>
        <w:szCs w:val="16"/>
      </w:rPr>
    </w:r>
    <w:r>
      <w:rPr>
        <w:rFonts w:ascii="Arial" w:hAnsi="Arial" w:cs="Arial"/>
        <w:i/>
        <w:iCs/>
        <w:sz w:val="16"/>
        <w:szCs w:val="16"/>
      </w:rPr>
    </w:r>
  </w:p>
  <w:p>
    <w:pPr>
      <w:pStyle w:val="1042"/>
      <w:numPr>
        <w:ilvl w:val="3"/>
        <w:numId w:val="1"/>
      </w:numPr>
      <w:pBdr/>
      <w:spacing/>
      <w:ind w:right="0" w:firstLine="0" w:left="0"/>
      <w:jc w:val="left"/>
      <w:rPr>
        <w:i/>
        <w:sz w:val="14"/>
        <w:szCs w:val="14"/>
        <w:lang w:val="ru-RU"/>
      </w:rPr>
    </w:pPr>
    <w:r>
      <w:rPr>
        <w:i/>
        <w:sz w:val="14"/>
        <w:szCs w:val="14"/>
        <w:lang w:val="ru-RU"/>
      </w:rPr>
      <mc:AlternateContent>
        <mc:Choice Requires="wpg">
          <w:drawing>
            <wp:anchor xmlns:wp="http://schemas.openxmlformats.org/drawingml/2006/wordprocessingDrawing" xmlns:wp14="http://schemas.microsoft.com/office/word/2010/wordprocessingDrawing" distT="0" distB="0" distL="0" distR="0" simplePos="0" relativeHeight="50" behindDoc="1" locked="0" layoutInCell="0" allowOverlap="1">
              <wp:simplePos x="0" y="0"/>
              <wp:positionH relativeFrom="page">
                <wp:posOffset>3991610</wp:posOffset>
              </wp:positionH>
              <wp:positionV relativeFrom="paragraph">
                <wp:posOffset>120015</wp:posOffset>
              </wp:positionV>
              <wp:extent cx="181610" cy="133985"/>
              <wp:effectExtent l="0" t="0" r="0" b="0"/>
              <wp:wrapSquare wrapText="bothSides"/>
              <wp:docPr id="2" name="Frame1"/>
              <wp:cNvGraphicFramePr/>
              <a:graphic xmlns:a="http://schemas.openxmlformats.org/drawingml/2006/main">
                <a:graphicData uri="http://schemas.microsoft.com/office/word/2010/wordprocessingShape">
                  <wps:wsp>
                    <wps:cNvPr id="0" name=""/>
                    <wps:cNvSpPr/>
                    <wps:spPr bwMode="auto">
                      <a:xfrm>
                        <a:off x="0" y="0"/>
                        <a:ext cx="181440" cy="133920"/>
                      </a:xfrm>
                      <a:prstGeom prst="rect">
                        <a:avLst/>
                      </a:prstGeom>
                      <a:noFill/>
                      <a:ln w="0">
                        <a:noFill/>
                      </a:ln>
                    </wps:spPr>
                    <wps:style>
                      <a:lnRef idx="0"/>
                      <a:fillRef idx="0"/>
                      <a:effectRef idx="0"/>
                      <a:fontRef idx="minor"/>
                    </wps:style>
                    <wps:txbx>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wps:txbx>
                    <wps:bodyPr lIns="0" tIns="0" rIns="0" bIns="0" anchor="t">
                      <a:noAutofit/>
                    </wps:bodyPr>
                  </wps:wsp>
                </a:graphicData>
              </a:graphic>
            </wp:anchor>
          </w:drawing>
        </mc:Choice>
        <mc:Fallback>
          <w:pict>
            <v:shape id="shape 1" o:spid="_x0000_s1" o:spt="1" type="#_x0000_t1" style="position:absolute;z-index:-50;o:allowoverlap:true;o:allowincell:false;mso-position-horizontal-relative:page;margin-left:314.30pt;mso-position-horizontal:absolute;mso-position-vertical-relative:text;margin-top:9.45pt;mso-position-vertical:absolute;width:14.30pt;height:10.55pt;mso-wrap-distance-left:0.00pt;mso-wrap-distance-top:0.00pt;mso-wrap-distance-right:0.00pt;mso-wrap-distance-bottom:0.00pt;v-text-anchor:top;visibility:visible;" filled="f" stroked="f" strokeweight="0.00pt">
              <w10:wrap type="square"/>
              <v:textbox inset="0,0,0,0">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v:textbox>
            </v:shape>
          </w:pict>
        </mc:Fallback>
      </mc:AlternateContent>
    </w:r>
    <w:r>
      <w:rPr>
        <w:i/>
        <w:sz w:val="14"/>
        <w:szCs w:val="14"/>
        <w:lang w:val="ru-RU"/>
      </w:rPr>
    </w:r>
    <w:r>
      <w:rPr>
        <w:i/>
        <w:sz w:val="14"/>
        <w:szCs w:val="14"/>
        <w:lang w:val="ru-RU"/>
      </w:rPr>
    </w:r>
  </w:p>
  <w:p>
    <w:pPr>
      <w:pStyle w:val="1042"/>
      <w:numPr>
        <w:ilvl w:val="3"/>
        <w:numId w:val="1"/>
      </w:numPr>
      <w:pBdr/>
      <w:spacing/>
      <w:ind w:right="0" w:firstLine="0" w:left="0"/>
      <w:jc w:val="left"/>
      <w:rPr>
        <w:rFonts w:ascii="Arial" w:hAnsi="Arial" w:cs="Arial"/>
        <w:i/>
        <w:sz w:val="14"/>
        <w:szCs w:val="14"/>
        <w:lang w:val="ru-RU"/>
      </w:rPr>
    </w:pPr>
    <w:r>
      <w:rPr>
        <w:rFonts w:ascii="Arial" w:hAnsi="Arial" w:cs="Arial"/>
        <w:i/>
        <w:sz w:val="14"/>
        <w:szCs w:val="14"/>
        <w:lang w:val="ru-RU"/>
      </w:rPr>
      <w:t xml:space="preserve"> </w:t>
    </w:r>
    <w:r>
      <w:rPr>
        <w:rFonts w:ascii="Arial" w:hAnsi="Arial" w:cs="Arial"/>
        <w:i/>
        <w:sz w:val="14"/>
        <w:szCs w:val="14"/>
        <w:lang w:val="ru-RU"/>
      </w:rPr>
    </w:r>
    <w:r>
      <w:rPr>
        <w:rFonts w:ascii="Arial" w:hAnsi="Arial" w:cs="Arial"/>
        <w:i/>
        <w:sz w:val="14"/>
        <w:szCs w:val="14"/>
        <w:lang w:val="ru-RU"/>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8"/>
        <w:szCs w:val="18"/>
        <w:lang w:val="en-US" w:eastAsia="en-US"/>
      </w:rPr>
    </w:pPr>
    <w:r>
      <w:rPr>
        <w:rFonts w:ascii="Arial" w:hAnsi="Arial" w:cs="Arial"/>
        <w:i/>
        <w:iCs/>
        <w:sz w:val="18"/>
        <w:szCs w:val="18"/>
        <w:lang w:val="en-US" w:eastAsia="en-US"/>
      </w:rPr>
    </w:r>
    <w:r>
      <w:rPr>
        <w:rFonts w:ascii="Arial" w:hAnsi="Arial" w:cs="Arial"/>
        <w:i/>
        <w:iCs/>
        <w:sz w:val="18"/>
        <w:szCs w:val="18"/>
        <w:lang w:val="en-US" w:eastAsia="en-US"/>
      </w:rPr>
    </w:r>
    <w:r>
      <w:rPr>
        <w:rFonts w:ascii="Arial" w:hAnsi="Arial" w:cs="Arial"/>
        <w:i/>
        <w:iCs/>
        <w:sz w:val="18"/>
        <w:szCs w:val="18"/>
        <w:lang w:val="en-US" w:eastAsia="en-US"/>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8"/>
        <w:szCs w:val="18"/>
        <w:lang w:val="en-US" w:eastAsia="en-US"/>
      </w:rPr>
    </w:pPr>
    <w:r>
      <w:rPr>
        <w:rFonts w:ascii="Arial" w:hAnsi="Arial" w:cs="Arial"/>
        <w:i/>
        <w:iCs/>
        <w:sz w:val="18"/>
        <w:szCs w:val="18"/>
        <w:lang w:val="en-US" w:eastAsia="en-US"/>
      </w:rPr>
    </w:r>
    <w:r>
      <w:rPr>
        <w:rFonts w:ascii="Arial" w:hAnsi="Arial" w:cs="Arial"/>
        <w:i/>
        <w:iCs/>
        <w:sz w:val="18"/>
        <w:szCs w:val="18"/>
        <w:lang w:val="en-US" w:eastAsia="en-US"/>
      </w:rPr>
    </w:r>
    <w:r>
      <w:rPr>
        <w:rFonts w:ascii="Arial" w:hAnsi="Arial" w:cs="Arial"/>
        <w:i/>
        <w:iCs/>
        <w:sz w:val="18"/>
        <w:szCs w:val="18"/>
        <w:lang w:val="en-US" w:eastAsia="en-U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numFmt w:val="none"/>
      <w:pPr>
        <w:pBdr/>
        <w:tabs>
          <w:tab w:val="num" w:leader="none" w:pos="0"/>
        </w:tabs>
        <w:spacing/>
        <w:ind w:firstLine="0" w:left="0"/>
      </w:pPr>
      <w:pStyle w:val="1039"/>
      <w:rPr/>
      <w:start w:val="1"/>
      <w:suff w:val="nothing"/>
    </w:lvl>
    <w:lvl w:ilvl="1">
      <w:isLgl w:val="false"/>
      <w:lvlJc w:val="left"/>
      <w:lvlText/>
      <w:numFmt w:val="none"/>
      <w:pPr>
        <w:pBdr/>
        <w:tabs>
          <w:tab w:val="num" w:leader="none" w:pos="0"/>
        </w:tabs>
        <w:spacing/>
        <w:ind w:firstLine="0" w:left="0"/>
      </w:pPr>
      <w:pStyle w:val="1040"/>
      <w:rPr/>
      <w:start w:val="1"/>
      <w:suff w:val="nothing"/>
    </w:lvl>
    <w:lvl w:ilvl="2">
      <w:isLgl w:val="false"/>
      <w:lvlJc w:val="left"/>
      <w:lvlText/>
      <w:numFmt w:val="none"/>
      <w:pPr>
        <w:pBdr/>
        <w:tabs>
          <w:tab w:val="num" w:leader="none" w:pos="0"/>
        </w:tabs>
        <w:spacing/>
        <w:ind w:firstLine="0" w:left="0"/>
      </w:pPr>
      <w:pStyle w:val="1041"/>
      <w:rPr/>
      <w:start w:val="1"/>
      <w:suff w:val="nothing"/>
    </w:lvl>
    <w:lvl w:ilvl="3">
      <w:isLgl w:val="false"/>
      <w:lvlJc w:val="left"/>
      <w:lvlText/>
      <w:numFmt w:val="none"/>
      <w:pPr>
        <w:pBdr/>
        <w:tabs>
          <w:tab w:val="num" w:leader="none" w:pos="0"/>
        </w:tabs>
        <w:spacing/>
        <w:ind w:firstLine="0" w:left="0"/>
      </w:pPr>
      <w:pStyle w:val="1042"/>
      <w:rPr/>
      <w:start w:val="1"/>
      <w:suff w:val="nothing"/>
    </w:lvl>
    <w:lvl w:ilvl="4">
      <w:isLgl w:val="false"/>
      <w:lvlJc w:val="left"/>
      <w:lvlText/>
      <w:numFmt w:val="none"/>
      <w:pPr>
        <w:pBdr/>
        <w:tabs>
          <w:tab w:val="num" w:leader="none" w:pos="0"/>
        </w:tabs>
        <w:spacing/>
        <w:ind w:firstLine="0" w:left="0"/>
      </w:pPr>
      <w:pStyle w:val="1043"/>
      <w:rPr/>
      <w:start w:val="1"/>
      <w:suff w:val="nothing"/>
    </w:lvl>
    <w:lvl w:ilvl="5">
      <w:isLgl w:val="false"/>
      <w:lvlJc w:val="left"/>
      <w:lvlText/>
      <w:numFmt w:val="none"/>
      <w:pPr>
        <w:pBdr/>
        <w:tabs>
          <w:tab w:val="num" w:leader="none" w:pos="0"/>
        </w:tabs>
        <w:spacing/>
        <w:ind w:firstLine="0" w:left="0"/>
      </w:pPr>
      <w:pStyle w:val="1044"/>
      <w:rPr/>
      <w:start w:val="1"/>
      <w:suff w:val="nothing"/>
    </w:lvl>
    <w:lvl w:ilvl="6">
      <w:isLgl w:val="false"/>
      <w:lvlJc w:val="left"/>
      <w:lvlText/>
      <w:numFmt w:val="none"/>
      <w:pPr>
        <w:pBdr/>
        <w:tabs>
          <w:tab w:val="num" w:leader="none" w:pos="0"/>
        </w:tabs>
        <w:spacing/>
        <w:ind w:firstLine="0" w:left="0"/>
      </w:pPr>
      <w:pStyle w:val="1045"/>
      <w:rPr/>
      <w:start w:val="1"/>
      <w:suff w:val="nothing"/>
    </w:lvl>
    <w:lvl w:ilvl="7">
      <w:isLgl w:val="false"/>
      <w:lvlJc w:val="left"/>
      <w:lvlText/>
      <w:numFmt w:val="none"/>
      <w:pPr>
        <w:pBdr/>
        <w:tabs>
          <w:tab w:val="num" w:leader="none" w:pos="0"/>
        </w:tabs>
        <w:spacing/>
        <w:ind w:firstLine="0" w:left="0"/>
      </w:pPr>
      <w:pStyle w:val="1046"/>
      <w:rPr/>
      <w:start w:val="1"/>
      <w:suff w:val="nothing"/>
    </w:lvl>
    <w:lvl w:ilvl="8">
      <w:isLgl w:val="false"/>
      <w:lvlJc w:val="left"/>
      <w:lvlText/>
      <w:numFmt w:val="none"/>
      <w:pPr>
        <w:pBdr/>
        <w:tabs>
          <w:tab w:val="num" w:leader="none" w:pos="0"/>
        </w:tabs>
        <w:spacing/>
        <w:ind w:firstLine="0" w:left="0"/>
      </w:pPr>
      <w:pStyle w:val="1047"/>
      <w:rPr/>
      <w:start w:val="1"/>
      <w:suff w:val="nothing"/>
    </w:lvl>
  </w:abstractNum>
  <w:abstractNum w:abstractNumId="1">
    <w:lvl w:ilvl="0">
      <w:isLgl w:val="false"/>
      <w:lvlJc w:val="left"/>
      <w:lvlText w:val=""/>
      <w:numFmt w:val="bullet"/>
      <w:pPr>
        <w:pBdr/>
        <w:tabs>
          <w:tab w:val="num" w:leader="none" w:pos="926"/>
        </w:tabs>
        <w:spacing/>
        <w:ind w:hanging="360" w:left="926"/>
      </w:pPr>
      <w:pStyle w:val="1176"/>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1."/>
      <w:numFmt w:val="decimal"/>
      <w:pPr>
        <w:pBdr/>
        <w:tabs>
          <w:tab w:val="num" w:leader="none" w:pos="624"/>
        </w:tabs>
        <w:spacing/>
        <w:ind w:hanging="531" w:left="644"/>
      </w:pPr>
      <w:rPr/>
      <w:start w:val="9"/>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
    <w:lvl w:ilvl="0">
      <w:isLgl w:val="false"/>
      <w:lvlJc w:val="center"/>
      <w:lvlText w:val="Таблица %1."/>
      <w:numFmt w:val="decimal"/>
      <w:pPr>
        <w:pBdr/>
        <w:tabs>
          <w:tab w:val="num" w:leader="none" w:pos="0"/>
        </w:tabs>
        <w:spacing/>
        <w:ind w:hanging="360" w:left="9575"/>
      </w:pPr>
      <w:rPr>
        <w:rFonts w:ascii="Times New Roman" w:hAnsi="Times New Roman" w:cs="Times New Roman"/>
        <w:b/>
        <w:i w:val="0"/>
        <w:color w:val="000000"/>
        <w:sz w:val="16"/>
        <w:szCs w:val="16"/>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1."/>
      <w:numFmt w:val="decimal"/>
      <w:pPr>
        <w:pBdr/>
        <w:tabs>
          <w:tab w:val="num" w:leader="none" w:pos="0"/>
        </w:tabs>
        <w:spacing/>
        <w:ind w:hanging="360" w:left="1069"/>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7">
    <w:lvl w:ilvl="0">
      <w:isLgl w:val="false"/>
      <w:lvlJc w:val="left"/>
      <w:lvlText w:val="%1."/>
      <w:numFmt w:val="decimal"/>
      <w:pPr>
        <w:pBdr/>
        <w:tabs>
          <w:tab w:val="num" w:leader="none" w:pos="624"/>
        </w:tabs>
        <w:spacing/>
        <w:ind w:hanging="531" w:left="644"/>
      </w:pPr>
      <w:rPr/>
      <w:start w:val="9"/>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8">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9">
    <w:lvl w:ilvl="0">
      <w:isLgl w:val="false"/>
      <w:lvlJc w:val="left"/>
      <w:lvlText w:val="%1."/>
      <w:numFmt w:val="decimal"/>
      <w:pPr>
        <w:pBdr/>
        <w:tabs>
          <w:tab w:val="num" w:leader="none" w:pos="624"/>
        </w:tabs>
        <w:spacing/>
        <w:ind w:hanging="531" w:left="644"/>
      </w:pPr>
      <w:rPr/>
      <w:start w:val="9"/>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0">
    <w:lvl w:ilvl="0">
      <w:isLgl w:val="false"/>
      <w:lvlJc w:val="center"/>
      <w:lvlText w:val="%1."/>
      <w:numFmt w:val="decimal"/>
      <w:pPr>
        <w:pBdr/>
        <w:tabs>
          <w:tab w:val="num" w:leader="none" w:pos="0"/>
        </w:tabs>
        <w:spacing/>
        <w:ind w:firstLine="0" w:left="170"/>
      </w:pPr>
      <w:rPr>
        <w:rFonts w:ascii="Arial" w:hAnsi="Arial" w:cs="Arial"/>
      </w:rPr>
      <w:start w:val="1"/>
      <w:suff w:val="nothing"/>
    </w:lvl>
    <w:lvl w:ilvl="1">
      <w:isLgl w:val="false"/>
      <w:lvlJc w:val="left"/>
      <w:lvlText/>
      <w:numFmt w:val="decimal"/>
      <w:pPr>
        <w:pBdr/>
        <w:tabs>
          <w:tab w:val="num" w:leader="none" w:pos="0"/>
        </w:tabs>
        <w:spacing/>
        <w:ind w:firstLine="0" w:left="0"/>
      </w:pPr>
      <w:rPr/>
      <w:start w:val="1"/>
      <w:suff w:val="tab"/>
    </w:lvl>
    <w:lvl w:ilvl="2">
      <w:isLgl w:val="false"/>
      <w:lvlJc w:val="left"/>
      <w:lvlText/>
      <w:numFmt w:val="decimal"/>
      <w:pPr>
        <w:pBdr/>
        <w:tabs>
          <w:tab w:val="num" w:leader="none" w:pos="0"/>
        </w:tabs>
        <w:spacing/>
        <w:ind w:firstLine="0" w:left="0"/>
      </w:pPr>
      <w:rPr/>
      <w:start w:val="1"/>
      <w:suff w:val="tab"/>
    </w:lvl>
    <w:lvl w:ilvl="3">
      <w:isLgl w:val="false"/>
      <w:lvlJc w:val="left"/>
      <w:lvlText/>
      <w:numFmt w:val="decimal"/>
      <w:pPr>
        <w:pBdr/>
        <w:tabs>
          <w:tab w:val="num" w:leader="none" w:pos="0"/>
        </w:tabs>
        <w:spacing/>
        <w:ind w:firstLine="0" w:left="0"/>
      </w:pPr>
      <w:rPr/>
      <w:start w:val="1"/>
      <w:suff w:val="tab"/>
    </w:lvl>
    <w:lvl w:ilvl="4">
      <w:isLgl w:val="false"/>
      <w:lvlJc w:val="left"/>
      <w:lvlText/>
      <w:numFmt w:val="decimal"/>
      <w:pPr>
        <w:pBdr/>
        <w:tabs>
          <w:tab w:val="num" w:leader="none" w:pos="0"/>
        </w:tabs>
        <w:spacing/>
        <w:ind w:firstLine="0" w:left="0"/>
      </w:pPr>
      <w:rPr/>
      <w:start w:val="1"/>
      <w:suff w:val="tab"/>
    </w:lvl>
    <w:lvl w:ilvl="5">
      <w:isLgl w:val="false"/>
      <w:lvlJc w:val="left"/>
      <w:lvlText/>
      <w:numFmt w:val="decimal"/>
      <w:pPr>
        <w:pBdr/>
        <w:tabs>
          <w:tab w:val="num" w:leader="none" w:pos="0"/>
        </w:tabs>
        <w:spacing/>
        <w:ind w:firstLine="0" w:left="0"/>
      </w:pPr>
      <w:rPr/>
      <w:start w:val="1"/>
      <w:suff w:val="tab"/>
    </w:lvl>
    <w:lvl w:ilvl="6">
      <w:isLgl w:val="false"/>
      <w:lvlJc w:val="left"/>
      <w:lvlText/>
      <w:numFmt w:val="decimal"/>
      <w:pPr>
        <w:pBdr/>
        <w:tabs>
          <w:tab w:val="num" w:leader="none" w:pos="0"/>
        </w:tabs>
        <w:spacing/>
        <w:ind w:firstLine="0" w:left="0"/>
      </w:pPr>
      <w:rPr/>
      <w:start w:val="1"/>
      <w:suff w:val="tab"/>
    </w:lvl>
    <w:lvl w:ilvl="7">
      <w:isLgl w:val="false"/>
      <w:lvlJc w:val="left"/>
      <w:lvlText/>
      <w:numFmt w:val="decimal"/>
      <w:pPr>
        <w:pBdr/>
        <w:tabs>
          <w:tab w:val="num" w:leader="none" w:pos="0"/>
        </w:tabs>
        <w:spacing/>
        <w:ind w:firstLine="0" w:left="0"/>
      </w:pPr>
      <w:rPr/>
      <w:start w:val="1"/>
      <w:suff w:val="tab"/>
    </w:lvl>
    <w:lvl w:ilvl="8">
      <w:isLgl w:val="false"/>
      <w:lvlJc w:val="left"/>
      <w:lvlText/>
      <w:numFmt w:val="decimal"/>
      <w:pPr>
        <w:pBdr/>
        <w:tabs>
          <w:tab w:val="num" w:leader="none" w:pos="0"/>
        </w:tabs>
        <w:spacing/>
        <w:ind w:firstLine="0" w:left="0"/>
      </w:pPr>
      <w:rPr/>
      <w:start w:val="1"/>
      <w:suff w:val="tab"/>
    </w:lvl>
  </w:abstractNum>
  <w:abstractNum w:abstractNumId="11">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abstractNum w:abstractNumId="1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3">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4">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6">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DejaVu Sans" w:cs="DejaVu Sans"/>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Table Grid"/>
    <w:basedOn w:val="87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Table Grid Light"/>
    <w:basedOn w:val="8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1"/>
    <w:basedOn w:val="8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2"/>
    <w:basedOn w:val="87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3"/>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4"/>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5"/>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w:basedOn w:val="8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w:basedOn w:val="8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1"/>
    <w:basedOn w:val="8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2"/>
    <w:basedOn w:val="8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3"/>
    <w:basedOn w:val="8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4"/>
    <w:basedOn w:val="8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5"/>
    <w:basedOn w:val="8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6"/>
    <w:basedOn w:val="8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Accent 1"/>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2"/>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3"/>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4"/>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 Accent 5"/>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6"/>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1">
    <w:name w:val="Grid Table 6 Colorful - Accent 1"/>
    <w:basedOn w:val="8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103" w:themeColor="accent1" w:themeTint="80" w:themeShade="95"/>
      </w:rPr>
      <w:pPr>
        <w:pBdr/>
        <w:spacing/>
        <w:ind/>
      </w:pPr>
      <w:tblPr>
        <w:tblBorders/>
      </w:tblPr>
      <w:tcPr>
        <w:tcBorders/>
      </w:tcPr>
    </w:tblStylePr>
    <w:tblStylePr w:type="firstRow">
      <w:rPr>
        <w:b/>
        <w:color w:val="1cc103" w:themeColor="accent1" w:themeTint="80" w:themeShade="95"/>
      </w:rPr>
      <w:pPr>
        <w:pBdr/>
        <w:spacing/>
        <w:ind/>
      </w:pPr>
      <w:tblPr>
        <w:tblBorders/>
      </w:tblPr>
      <w:tcPr>
        <w:tcBorders>
          <w:bottom w:val="single" w:color="000000" w:themeColor="accent1" w:themeTint="80" w:sz="12" w:space="0"/>
        </w:tcBorders>
      </w:tcPr>
    </w:tblStylePr>
    <w:tblStylePr w:type="lastCol">
      <w:rPr>
        <w:b/>
        <w:color w:val="1cc103" w:themeColor="accent1" w:themeTint="80" w:themeShade="95"/>
      </w:rPr>
      <w:pPr>
        <w:pBdr/>
        <w:spacing/>
        <w:ind/>
      </w:pPr>
      <w:tblPr>
        <w:tblBorders/>
      </w:tblPr>
      <w:tcPr>
        <w:tcBorders/>
      </w:tcPr>
    </w:tblStylePr>
    <w:tblStylePr w:type="lastRow">
      <w:rPr>
        <w:b/>
        <w:color w:val="1cc10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2">
    <w:name w:val="Grid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471af" w:themeColor="accent2" w:themeTint="97" w:themeShade="95"/>
      </w:rPr>
      <w:pPr>
        <w:pBdr/>
        <w:spacing/>
        <w:ind/>
      </w:pPr>
      <w:tblPr>
        <w:tblBorders/>
      </w:tblPr>
      <w:tcPr>
        <w:tcBorders/>
      </w:tcPr>
    </w:tblStylePr>
    <w:tblStylePr w:type="firstRow">
      <w:rPr>
        <w:b/>
        <w:color w:val="0471af" w:themeColor="accent2" w:themeTint="97" w:themeShade="95"/>
      </w:rPr>
      <w:pPr>
        <w:pBdr/>
        <w:spacing/>
        <w:ind/>
      </w:pPr>
      <w:tblPr>
        <w:tblBorders/>
      </w:tblPr>
      <w:tcPr>
        <w:tcBorders>
          <w:bottom w:val="single" w:color="000000" w:themeColor="accent2" w:themeTint="97" w:sz="12" w:space="0"/>
        </w:tcBorders>
      </w:tcPr>
    </w:tblStylePr>
    <w:tblStylePr w:type="lastCol">
      <w:rPr>
        <w:b/>
        <w:color w:val="0471af" w:themeColor="accent2" w:themeTint="97" w:themeShade="95"/>
      </w:rPr>
      <w:pPr>
        <w:pBdr/>
        <w:spacing/>
        <w:ind/>
      </w:pPr>
      <w:tblPr>
        <w:tblBorders/>
      </w:tblPr>
      <w:tcPr>
        <w:tcBorders/>
      </w:tcPr>
    </w:tblStylePr>
    <w:tblStylePr w:type="lastRow">
      <w:rPr>
        <w:b/>
        <w:color w:val="0471af"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3">
    <w:name w:val="Grid Table 6 Colorful - Accent 3"/>
    <w:basedOn w:val="8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4">
    <w:name w:val="Grid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5">
    <w:name w:val="Grid Table 6 Colorful - Accent 5"/>
    <w:basedOn w:val="8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6">
    <w:name w:val="Grid Table 6 Colorful - Accent 6"/>
    <w:basedOn w:val="8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7 Colorful"/>
    <w:basedOn w:val="8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1"/>
    <w:basedOn w:val="8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103"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10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10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103"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10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10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471af"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471af"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471af"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471af"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471af"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5"/>
    <w:basedOn w:val="8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6"/>
    <w:basedOn w:val="8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1"/>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2"/>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3"/>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4"/>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5"/>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6"/>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w:basedOn w:val="8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1"/>
    <w:basedOn w:val="8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2"/>
    <w:basedOn w:val="8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3"/>
    <w:basedOn w:val="8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4"/>
    <w:basedOn w:val="8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5"/>
    <w:basedOn w:val="8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6"/>
    <w:basedOn w:val="8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1"/>
    <w:basedOn w:val="8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3"/>
    <w:basedOn w:val="8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5"/>
    <w:basedOn w:val="8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6"/>
    <w:basedOn w:val="8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1"/>
    <w:basedOn w:val="8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2"/>
    <w:basedOn w:val="8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3"/>
    <w:basedOn w:val="8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4"/>
    <w:basedOn w:val="8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5"/>
    <w:basedOn w:val="8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6"/>
    <w:basedOn w:val="8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w:basedOn w:val="8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3">
    <w:name w:val="List Table 5 Dark - Accent 1"/>
    <w:basedOn w:val="8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2"/>
    <w:basedOn w:val="8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3"/>
    <w:basedOn w:val="8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4"/>
    <w:basedOn w:val="8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5"/>
    <w:basedOn w:val="8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6"/>
    <w:basedOn w:val="8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1"/>
    <w:basedOn w:val="8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471af" w:themeColor="accent2" w:themeTint="97" w:themeShade="95"/>
      </w:rPr>
      <w:pPr>
        <w:pBdr/>
        <w:spacing/>
        <w:ind/>
      </w:pPr>
      <w:tblPr>
        <w:tblBorders/>
      </w:tblPr>
      <w:tcPr>
        <w:tcBorders/>
      </w:tcPr>
    </w:tblStylePr>
    <w:tblStylePr w:type="firstRow">
      <w:rPr>
        <w:b/>
        <w:color w:val="0471af" w:themeColor="accent2" w:themeTint="97" w:themeShade="95"/>
      </w:rPr>
      <w:pPr>
        <w:pBdr/>
        <w:spacing/>
        <w:ind/>
      </w:pPr>
      <w:tblPr>
        <w:tblBorders/>
      </w:tblPr>
      <w:tcPr>
        <w:tcBorders>
          <w:bottom w:val="single" w:color="000000" w:themeColor="accent2" w:themeTint="97" w:sz="4" w:space="0"/>
        </w:tcBorders>
      </w:tcPr>
    </w:tblStylePr>
    <w:tblStylePr w:type="lastCol">
      <w:rPr>
        <w:b/>
        <w:color w:val="0471af" w:themeColor="accent2" w:themeTint="97" w:themeShade="95"/>
      </w:rPr>
      <w:pPr>
        <w:pBdr/>
        <w:spacing/>
        <w:ind/>
      </w:pPr>
      <w:tblPr>
        <w:tblBorders/>
      </w:tblPr>
      <w:tcPr>
        <w:tcBorders/>
      </w:tcPr>
    </w:tblStylePr>
    <w:tblStylePr w:type="lastRow">
      <w:rPr>
        <w:b/>
        <w:color w:val="0471af"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3"/>
    <w:basedOn w:val="8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5"/>
    <w:basedOn w:val="8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200" w:themeColor="accent5" w:themeTint="9A" w:themeShade="95"/>
      </w:rPr>
      <w:pPr>
        <w:pBdr/>
        <w:spacing/>
        <w:ind/>
      </w:pPr>
      <w:tblPr>
        <w:tblBorders/>
      </w:tblPr>
      <w:tcPr>
        <w:tcBorders/>
      </w:tcPr>
    </w:tblStylePr>
    <w:tblStylePr w:type="firstRow">
      <w:rPr>
        <w:b/>
        <w:color w:val="bd92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200" w:themeColor="accent5" w:themeTint="9A" w:themeShade="95"/>
      </w:rPr>
      <w:pPr>
        <w:pBdr/>
        <w:spacing/>
        <w:ind/>
      </w:pPr>
      <w:tblPr>
        <w:tblBorders/>
      </w:tblPr>
      <w:tcPr>
        <w:tcBorders/>
      </w:tcPr>
    </w:tblStylePr>
    <w:tblStylePr w:type="lastRow">
      <w:rPr>
        <w:b/>
        <w:color w:val="bd92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6"/>
    <w:basedOn w:val="8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e1d1a" w:themeColor="accent6" w:themeTint="98" w:themeShade="95"/>
      </w:rPr>
      <w:pPr>
        <w:pBdr/>
        <w:spacing/>
        <w:ind/>
      </w:pPr>
      <w:tblPr>
        <w:tblBorders/>
      </w:tblPr>
      <w:tcPr>
        <w:tcBorders/>
      </w:tcPr>
    </w:tblStylePr>
    <w:tblStylePr w:type="firstRow">
      <w:rPr>
        <w:b/>
        <w:color w:val="ae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e1d1a" w:themeColor="accent6" w:themeTint="98" w:themeShade="95"/>
      </w:rPr>
      <w:pPr>
        <w:pBdr/>
        <w:spacing/>
        <w:ind/>
      </w:pPr>
      <w:tblPr>
        <w:tblBorders/>
      </w:tblPr>
      <w:tcPr>
        <w:tcBorders/>
      </w:tcPr>
    </w:tblStylePr>
    <w:tblStylePr w:type="lastRow">
      <w:rPr>
        <w:b/>
        <w:color w:val="ae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7 Colorful"/>
    <w:basedOn w:val="8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7">
    <w:name w:val="List Table 7 Colorful - Accent 1"/>
    <w:basedOn w:val="8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978">
    <w:name w:val="List Table 7 Colorful - Accent 2"/>
    <w:basedOn w:val="8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471af"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471af"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471af"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471af"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471af"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471af" w:themeColor="accent2" w:themeTint="97" w:themeShade="95"/>
        <w:sz w:val="22"/>
      </w:rPr>
      <w:pPr>
        <w:pBdr/>
        <w:spacing/>
        <w:ind/>
      </w:pPr>
      <w:tblPr>
        <w:tblBorders/>
      </w:tblPr>
      <w:tcPr>
        <w:tcBorders/>
      </w:tcPr>
    </w:tblStylePr>
  </w:style>
  <w:style w:type="table" w:styleId="979">
    <w:name w:val="List Table 7 Colorful - Accent 3"/>
    <w:basedOn w:val="8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980">
    <w:name w:val="List Table 7 Colorful - Accent 4"/>
    <w:basedOn w:val="8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981">
    <w:name w:val="List Table 7 Colorful - Accent 5"/>
    <w:basedOn w:val="8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2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2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2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2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2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2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200" w:themeColor="accent5" w:themeTint="9A" w:themeShade="95"/>
        <w:sz w:val="22"/>
      </w:rPr>
      <w:pPr>
        <w:pBdr/>
        <w:spacing/>
        <w:ind/>
      </w:pPr>
      <w:tblPr>
        <w:tblBorders/>
      </w:tblPr>
      <w:tcPr>
        <w:tcBorders/>
      </w:tcPr>
    </w:tblStylePr>
  </w:style>
  <w:style w:type="table" w:styleId="982">
    <w:name w:val="List Table 7 Colorful - Accent 6"/>
    <w:basedOn w:val="8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e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e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e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e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e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e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e1d1a" w:themeColor="accent6" w:themeTint="98" w:themeShade="95"/>
        <w:sz w:val="22"/>
      </w:rPr>
      <w:pPr>
        <w:pBdr/>
        <w:spacing/>
        <w:ind/>
      </w:pPr>
      <w:tblPr>
        <w:tblBorders/>
      </w:tblPr>
      <w:tcPr>
        <w:tcBorders/>
      </w:tcPr>
    </w:tblStylePr>
  </w:style>
  <w:style w:type="table" w:styleId="983">
    <w:name w:val="Lined - Accent"/>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1"/>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2"/>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3"/>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4"/>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5"/>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6"/>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w:basedOn w:val="8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1"/>
    <w:basedOn w:val="8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2"/>
    <w:basedOn w:val="8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3"/>
    <w:basedOn w:val="8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4"/>
    <w:basedOn w:val="8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5"/>
    <w:basedOn w:val="8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6"/>
    <w:basedOn w:val="8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w:basedOn w:val="8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4" w:default="1">
    <w:name w:val="Default Paragraph Font"/>
    <w:uiPriority w:val="1"/>
    <w:semiHidden/>
    <w:unhideWhenUsed/>
    <w:pPr>
      <w:pBdr/>
      <w:spacing/>
      <w:ind/>
    </w:pPr>
  </w:style>
  <w:style w:type="numbering" w:styleId="1005" w:default="1">
    <w:name w:val="No List"/>
    <w:uiPriority w:val="99"/>
    <w:semiHidden/>
    <w:unhideWhenUsed/>
    <w:pPr>
      <w:pBdr/>
      <w:spacing/>
      <w:ind/>
    </w:pPr>
  </w:style>
  <w:style w:type="character" w:styleId="1006">
    <w:name w:val="Heading 1 Char"/>
    <w:basedOn w:val="1004"/>
    <w:link w:val="1039"/>
    <w:uiPriority w:val="9"/>
    <w:pPr>
      <w:pBdr/>
      <w:spacing/>
      <w:ind/>
    </w:pPr>
    <w:rPr>
      <w:rFonts w:ascii="Arial" w:hAnsi="Arial" w:eastAsia="Arial" w:cs="Arial"/>
      <w:color w:val="0f4761" w:themeColor="accent1" w:themeShade="BF"/>
      <w:sz w:val="40"/>
      <w:szCs w:val="40"/>
    </w:rPr>
  </w:style>
  <w:style w:type="character" w:styleId="1007">
    <w:name w:val="Heading 2 Char"/>
    <w:basedOn w:val="1004"/>
    <w:link w:val="1040"/>
    <w:uiPriority w:val="9"/>
    <w:pPr>
      <w:pBdr/>
      <w:spacing/>
      <w:ind/>
    </w:pPr>
    <w:rPr>
      <w:rFonts w:ascii="Arial" w:hAnsi="Arial" w:eastAsia="Arial" w:cs="Arial"/>
      <w:color w:val="0f4761" w:themeColor="accent1" w:themeShade="BF"/>
      <w:sz w:val="32"/>
      <w:szCs w:val="32"/>
    </w:rPr>
  </w:style>
  <w:style w:type="character" w:styleId="1008">
    <w:name w:val="Heading 3 Char"/>
    <w:basedOn w:val="1004"/>
    <w:link w:val="1041"/>
    <w:uiPriority w:val="9"/>
    <w:pPr>
      <w:pBdr/>
      <w:spacing/>
      <w:ind/>
    </w:pPr>
    <w:rPr>
      <w:rFonts w:ascii="Arial" w:hAnsi="Arial" w:eastAsia="Arial" w:cs="Arial"/>
      <w:color w:val="0f4761" w:themeColor="accent1" w:themeShade="BF"/>
      <w:sz w:val="28"/>
      <w:szCs w:val="28"/>
    </w:rPr>
  </w:style>
  <w:style w:type="character" w:styleId="1009">
    <w:name w:val="Heading 4 Char"/>
    <w:basedOn w:val="1004"/>
    <w:link w:val="1042"/>
    <w:uiPriority w:val="9"/>
    <w:pPr>
      <w:pBdr/>
      <w:spacing/>
      <w:ind/>
    </w:pPr>
    <w:rPr>
      <w:rFonts w:ascii="Arial" w:hAnsi="Arial" w:eastAsia="Arial" w:cs="Arial"/>
      <w:i/>
      <w:iCs/>
      <w:color w:val="0f4761" w:themeColor="accent1" w:themeShade="BF"/>
    </w:rPr>
  </w:style>
  <w:style w:type="character" w:styleId="1010">
    <w:name w:val="Heading 5 Char"/>
    <w:basedOn w:val="1004"/>
    <w:link w:val="1043"/>
    <w:uiPriority w:val="9"/>
    <w:pPr>
      <w:pBdr/>
      <w:spacing/>
      <w:ind/>
    </w:pPr>
    <w:rPr>
      <w:rFonts w:ascii="Arial" w:hAnsi="Arial" w:eastAsia="Arial" w:cs="Arial"/>
      <w:color w:val="0f4761" w:themeColor="accent1" w:themeShade="BF"/>
    </w:rPr>
  </w:style>
  <w:style w:type="character" w:styleId="1011">
    <w:name w:val="Heading 6 Char"/>
    <w:basedOn w:val="1004"/>
    <w:link w:val="1044"/>
    <w:uiPriority w:val="9"/>
    <w:pPr>
      <w:pBdr/>
      <w:spacing/>
      <w:ind/>
    </w:pPr>
    <w:rPr>
      <w:rFonts w:ascii="Arial" w:hAnsi="Arial" w:eastAsia="Arial" w:cs="Arial"/>
      <w:i/>
      <w:iCs/>
      <w:color w:val="595959" w:themeColor="text1" w:themeTint="A6"/>
    </w:rPr>
  </w:style>
  <w:style w:type="character" w:styleId="1012">
    <w:name w:val="Heading 7 Char"/>
    <w:basedOn w:val="1004"/>
    <w:link w:val="1045"/>
    <w:uiPriority w:val="9"/>
    <w:pPr>
      <w:pBdr/>
      <w:spacing/>
      <w:ind/>
    </w:pPr>
    <w:rPr>
      <w:rFonts w:ascii="Arial" w:hAnsi="Arial" w:eastAsia="Arial" w:cs="Arial"/>
      <w:color w:val="595959" w:themeColor="text1" w:themeTint="A6"/>
    </w:rPr>
  </w:style>
  <w:style w:type="character" w:styleId="1013">
    <w:name w:val="Heading 8 Char"/>
    <w:basedOn w:val="1004"/>
    <w:link w:val="1046"/>
    <w:uiPriority w:val="9"/>
    <w:pPr>
      <w:pBdr/>
      <w:spacing/>
      <w:ind/>
    </w:pPr>
    <w:rPr>
      <w:rFonts w:ascii="Arial" w:hAnsi="Arial" w:eastAsia="Arial" w:cs="Arial"/>
      <w:i/>
      <w:iCs/>
      <w:color w:val="272727" w:themeColor="text1" w:themeTint="D8"/>
    </w:rPr>
  </w:style>
  <w:style w:type="character" w:styleId="1014">
    <w:name w:val="Heading 9 Char"/>
    <w:basedOn w:val="1004"/>
    <w:link w:val="1047"/>
    <w:uiPriority w:val="9"/>
    <w:pPr>
      <w:pBdr/>
      <w:spacing/>
      <w:ind/>
    </w:pPr>
    <w:rPr>
      <w:rFonts w:ascii="Arial" w:hAnsi="Arial" w:eastAsia="Arial" w:cs="Arial"/>
      <w:i/>
      <w:iCs/>
      <w:color w:val="272727" w:themeColor="text1" w:themeTint="D8"/>
    </w:rPr>
  </w:style>
  <w:style w:type="paragraph" w:styleId="1015">
    <w:name w:val="Title"/>
    <w:basedOn w:val="1038"/>
    <w:next w:val="1038"/>
    <w:link w:val="1016"/>
    <w:uiPriority w:val="10"/>
    <w:qFormat/>
    <w:pPr>
      <w:pBdr/>
      <w:spacing w:after="80" w:line="240" w:lineRule="auto"/>
      <w:ind/>
      <w:contextualSpacing w:val="true"/>
    </w:pPr>
    <w:rPr>
      <w:rFonts w:ascii="Arial" w:hAnsi="Arial" w:eastAsia="Arial" w:cs="Arial"/>
      <w:spacing w:val="-10"/>
      <w:sz w:val="56"/>
      <w:szCs w:val="56"/>
    </w:rPr>
  </w:style>
  <w:style w:type="character" w:styleId="1016">
    <w:name w:val="Title Char"/>
    <w:basedOn w:val="1004"/>
    <w:link w:val="1015"/>
    <w:uiPriority w:val="10"/>
    <w:pPr>
      <w:pBdr/>
      <w:spacing/>
      <w:ind/>
    </w:pPr>
    <w:rPr>
      <w:rFonts w:ascii="Arial" w:hAnsi="Arial" w:eastAsia="Arial" w:cs="Arial"/>
      <w:spacing w:val="-10"/>
      <w:sz w:val="56"/>
      <w:szCs w:val="56"/>
    </w:rPr>
  </w:style>
  <w:style w:type="character" w:styleId="1017">
    <w:name w:val="Subtitle Char"/>
    <w:basedOn w:val="1004"/>
    <w:link w:val="1154"/>
    <w:uiPriority w:val="11"/>
    <w:pPr>
      <w:pBdr/>
      <w:spacing/>
      <w:ind/>
    </w:pPr>
    <w:rPr>
      <w:color w:val="595959" w:themeColor="text1" w:themeTint="A6"/>
      <w:spacing w:val="15"/>
      <w:sz w:val="28"/>
      <w:szCs w:val="28"/>
    </w:rPr>
  </w:style>
  <w:style w:type="paragraph" w:styleId="1018">
    <w:name w:val="Quote"/>
    <w:basedOn w:val="1038"/>
    <w:next w:val="1038"/>
    <w:link w:val="1019"/>
    <w:uiPriority w:val="29"/>
    <w:qFormat/>
    <w:pPr>
      <w:pBdr/>
      <w:spacing w:before="160"/>
      <w:ind/>
      <w:jc w:val="center"/>
    </w:pPr>
    <w:rPr>
      <w:i/>
      <w:iCs/>
      <w:color w:val="404040" w:themeColor="text1" w:themeTint="BF"/>
    </w:rPr>
  </w:style>
  <w:style w:type="character" w:styleId="1019">
    <w:name w:val="Quote Char"/>
    <w:basedOn w:val="1004"/>
    <w:link w:val="1018"/>
    <w:uiPriority w:val="29"/>
    <w:pPr>
      <w:pBdr/>
      <w:spacing/>
      <w:ind/>
    </w:pPr>
    <w:rPr>
      <w:i/>
      <w:iCs/>
      <w:color w:val="404040" w:themeColor="text1" w:themeTint="BF"/>
    </w:rPr>
  </w:style>
  <w:style w:type="paragraph" w:styleId="1020">
    <w:name w:val="List Paragraph"/>
    <w:basedOn w:val="1038"/>
    <w:uiPriority w:val="34"/>
    <w:qFormat/>
    <w:pPr>
      <w:pBdr/>
      <w:spacing/>
      <w:ind w:left="720"/>
      <w:contextualSpacing w:val="true"/>
    </w:pPr>
  </w:style>
  <w:style w:type="character" w:styleId="1021">
    <w:name w:val="Intense Emphasis"/>
    <w:basedOn w:val="1004"/>
    <w:uiPriority w:val="21"/>
    <w:qFormat/>
    <w:pPr>
      <w:pBdr/>
      <w:spacing/>
      <w:ind/>
    </w:pPr>
    <w:rPr>
      <w:i/>
      <w:iCs/>
      <w:color w:val="0f4761" w:themeColor="accent1" w:themeShade="BF"/>
    </w:rPr>
  </w:style>
  <w:style w:type="paragraph" w:styleId="1022">
    <w:name w:val="Intense Quote"/>
    <w:basedOn w:val="1038"/>
    <w:next w:val="1038"/>
    <w:link w:val="102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3">
    <w:name w:val="Intense Quote Char"/>
    <w:basedOn w:val="1004"/>
    <w:link w:val="1022"/>
    <w:uiPriority w:val="30"/>
    <w:pPr>
      <w:pBdr/>
      <w:spacing/>
      <w:ind/>
    </w:pPr>
    <w:rPr>
      <w:i/>
      <w:iCs/>
      <w:color w:val="0f4761" w:themeColor="accent1" w:themeShade="BF"/>
    </w:rPr>
  </w:style>
  <w:style w:type="character" w:styleId="1024">
    <w:name w:val="Intense Reference"/>
    <w:basedOn w:val="1004"/>
    <w:uiPriority w:val="32"/>
    <w:qFormat/>
    <w:pPr>
      <w:pBdr/>
      <w:spacing/>
      <w:ind/>
    </w:pPr>
    <w:rPr>
      <w:b/>
      <w:bCs/>
      <w:smallCaps/>
      <w:color w:val="0f4761" w:themeColor="accent1" w:themeShade="BF"/>
      <w:spacing w:val="5"/>
    </w:rPr>
  </w:style>
  <w:style w:type="paragraph" w:styleId="1025">
    <w:name w:val="No Spacing"/>
    <w:basedOn w:val="1038"/>
    <w:uiPriority w:val="1"/>
    <w:qFormat/>
    <w:pPr>
      <w:pBdr/>
      <w:spacing w:after="0" w:line="240" w:lineRule="auto"/>
      <w:ind/>
    </w:pPr>
  </w:style>
  <w:style w:type="character" w:styleId="1026">
    <w:name w:val="Subtle Emphasis"/>
    <w:basedOn w:val="1004"/>
    <w:uiPriority w:val="19"/>
    <w:qFormat/>
    <w:pPr>
      <w:pBdr/>
      <w:spacing/>
      <w:ind/>
    </w:pPr>
    <w:rPr>
      <w:i/>
      <w:iCs/>
      <w:color w:val="404040" w:themeColor="text1" w:themeTint="BF"/>
    </w:rPr>
  </w:style>
  <w:style w:type="character" w:styleId="1027">
    <w:name w:val="Subtle Reference"/>
    <w:basedOn w:val="1004"/>
    <w:uiPriority w:val="31"/>
    <w:qFormat/>
    <w:pPr>
      <w:pBdr/>
      <w:spacing/>
      <w:ind/>
    </w:pPr>
    <w:rPr>
      <w:smallCaps/>
      <w:color w:val="5a5a5a" w:themeColor="text1" w:themeTint="A5"/>
    </w:rPr>
  </w:style>
  <w:style w:type="character" w:styleId="1028">
    <w:name w:val="Book Title"/>
    <w:basedOn w:val="1004"/>
    <w:uiPriority w:val="33"/>
    <w:qFormat/>
    <w:pPr>
      <w:pBdr/>
      <w:spacing/>
      <w:ind/>
    </w:pPr>
    <w:rPr>
      <w:b/>
      <w:bCs/>
      <w:i/>
      <w:iCs/>
      <w:spacing w:val="5"/>
    </w:rPr>
  </w:style>
  <w:style w:type="character" w:styleId="1029">
    <w:name w:val="Header Char"/>
    <w:basedOn w:val="1004"/>
    <w:link w:val="1146"/>
    <w:uiPriority w:val="99"/>
    <w:pPr>
      <w:pBdr/>
      <w:spacing/>
      <w:ind/>
    </w:pPr>
  </w:style>
  <w:style w:type="character" w:styleId="1030">
    <w:name w:val="Footer Char"/>
    <w:basedOn w:val="1004"/>
    <w:link w:val="1152"/>
    <w:uiPriority w:val="99"/>
    <w:pPr>
      <w:pBdr/>
      <w:spacing/>
      <w:ind/>
    </w:pPr>
  </w:style>
  <w:style w:type="character" w:styleId="1031">
    <w:name w:val="Footnote Text Char"/>
    <w:basedOn w:val="1004"/>
    <w:link w:val="1178"/>
    <w:uiPriority w:val="99"/>
    <w:semiHidden/>
    <w:pPr>
      <w:pBdr/>
      <w:spacing/>
      <w:ind/>
    </w:pPr>
    <w:rPr>
      <w:sz w:val="20"/>
      <w:szCs w:val="20"/>
    </w:rPr>
  </w:style>
  <w:style w:type="character" w:styleId="1032">
    <w:name w:val="footnote reference"/>
    <w:basedOn w:val="1004"/>
    <w:uiPriority w:val="99"/>
    <w:semiHidden/>
    <w:unhideWhenUsed/>
    <w:pPr>
      <w:pBdr/>
      <w:spacing/>
      <w:ind/>
    </w:pPr>
    <w:rPr>
      <w:vertAlign w:val="superscript"/>
    </w:rPr>
  </w:style>
  <w:style w:type="paragraph" w:styleId="1033">
    <w:name w:val="endnote text"/>
    <w:basedOn w:val="1038"/>
    <w:link w:val="1034"/>
    <w:uiPriority w:val="99"/>
    <w:semiHidden/>
    <w:unhideWhenUsed/>
    <w:pPr>
      <w:pBdr/>
      <w:spacing w:after="0" w:line="240" w:lineRule="auto"/>
      <w:ind/>
    </w:pPr>
    <w:rPr>
      <w:sz w:val="20"/>
      <w:szCs w:val="20"/>
    </w:rPr>
  </w:style>
  <w:style w:type="character" w:styleId="1034">
    <w:name w:val="Endnote Text Char"/>
    <w:basedOn w:val="1004"/>
    <w:link w:val="1033"/>
    <w:uiPriority w:val="99"/>
    <w:semiHidden/>
    <w:pPr>
      <w:pBdr/>
      <w:spacing/>
      <w:ind/>
    </w:pPr>
    <w:rPr>
      <w:sz w:val="20"/>
      <w:szCs w:val="20"/>
    </w:rPr>
  </w:style>
  <w:style w:type="character" w:styleId="1035">
    <w:name w:val="endnote reference"/>
    <w:basedOn w:val="1004"/>
    <w:uiPriority w:val="99"/>
    <w:semiHidden/>
    <w:unhideWhenUsed/>
    <w:pPr>
      <w:pBdr/>
      <w:spacing/>
      <w:ind/>
    </w:pPr>
    <w:rPr>
      <w:vertAlign w:val="superscript"/>
    </w:rPr>
  </w:style>
  <w:style w:type="paragraph" w:styleId="1036">
    <w:name w:val="TOC Heading"/>
    <w:uiPriority w:val="39"/>
    <w:unhideWhenUsed/>
    <w:pPr>
      <w:pBdr/>
      <w:spacing/>
      <w:ind/>
    </w:pPr>
  </w:style>
  <w:style w:type="paragraph" w:styleId="1037">
    <w:name w:val="table of figures"/>
    <w:basedOn w:val="1038"/>
    <w:next w:val="1038"/>
    <w:uiPriority w:val="99"/>
    <w:unhideWhenUsed/>
    <w:pPr>
      <w:pBdr/>
      <w:spacing w:after="0" w:afterAutospacing="0"/>
      <w:ind/>
    </w:pPr>
  </w:style>
  <w:style w:type="paragraph" w:styleId="1038" w:default="1">
    <w:name w:val="Normal"/>
    <w:qFormat/>
    <w:pPr>
      <w:widowControl w:val="true"/>
      <w:pBdr/>
      <w:bidi w:val="false"/>
      <w:spacing w:after="0" w:before="0"/>
      <w:ind/>
      <w:jc w:val="left"/>
    </w:pPr>
    <w:rPr>
      <w:rFonts w:ascii="Times New Roman" w:hAnsi="Times New Roman" w:eastAsia="Times New Roman" w:cs="Times New Roman"/>
      <w:color w:val="auto"/>
      <w:sz w:val="20"/>
      <w:szCs w:val="20"/>
      <w:lang w:val="ru-RU" w:eastAsia="zh-CN" w:bidi="ar-SA"/>
    </w:rPr>
  </w:style>
  <w:style w:type="paragraph" w:styleId="1039">
    <w:name w:val="Heading 1"/>
    <w:basedOn w:val="1038"/>
    <w:next w:val="1038"/>
    <w:qFormat/>
    <w:pPr>
      <w:keepNext w:val="true"/>
      <w:numPr>
        <w:ilvl w:val="0"/>
        <w:numId w:val="1"/>
      </w:numPr>
      <w:pBdr/>
      <w:spacing w:after="60" w:before="240"/>
      <w:ind/>
      <w:outlineLvl w:val="0"/>
    </w:pPr>
    <w:rPr>
      <w:rFonts w:ascii="Arial" w:hAnsi="Arial" w:cs="Arial"/>
      <w:b/>
      <w:bCs/>
      <w:sz w:val="32"/>
      <w:szCs w:val="32"/>
    </w:rPr>
  </w:style>
  <w:style w:type="paragraph" w:styleId="1040">
    <w:name w:val="Heading 2"/>
    <w:basedOn w:val="1038"/>
    <w:next w:val="1038"/>
    <w:qFormat/>
    <w:pPr>
      <w:keepNext w:val="true"/>
      <w:numPr>
        <w:ilvl w:val="1"/>
        <w:numId w:val="1"/>
      </w:numPr>
      <w:pBdr/>
      <w:spacing/>
      <w:ind/>
      <w:outlineLvl w:val="1"/>
    </w:pPr>
    <w:rPr>
      <w:sz w:val="24"/>
      <w:szCs w:val="24"/>
    </w:rPr>
  </w:style>
  <w:style w:type="paragraph" w:styleId="1041">
    <w:name w:val="Heading 3"/>
    <w:basedOn w:val="1038"/>
    <w:next w:val="1038"/>
    <w:qFormat/>
    <w:pPr>
      <w:keepNext w:val="true"/>
      <w:numPr>
        <w:ilvl w:val="2"/>
        <w:numId w:val="1"/>
      </w:numPr>
      <w:pBdr/>
      <w:spacing/>
      <w:ind/>
      <w:outlineLvl w:val="2"/>
    </w:pPr>
    <w:rPr>
      <w:b/>
      <w:bCs/>
      <w:sz w:val="24"/>
      <w:szCs w:val="24"/>
    </w:rPr>
  </w:style>
  <w:style w:type="paragraph" w:styleId="1042">
    <w:name w:val="Heading 4"/>
    <w:basedOn w:val="1038"/>
    <w:next w:val="1038"/>
    <w:qFormat/>
    <w:pPr>
      <w:keepNext w:val="true"/>
      <w:numPr>
        <w:ilvl w:val="3"/>
        <w:numId w:val="1"/>
      </w:numPr>
      <w:pBdr/>
      <w:spacing/>
      <w:ind w:right="0" w:firstLine="567" w:left="0"/>
      <w:jc w:val="center"/>
      <w:outlineLvl w:val="3"/>
    </w:pPr>
    <w:rPr>
      <w:b/>
      <w:bCs/>
      <w:sz w:val="24"/>
      <w:szCs w:val="24"/>
      <w:lang w:val="en-US"/>
    </w:rPr>
  </w:style>
  <w:style w:type="paragraph" w:styleId="1043">
    <w:name w:val="Heading 5"/>
    <w:basedOn w:val="1038"/>
    <w:next w:val="1038"/>
    <w:qFormat/>
    <w:pPr>
      <w:keepNext w:val="true"/>
      <w:numPr>
        <w:ilvl w:val="4"/>
        <w:numId w:val="1"/>
      </w:numPr>
      <w:pBdr/>
      <w:spacing/>
      <w:ind/>
      <w:outlineLvl w:val="4"/>
    </w:pPr>
    <w:rPr>
      <w:i/>
      <w:iCs/>
      <w:sz w:val="24"/>
      <w:szCs w:val="24"/>
    </w:rPr>
  </w:style>
  <w:style w:type="paragraph" w:styleId="1044">
    <w:name w:val="Heading 6"/>
    <w:basedOn w:val="1038"/>
    <w:next w:val="1038"/>
    <w:qFormat/>
    <w:pPr>
      <w:keepNext w:val="true"/>
      <w:numPr>
        <w:ilvl w:val="5"/>
        <w:numId w:val="1"/>
      </w:numPr>
      <w:pBdr/>
      <w:spacing/>
      <w:ind/>
      <w:jc w:val="center"/>
      <w:outlineLvl w:val="5"/>
    </w:pPr>
    <w:rPr>
      <w:i/>
      <w:iCs/>
      <w:sz w:val="24"/>
      <w:szCs w:val="24"/>
    </w:rPr>
  </w:style>
  <w:style w:type="paragraph" w:styleId="1045">
    <w:name w:val="Heading 7"/>
    <w:basedOn w:val="1038"/>
    <w:next w:val="1038"/>
    <w:qFormat/>
    <w:pPr>
      <w:keepNext w:val="true"/>
      <w:numPr>
        <w:ilvl w:val="6"/>
        <w:numId w:val="1"/>
      </w:numPr>
      <w:pBdr>
        <w:top w:val="single" w:color="000000" w:sz="4" w:space="1"/>
        <w:left w:val="single" w:color="000000" w:sz="4" w:space="4"/>
        <w:bottom w:val="single" w:color="000000" w:sz="4" w:space="1"/>
        <w:right w:val="single" w:color="000000" w:sz="4" w:space="4"/>
      </w:pBdr>
      <w:spacing/>
      <w:ind/>
      <w:outlineLvl w:val="6"/>
    </w:pPr>
    <w:rPr>
      <w:b/>
      <w:bCs/>
      <w:sz w:val="24"/>
      <w:szCs w:val="24"/>
    </w:rPr>
  </w:style>
  <w:style w:type="paragraph" w:styleId="1046">
    <w:name w:val="Heading 8"/>
    <w:basedOn w:val="1038"/>
    <w:next w:val="1038"/>
    <w:qFormat/>
    <w:pPr>
      <w:keepNext w:val="true"/>
      <w:numPr>
        <w:ilvl w:val="7"/>
        <w:numId w:val="1"/>
      </w:numPr>
      <w:pBdr/>
      <w:tabs>
        <w:tab w:val="left" w:leader="none" w:pos="360"/>
        <w:tab w:val="clear" w:leader="none" w:pos="709"/>
      </w:tabs>
      <w:spacing/>
      <w:ind/>
      <w:outlineLvl w:val="7"/>
    </w:pPr>
    <w:rPr>
      <w:color w:val="000000"/>
      <w:sz w:val="24"/>
      <w:szCs w:val="24"/>
    </w:rPr>
  </w:style>
  <w:style w:type="paragraph" w:styleId="1047">
    <w:name w:val="Heading 9"/>
    <w:basedOn w:val="1038"/>
    <w:next w:val="1038"/>
    <w:qFormat/>
    <w:pPr>
      <w:keepNext w:val="true"/>
      <w:numPr>
        <w:ilvl w:val="8"/>
        <w:numId w:val="1"/>
      </w:numPr>
      <w:pBdr/>
      <w:spacing/>
      <w:ind/>
      <w:outlineLvl w:val="8"/>
    </w:pPr>
    <w:rPr>
      <w:sz w:val="28"/>
      <w:szCs w:val="28"/>
    </w:rPr>
  </w:style>
  <w:style w:type="character" w:styleId="1048">
    <w:name w:val="WW8Num1z0"/>
    <w:qFormat/>
    <w:pPr>
      <w:pBdr/>
      <w:spacing/>
      <w:ind/>
    </w:pPr>
    <w:rPr>
      <w:rFonts w:ascii="Symbol" w:hAnsi="Symbol" w:cs="Symbol"/>
    </w:rPr>
  </w:style>
  <w:style w:type="character" w:styleId="1049">
    <w:name w:val="WW8Num4z0"/>
    <w:qFormat/>
    <w:pPr>
      <w:pBdr/>
      <w:spacing/>
      <w:ind/>
    </w:pPr>
    <w:rPr>
      <w:rFonts w:ascii="Times New Roman" w:hAnsi="Times New Roman" w:cs="Times New Roman"/>
      <w:b/>
      <w:i w:val="0"/>
      <w:color w:val="000000"/>
      <w:sz w:val="16"/>
      <w:szCs w:val="16"/>
    </w:rPr>
  </w:style>
  <w:style w:type="character" w:styleId="1050">
    <w:name w:val="WW8Num5z0"/>
    <w:qFormat/>
    <w:pPr>
      <w:pBdr/>
      <w:spacing/>
      <w:ind/>
    </w:pPr>
  </w:style>
  <w:style w:type="character" w:styleId="1051">
    <w:name w:val="WW8Num6z0"/>
    <w:qFormat/>
    <w:pPr>
      <w:pBdr/>
      <w:spacing/>
      <w:ind/>
    </w:pPr>
    <w:rPr>
      <w:rFonts w:ascii="Arial" w:hAnsi="Arial" w:cs="Arial"/>
    </w:rPr>
  </w:style>
  <w:style w:type="character" w:styleId="1052">
    <w:name w:val="WW8Num7z0"/>
    <w:qFormat/>
    <w:pPr>
      <w:pBdr/>
      <w:spacing/>
      <w:ind/>
    </w:pPr>
    <w:rPr>
      <w:rFonts w:ascii="Times New Roman" w:hAnsi="Times New Roman" w:cs="Times New Roman"/>
      <w:b/>
      <w:i w:val="0"/>
      <w:color w:val="000000"/>
      <w:sz w:val="16"/>
      <w:szCs w:val="16"/>
    </w:rPr>
  </w:style>
  <w:style w:type="character" w:styleId="1053">
    <w:name w:val="WW8Num8z0"/>
    <w:qFormat/>
    <w:pPr>
      <w:pBdr/>
      <w:spacing/>
      <w:ind/>
    </w:pPr>
  </w:style>
  <w:style w:type="character" w:styleId="1054">
    <w:name w:val="WW8Num10z0"/>
    <w:qFormat/>
    <w:pPr>
      <w:pBdr/>
      <w:spacing/>
      <w:ind/>
    </w:pPr>
  </w:style>
  <w:style w:type="character" w:styleId="1055">
    <w:name w:val="WW8Num11z0"/>
    <w:qFormat/>
    <w:pPr>
      <w:pBdr/>
      <w:spacing/>
      <w:ind/>
    </w:pPr>
  </w:style>
  <w:style w:type="character" w:styleId="1056">
    <w:name w:val="WW8Num12z0"/>
    <w:qFormat/>
    <w:pPr>
      <w:pBdr/>
      <w:spacing/>
      <w:ind/>
    </w:pPr>
    <w:rPr>
      <w:rFonts w:ascii="Wingdings" w:hAnsi="Wingdings" w:cs="Wingdings"/>
    </w:rPr>
  </w:style>
  <w:style w:type="character" w:styleId="1057">
    <w:name w:val="WW8Num13z0"/>
    <w:qFormat/>
    <w:pPr>
      <w:pBdr/>
      <w:spacing/>
      <w:ind/>
    </w:pPr>
    <w:rPr>
      <w:rFonts w:ascii="Symbol" w:hAnsi="Symbol" w:cs="Symbol"/>
    </w:rPr>
  </w:style>
  <w:style w:type="character" w:styleId="1058">
    <w:name w:val="WW8Num13z1"/>
    <w:qFormat/>
    <w:pPr>
      <w:pBdr/>
      <w:spacing/>
      <w:ind/>
    </w:pPr>
    <w:rPr>
      <w:rFonts w:ascii="Courier New" w:hAnsi="Courier New" w:cs="Courier New"/>
    </w:rPr>
  </w:style>
  <w:style w:type="character" w:styleId="1059">
    <w:name w:val="WW8Num13z2"/>
    <w:qFormat/>
    <w:pPr>
      <w:pBdr/>
      <w:spacing/>
      <w:ind/>
    </w:pPr>
    <w:rPr>
      <w:rFonts w:ascii="Wingdings" w:hAnsi="Wingdings" w:cs="Wingdings"/>
    </w:rPr>
  </w:style>
  <w:style w:type="character" w:styleId="1060">
    <w:name w:val="WW8Num14z0"/>
    <w:qFormat/>
    <w:pPr>
      <w:pBdr/>
      <w:spacing/>
      <w:ind/>
    </w:pPr>
  </w:style>
  <w:style w:type="character" w:styleId="1061">
    <w:name w:val="WW8Num14z1"/>
    <w:qFormat/>
    <w:pPr>
      <w:pBdr/>
      <w:spacing/>
      <w:ind/>
    </w:pPr>
    <w:rPr>
      <w:rFonts w:ascii="Courier New" w:hAnsi="Courier New" w:cs="Courier New"/>
    </w:rPr>
  </w:style>
  <w:style w:type="character" w:styleId="1062">
    <w:name w:val="WW8Num14z2"/>
    <w:qFormat/>
    <w:pPr>
      <w:pBdr/>
      <w:spacing/>
      <w:ind/>
    </w:pPr>
    <w:rPr>
      <w:rFonts w:ascii="Wingdings" w:hAnsi="Wingdings" w:cs="Wingdings"/>
    </w:rPr>
  </w:style>
  <w:style w:type="character" w:styleId="1063">
    <w:name w:val="WW8Num14z3"/>
    <w:qFormat/>
    <w:pPr>
      <w:pBdr/>
      <w:spacing/>
      <w:ind/>
    </w:pPr>
    <w:rPr>
      <w:rFonts w:ascii="Symbol" w:hAnsi="Symbol" w:cs="Symbol"/>
    </w:rPr>
  </w:style>
  <w:style w:type="character" w:styleId="1064">
    <w:name w:val="WW8Num16z0"/>
    <w:qFormat/>
    <w:pPr>
      <w:pBdr/>
      <w:spacing/>
      <w:ind/>
    </w:pPr>
    <w:rPr>
      <w:rFonts w:ascii="Times New Roman" w:hAnsi="Times New Roman" w:cs="Times New Roman"/>
      <w:b/>
      <w:i w:val="0"/>
      <w:color w:val="000000"/>
      <w:sz w:val="16"/>
      <w:szCs w:val="16"/>
    </w:rPr>
  </w:style>
  <w:style w:type="character" w:styleId="1065">
    <w:name w:val="WW8Num17z0"/>
    <w:qFormat/>
    <w:pPr>
      <w:pBdr/>
      <w:spacing/>
      <w:ind/>
    </w:pPr>
  </w:style>
  <w:style w:type="character" w:styleId="1066">
    <w:name w:val="WW8Num18z0"/>
    <w:qFormat/>
    <w:pPr>
      <w:pBdr/>
      <w:spacing/>
      <w:ind/>
    </w:pPr>
  </w:style>
  <w:style w:type="character" w:styleId="1067">
    <w:name w:val="WW8Num19z0"/>
    <w:qFormat/>
    <w:pPr>
      <w:pBdr/>
      <w:spacing/>
      <w:ind/>
    </w:pPr>
  </w:style>
  <w:style w:type="character" w:styleId="1068">
    <w:name w:val="WW8Num20z0"/>
    <w:qFormat/>
    <w:pPr>
      <w:pBdr/>
      <w:spacing/>
      <w:ind/>
    </w:pPr>
  </w:style>
  <w:style w:type="character" w:styleId="1069">
    <w:name w:val="WW8Num21z0"/>
    <w:qFormat/>
    <w:pPr>
      <w:pBdr/>
      <w:spacing/>
      <w:ind/>
    </w:pPr>
  </w:style>
  <w:style w:type="character" w:styleId="1070">
    <w:name w:val="WW8Num22z0"/>
    <w:qFormat/>
    <w:pPr>
      <w:pBdr/>
      <w:spacing/>
      <w:ind/>
    </w:pPr>
  </w:style>
  <w:style w:type="character" w:styleId="1071">
    <w:name w:val="WW8Num25z0"/>
    <w:qFormat/>
    <w:pPr>
      <w:pBdr/>
      <w:spacing/>
      <w:ind/>
    </w:pPr>
    <w:rPr>
      <w:rFonts w:ascii="Arial" w:hAnsi="Arial" w:cs="Arial"/>
      <w:b w:val="0"/>
      <w:i w:val="0"/>
      <w:color w:val="000000"/>
      <w:sz w:val="16"/>
      <w:szCs w:val="16"/>
    </w:rPr>
  </w:style>
  <w:style w:type="character" w:styleId="1072">
    <w:name w:val="WW8Num25z1"/>
    <w:qFormat/>
    <w:pPr>
      <w:pBdr/>
      <w:spacing/>
      <w:ind/>
    </w:pPr>
    <w:rPr>
      <w:rFonts w:ascii="Courier New" w:hAnsi="Courier New" w:cs="Courier New"/>
    </w:rPr>
  </w:style>
  <w:style w:type="character" w:styleId="1073">
    <w:name w:val="WW8Num25z2"/>
    <w:qFormat/>
    <w:pPr>
      <w:pBdr/>
      <w:spacing/>
      <w:ind/>
    </w:pPr>
    <w:rPr>
      <w:rFonts w:ascii="Wingdings" w:hAnsi="Wingdings" w:cs="Wingdings"/>
    </w:rPr>
  </w:style>
  <w:style w:type="character" w:styleId="1074">
    <w:name w:val="WW8Num25z3"/>
    <w:qFormat/>
    <w:pPr>
      <w:pBdr/>
      <w:spacing/>
      <w:ind/>
    </w:pPr>
    <w:rPr>
      <w:rFonts w:ascii="Symbol" w:hAnsi="Symbol" w:cs="Symbol"/>
    </w:rPr>
  </w:style>
  <w:style w:type="character" w:styleId="1075">
    <w:name w:val="WW8Num27z0"/>
    <w:qFormat/>
    <w:pPr>
      <w:pBdr/>
      <w:spacing/>
      <w:ind/>
    </w:pPr>
  </w:style>
  <w:style w:type="character" w:styleId="1076">
    <w:name w:val="WW8Num28z0"/>
    <w:qFormat/>
    <w:pPr>
      <w:pBdr/>
      <w:spacing/>
      <w:ind/>
    </w:pPr>
    <w:rPr>
      <w:rFonts w:ascii="Symbol" w:hAnsi="Symbol" w:cs="Symbol"/>
    </w:rPr>
  </w:style>
  <w:style w:type="character" w:styleId="1077">
    <w:name w:val="WW8Num28z1"/>
    <w:qFormat/>
    <w:pPr>
      <w:pBdr/>
      <w:spacing/>
      <w:ind/>
    </w:pPr>
    <w:rPr>
      <w:rFonts w:ascii="Courier New" w:hAnsi="Courier New" w:cs="Courier New"/>
    </w:rPr>
  </w:style>
  <w:style w:type="character" w:styleId="1078">
    <w:name w:val="WW8Num28z2"/>
    <w:qFormat/>
    <w:pPr>
      <w:pBdr/>
      <w:spacing/>
      <w:ind/>
    </w:pPr>
    <w:rPr>
      <w:rFonts w:ascii="Wingdings" w:hAnsi="Wingdings" w:cs="Wingdings"/>
    </w:rPr>
  </w:style>
  <w:style w:type="character" w:styleId="1079">
    <w:name w:val="WW8Num29z0"/>
    <w:qFormat/>
    <w:pPr>
      <w:pBdr/>
      <w:spacing/>
      <w:ind/>
    </w:pPr>
  </w:style>
  <w:style w:type="character" w:styleId="1080">
    <w:name w:val="WW8Num30z0"/>
    <w:qFormat/>
    <w:pPr>
      <w:pBdr/>
      <w:spacing/>
      <w:ind/>
    </w:pPr>
  </w:style>
  <w:style w:type="character" w:styleId="1081">
    <w:name w:val="WW8Num32z0"/>
    <w:qFormat/>
    <w:pPr>
      <w:pBdr/>
      <w:spacing/>
      <w:ind/>
    </w:pPr>
    <w:rPr>
      <w:rFonts w:ascii="Arial" w:hAnsi="Arial" w:cs="Arial"/>
    </w:rPr>
  </w:style>
  <w:style w:type="character" w:styleId="1082">
    <w:name w:val="WW8Num33z0"/>
    <w:qFormat/>
    <w:pPr>
      <w:pBdr/>
      <w:spacing/>
      <w:ind/>
    </w:pPr>
  </w:style>
  <w:style w:type="character" w:styleId="1083">
    <w:name w:val="WW8Num34z0"/>
    <w:qFormat/>
    <w:pPr>
      <w:pBdr/>
      <w:spacing/>
      <w:ind/>
    </w:pPr>
  </w:style>
  <w:style w:type="character" w:styleId="1084">
    <w:name w:val="WW8Num35z0"/>
    <w:qFormat/>
    <w:pPr>
      <w:pBdr/>
      <w:spacing/>
      <w:ind/>
    </w:pPr>
  </w:style>
  <w:style w:type="character" w:styleId="1085">
    <w:name w:val="WW8Num36z0"/>
    <w:qFormat/>
    <w:pPr>
      <w:pBdr/>
      <w:spacing/>
      <w:ind/>
    </w:pPr>
  </w:style>
  <w:style w:type="character" w:styleId="1086">
    <w:name w:val="WW8Num37z0"/>
    <w:qFormat/>
    <w:pPr>
      <w:pBdr/>
      <w:spacing/>
      <w:ind/>
    </w:pPr>
  </w:style>
  <w:style w:type="character" w:styleId="1087">
    <w:name w:val="Основной шрифт абзаца"/>
    <w:qFormat/>
    <w:pPr>
      <w:pBdr/>
      <w:spacing/>
      <w:ind/>
    </w:pPr>
  </w:style>
  <w:style w:type="character" w:styleId="1088">
    <w:name w:val="page number"/>
    <w:basedOn w:val="1087"/>
    <w:pPr>
      <w:pBdr/>
      <w:spacing/>
      <w:ind/>
    </w:pPr>
  </w:style>
  <w:style w:type="character" w:styleId="1089">
    <w:name w:val="Hyperlink"/>
    <w:pPr>
      <w:pBdr/>
      <w:spacing/>
      <w:ind/>
    </w:pPr>
    <w:rPr>
      <w:color w:val="0000ff"/>
      <w:u w:val="single"/>
    </w:rPr>
  </w:style>
  <w:style w:type="character" w:styleId="1090">
    <w:name w:val="Обычный (веб) Знак"/>
    <w:qFormat/>
    <w:pPr>
      <w:pBdr/>
      <w:spacing/>
      <w:ind/>
    </w:pPr>
    <w:rPr>
      <w:color w:val="333333"/>
      <w:sz w:val="24"/>
      <w:szCs w:val="24"/>
      <w:lang w:val="ru-RU" w:bidi="ar-SA"/>
    </w:rPr>
  </w:style>
  <w:style w:type="character" w:styleId="1091">
    <w:name w:val="Заголовок 4 Знак1"/>
    <w:qFormat/>
    <w:pPr>
      <w:pBdr/>
      <w:spacing/>
      <w:ind/>
    </w:pPr>
    <w:rPr>
      <w:b/>
      <w:bCs/>
      <w:sz w:val="24"/>
      <w:szCs w:val="24"/>
      <w:lang w:bidi="ar-SA"/>
    </w:rPr>
  </w:style>
  <w:style w:type="character" w:styleId="1092">
    <w:name w:val="Заголовок 9 Знак"/>
    <w:qFormat/>
    <w:pPr>
      <w:pBdr/>
      <w:spacing/>
      <w:ind/>
    </w:pPr>
    <w:rPr>
      <w:sz w:val="28"/>
      <w:szCs w:val="28"/>
      <w:lang w:val="ru-RU" w:bidi="ar-SA"/>
    </w:rPr>
  </w:style>
  <w:style w:type="character" w:styleId="1093">
    <w:name w:val="Основной шрифт"/>
    <w:qFormat/>
    <w:pPr>
      <w:pBdr/>
      <w:spacing/>
      <w:ind/>
    </w:pPr>
  </w:style>
  <w:style w:type="character" w:styleId="1094">
    <w:name w:val="Emphasis"/>
    <w:qFormat/>
    <w:pPr>
      <w:pBdr/>
      <w:spacing/>
      <w:ind/>
    </w:pPr>
    <w:rPr>
      <w:i/>
      <w:iCs/>
    </w:rPr>
  </w:style>
  <w:style w:type="character" w:styleId="1095">
    <w:name w:val="Основной текст Знак1"/>
    <w:qFormat/>
    <w:pPr>
      <w:pBdr/>
      <w:spacing/>
      <w:ind/>
    </w:pPr>
    <w:rPr>
      <w:sz w:val="24"/>
      <w:szCs w:val="24"/>
      <w:lang w:val="ru-RU" w:bidi="ar-SA"/>
    </w:rPr>
  </w:style>
  <w:style w:type="character" w:styleId="1096">
    <w:name w:val="Основной текст 2 Знак"/>
    <w:qFormat/>
    <w:pPr>
      <w:pBdr/>
      <w:spacing/>
      <w:ind/>
    </w:pPr>
    <w:rPr>
      <w:lang w:val="ru-RU" w:bidi="ar-SA"/>
    </w:rPr>
  </w:style>
  <w:style w:type="character" w:styleId="1097">
    <w:name w:val="Основной текст с отступом Знак"/>
    <w:qFormat/>
    <w:pPr>
      <w:pBdr/>
      <w:spacing/>
      <w:ind/>
    </w:pPr>
    <w:rPr>
      <w:b/>
      <w:bCs/>
      <w:sz w:val="24"/>
      <w:szCs w:val="24"/>
      <w:lang w:val="ru-RU" w:bidi="ar-SA"/>
    </w:rPr>
  </w:style>
  <w:style w:type="character" w:styleId="1098">
    <w:name w:val="Основной текст с отступом 2 Знак1"/>
    <w:qFormat/>
    <w:pPr>
      <w:pBdr/>
      <w:spacing/>
      <w:ind/>
    </w:pPr>
    <w:rPr>
      <w:color w:val="000000"/>
      <w:sz w:val="24"/>
      <w:szCs w:val="24"/>
      <w:lang w:val="ru-RU" w:bidi="ar-SA"/>
    </w:rPr>
  </w:style>
  <w:style w:type="character" w:styleId="1099">
    <w:name w:val="Основной текст с отступом 3 Знак"/>
    <w:qFormat/>
    <w:pPr>
      <w:pBdr/>
      <w:spacing/>
      <w:ind/>
    </w:pPr>
    <w:rPr>
      <w:sz w:val="16"/>
      <w:szCs w:val="16"/>
      <w:lang w:val="ru-RU" w:bidi="ar-SA"/>
    </w:rPr>
  </w:style>
  <w:style w:type="character" w:styleId="1100">
    <w:name w:val="Основной текст с отступом 2 Знак"/>
    <w:qFormat/>
    <w:pPr>
      <w:pBdr/>
      <w:spacing/>
      <w:ind/>
    </w:pPr>
    <w:rPr>
      <w:sz w:val="26"/>
      <w:lang w:val="ru-RU" w:bidi="ar-SA"/>
    </w:rPr>
  </w:style>
  <w:style w:type="character" w:styleId="1101">
    <w:name w:val="Основной текст Знак Знак Знак Знак Знак Знак Знак Знак Знак Знак Знак Знак Знак Знак"/>
    <w:qFormat/>
    <w:pPr>
      <w:pBdr/>
      <w:spacing/>
      <w:ind/>
    </w:pPr>
    <w:rPr>
      <w:sz w:val="24"/>
      <w:lang w:val="ru-RU" w:bidi="ar-SA"/>
    </w:rPr>
  </w:style>
  <w:style w:type="character" w:styleId="1102">
    <w:name w:val="Стиль2 Знак"/>
    <w:qFormat/>
    <w:pPr>
      <w:pBdr/>
      <w:spacing/>
      <w:ind/>
    </w:pPr>
    <w:rPr>
      <w:sz w:val="24"/>
      <w:lang w:val="ru-RU" w:eastAsia="en-US" w:bidi="ar-SA"/>
    </w:rPr>
  </w:style>
  <w:style w:type="character" w:styleId="1103">
    <w:name w:val="FollowedHyperlink"/>
    <w:pPr>
      <w:pBdr/>
      <w:spacing/>
      <w:ind/>
    </w:pPr>
    <w:rPr>
      <w:color w:val="800080"/>
      <w:u w:val="single"/>
    </w:rPr>
  </w:style>
  <w:style w:type="character" w:styleId="1104">
    <w:name w:val="Normal Знак"/>
    <w:qFormat/>
    <w:pPr>
      <w:pBdr/>
      <w:spacing/>
      <w:ind/>
    </w:pPr>
    <w:rPr>
      <w:sz w:val="24"/>
      <w:lang w:val="ru-RU" w:bidi="ar-SA"/>
    </w:rPr>
  </w:style>
  <w:style w:type="character" w:styleId="1105">
    <w:name w:val="Разметка HTML"/>
    <w:qFormat/>
    <w:pPr>
      <w:pBdr/>
      <w:spacing/>
      <w:ind/>
    </w:pPr>
    <w:rPr>
      <w:vanish/>
      <w:color w:val="ff0000"/>
    </w:rPr>
  </w:style>
  <w:style w:type="character" w:styleId="1106">
    <w:name w:val="Strong"/>
    <w:qFormat/>
    <w:pPr>
      <w:pBdr/>
      <w:spacing/>
      <w:ind/>
    </w:pPr>
    <w:rPr>
      <w:b/>
    </w:rPr>
  </w:style>
  <w:style w:type="character" w:styleId="1107">
    <w:name w:val="table1 Знак"/>
    <w:qFormat/>
    <w:pPr>
      <w:pBdr/>
      <w:spacing/>
      <w:ind/>
    </w:pPr>
    <w:rPr>
      <w:b/>
      <w:bCs/>
      <w:sz w:val="24"/>
      <w:szCs w:val="24"/>
      <w:lang w:val="ru-RU" w:bidi="ar-SA"/>
    </w:rPr>
  </w:style>
  <w:style w:type="character" w:styleId="1108">
    <w:name w:val=".. Знак"/>
    <w:qFormat/>
    <w:pPr>
      <w:pBdr/>
      <w:spacing/>
      <w:ind/>
    </w:pPr>
    <w:rPr>
      <w:sz w:val="24"/>
      <w:lang w:val="ru-RU" w:bidi="ar-SA"/>
    </w:rPr>
  </w:style>
  <w:style w:type="character" w:styleId="1109">
    <w:name w:val="Заголовок 3 Знак"/>
    <w:qFormat/>
    <w:pPr>
      <w:pBdr/>
      <w:spacing/>
      <w:ind/>
    </w:pPr>
    <w:rPr>
      <w:b/>
      <w:caps/>
      <w:sz w:val="24"/>
      <w:lang w:val="ru-RU" w:bidi="ar-SA"/>
    </w:rPr>
  </w:style>
  <w:style w:type="character" w:styleId="1110">
    <w:name w:val="Body Text Indent 3 Знак"/>
    <w:qFormat/>
    <w:pPr>
      <w:pBdr/>
      <w:spacing/>
      <w:ind/>
    </w:pPr>
    <w:rPr>
      <w:sz w:val="24"/>
      <w:lang w:val="ru-RU" w:bidi="ar-SA"/>
    </w:rPr>
  </w:style>
  <w:style w:type="character" w:styleId="1111">
    <w:name w:val="Заголовок 4 Знак"/>
    <w:qFormat/>
    <w:pPr>
      <w:pBdr/>
      <w:spacing/>
      <w:ind/>
    </w:pPr>
    <w:rPr>
      <w:i/>
      <w:sz w:val="24"/>
      <w:lang w:val="ru-RU" w:bidi="ar-SA"/>
    </w:rPr>
  </w:style>
  <w:style w:type="character" w:styleId="1112">
    <w:name w:val="Основной текст Знак Знак Знак Знак Знак Знак Знак Знак Знак Знак Знак Знак Знак2"/>
    <w:qFormat/>
    <w:pPr>
      <w:pBdr/>
      <w:spacing/>
      <w:ind/>
    </w:pPr>
    <w:rPr>
      <w:sz w:val="24"/>
      <w:lang w:val="ru-RU" w:bidi="ar-SA"/>
    </w:rPr>
  </w:style>
  <w:style w:type="character" w:styleId="1113">
    <w:name w:val="iniiaiieoaeno2 Знак"/>
    <w:qFormat/>
    <w:pPr>
      <w:pBdr/>
      <w:spacing/>
      <w:ind/>
    </w:pPr>
    <w:rPr>
      <w:sz w:val="24"/>
      <w:szCs w:val="24"/>
      <w:lang w:val="ru-RU" w:bidi="ar-SA"/>
    </w:rPr>
  </w:style>
  <w:style w:type="character" w:styleId="1114">
    <w:name w:val="Основной текст Знак"/>
    <w:qFormat/>
    <w:pPr>
      <w:pBdr/>
      <w:spacing/>
      <w:ind/>
    </w:pPr>
    <w:rPr>
      <w:sz w:val="24"/>
      <w:lang w:val="ru-RU" w:bidi="ar-SA"/>
    </w:rPr>
  </w:style>
  <w:style w:type="character" w:styleId="1115">
    <w:name w:val="H3 Знак"/>
    <w:qFormat/>
    <w:pPr>
      <w:pBdr/>
      <w:spacing/>
      <w:ind/>
    </w:pPr>
    <w:rPr>
      <w:b/>
      <w:sz w:val="28"/>
      <w:lang w:val="ru-RU" w:bidi="ar-SA"/>
    </w:rPr>
  </w:style>
  <w:style w:type="character" w:styleId="1116">
    <w:name w:val=" Знак Знак8"/>
    <w:qFormat/>
    <w:pPr>
      <w:pBdr/>
      <w:spacing/>
      <w:ind/>
    </w:pPr>
    <w:rPr>
      <w:sz w:val="24"/>
      <w:lang w:val="ru-RU" w:bidi="ar-SA"/>
    </w:rPr>
  </w:style>
  <w:style w:type="character" w:styleId="1117">
    <w:name w:val=" Знак Знак9"/>
    <w:qFormat/>
    <w:pPr>
      <w:pBdr/>
      <w:spacing/>
      <w:ind/>
    </w:pPr>
    <w:rPr>
      <w:b/>
      <w:i/>
      <w:sz w:val="24"/>
      <w:lang w:val="ru-RU" w:bidi="ar-SA"/>
    </w:rPr>
  </w:style>
  <w:style w:type="character" w:styleId="1118">
    <w:name w:val="xl28 Знак"/>
    <w:qFormat/>
    <w:pPr>
      <w:pBdr/>
      <w:spacing/>
      <w:ind/>
    </w:pPr>
    <w:rPr>
      <w:sz w:val="24"/>
      <w:szCs w:val="24"/>
      <w:lang w:val="ru-RU" w:bidi="ar-SA"/>
    </w:rPr>
  </w:style>
  <w:style w:type="character" w:styleId="1119">
    <w:name w:val="mw-headline"/>
    <w:basedOn w:val="1087"/>
    <w:qFormat/>
    <w:pPr>
      <w:pBdr/>
      <w:spacing/>
      <w:ind/>
    </w:pPr>
  </w:style>
  <w:style w:type="character" w:styleId="1120">
    <w:name w:val="Нижний колонтитул Знак"/>
    <w:qFormat/>
    <w:pPr>
      <w:pBdr/>
      <w:spacing/>
      <w:ind/>
    </w:pPr>
    <w:rPr>
      <w:lang w:val="ru-RU" w:bidi="ar-SA"/>
    </w:rPr>
  </w:style>
  <w:style w:type="character" w:styleId="1121">
    <w:name w:val="Заголовок 1 Знак"/>
    <w:qFormat/>
    <w:pPr>
      <w:pBdr/>
      <w:spacing/>
      <w:ind/>
    </w:pPr>
    <w:rPr>
      <w:rFonts w:ascii="Arial" w:hAnsi="Arial" w:cs="Arial"/>
      <w:b/>
      <w:bCs/>
      <w:sz w:val="32"/>
      <w:szCs w:val="32"/>
      <w:lang w:val="ru-RU" w:bidi="ar-SA"/>
    </w:rPr>
  </w:style>
  <w:style w:type="character" w:styleId="1122">
    <w:name w:val="tel"/>
    <w:basedOn w:val="1087"/>
    <w:qFormat/>
    <w:pPr>
      <w:pBdr/>
      <w:spacing/>
      <w:ind/>
    </w:pPr>
  </w:style>
  <w:style w:type="character" w:styleId="1123">
    <w:name w:val="A7"/>
    <w:qFormat/>
    <w:pPr>
      <w:pBdr/>
      <w:spacing/>
      <w:ind/>
    </w:pPr>
    <w:rPr>
      <w:rFonts w:cs="Helvetica Neue LT Cyrillic;Arial"/>
      <w:color w:val="000000"/>
      <w:sz w:val="18"/>
      <w:szCs w:val="18"/>
    </w:rPr>
  </w:style>
  <w:style w:type="character" w:styleId="1124">
    <w:name w:val="ConsPlusNormal Знак"/>
    <w:qFormat/>
    <w:pPr>
      <w:pBdr/>
      <w:spacing/>
      <w:ind/>
    </w:pPr>
    <w:rPr>
      <w:rFonts w:ascii="Arial" w:hAnsi="Arial" w:cs="Arial"/>
      <w:lang w:val="ru-RU" w:bidi="ar-SA"/>
    </w:rPr>
  </w:style>
  <w:style w:type="character" w:styleId="1125">
    <w:name w:val="Цитата HTML"/>
    <w:qFormat/>
    <w:pPr>
      <w:pBdr/>
      <w:spacing/>
      <w:ind/>
    </w:pPr>
    <w:rPr>
      <w:i/>
      <w:iCs/>
    </w:rPr>
  </w:style>
  <w:style w:type="character" w:styleId="1126">
    <w:name w:val="apple-converted-space"/>
    <w:qFormat/>
    <w:pPr>
      <w:pBdr/>
      <w:spacing/>
      <w:ind/>
    </w:pPr>
  </w:style>
  <w:style w:type="character" w:styleId="1127">
    <w:name w:val="Абзац списка Знак"/>
    <w:qFormat/>
    <w:pPr>
      <w:pBdr/>
      <w:spacing/>
      <w:ind/>
    </w:pPr>
    <w:rPr>
      <w:sz w:val="24"/>
      <w:szCs w:val="24"/>
    </w:rPr>
  </w:style>
  <w:style w:type="character" w:styleId="1128">
    <w:name w:val="Текст выноски Знак"/>
    <w:qFormat/>
    <w:pPr>
      <w:pBdr/>
      <w:spacing/>
      <w:ind/>
    </w:pPr>
    <w:rPr>
      <w:rFonts w:ascii="Tahoma" w:hAnsi="Tahoma" w:cs="Tahoma"/>
      <w:sz w:val="16"/>
      <w:szCs w:val="16"/>
    </w:rPr>
  </w:style>
  <w:style w:type="character" w:styleId="1129">
    <w:name w:val="Заголовок 2 Знак"/>
    <w:qFormat/>
    <w:pPr>
      <w:pBdr/>
      <w:spacing/>
      <w:ind/>
    </w:pPr>
    <w:rPr>
      <w:sz w:val="24"/>
      <w:szCs w:val="24"/>
    </w:rPr>
  </w:style>
  <w:style w:type="character" w:styleId="1130">
    <w:name w:val="Неразрешенное упоминание1"/>
    <w:qFormat/>
    <w:pPr>
      <w:pBdr/>
      <w:spacing/>
      <w:ind/>
    </w:pPr>
    <w:rPr>
      <w:color w:val="605e5c"/>
      <w:shd w:val="clear" w:color="auto" w:fill="e1dfdd"/>
    </w:rPr>
  </w:style>
  <w:style w:type="character" w:styleId="1131">
    <w:name w:val="Знак примечания"/>
    <w:qFormat/>
    <w:pPr>
      <w:pBdr/>
      <w:spacing/>
      <w:ind/>
    </w:pPr>
    <w:rPr>
      <w:sz w:val="16"/>
      <w:szCs w:val="16"/>
    </w:rPr>
  </w:style>
  <w:style w:type="character" w:styleId="1132">
    <w:name w:val="Текст примечания Знак"/>
    <w:qFormat/>
    <w:pPr>
      <w:pBdr/>
      <w:spacing/>
      <w:ind/>
    </w:pPr>
    <w:rPr>
      <w:rFonts w:ascii="Calibri" w:hAnsi="Calibri" w:eastAsia="Calibri" w:cs="Calibri"/>
    </w:rPr>
  </w:style>
  <w:style w:type="character" w:styleId="1133">
    <w:name w:val="Тема примечания Знак"/>
    <w:qFormat/>
    <w:pPr>
      <w:pBdr/>
      <w:spacing/>
      <w:ind/>
    </w:pPr>
    <w:rPr>
      <w:rFonts w:ascii="Calibri" w:hAnsi="Calibri" w:eastAsia="Calibri" w:cs="Calibri"/>
      <w:b/>
      <w:bCs/>
    </w:rPr>
  </w:style>
  <w:style w:type="character" w:styleId="1134">
    <w:name w:val="Неразрешенное упоминание2"/>
    <w:qFormat/>
    <w:pPr>
      <w:pBdr/>
      <w:spacing/>
      <w:ind/>
    </w:pPr>
    <w:rPr>
      <w:color w:val="605e5c"/>
      <w:shd w:val="clear" w:color="auto" w:fill="e1dfdd"/>
    </w:rPr>
  </w:style>
  <w:style w:type="character" w:styleId="1135">
    <w:name w:val="Unresolved Mention"/>
    <w:qFormat/>
    <w:pPr>
      <w:pBdr/>
      <w:spacing/>
      <w:ind/>
    </w:pPr>
    <w:rPr>
      <w:color w:val="605e5c"/>
      <w:shd w:val="clear" w:color="auto" w:fill="e1dfdd"/>
    </w:rPr>
  </w:style>
  <w:style w:type="character" w:styleId="1136">
    <w:name w:val="Неразрешенное упоминание"/>
    <w:qFormat/>
    <w:pPr>
      <w:pBdr/>
      <w:spacing/>
      <w:ind/>
    </w:pPr>
    <w:rPr>
      <w:color w:val="605e5c"/>
      <w:shd w:val="clear" w:color="auto" w:fill="e1dfdd"/>
    </w:rPr>
  </w:style>
  <w:style w:type="character" w:styleId="1137">
    <w:name w:val="Заголовок Знак"/>
    <w:qFormat/>
    <w:pPr>
      <w:pBdr/>
      <w:spacing/>
      <w:ind/>
    </w:pPr>
    <w:rPr>
      <w:b/>
      <w:bCs/>
      <w:sz w:val="24"/>
      <w:szCs w:val="24"/>
      <w:u w:val="single"/>
    </w:rPr>
  </w:style>
  <w:style w:type="character" w:styleId="1138">
    <w:name w:val="Index Link"/>
    <w:qFormat/>
    <w:pPr>
      <w:pBdr/>
      <w:spacing/>
      <w:ind/>
    </w:pPr>
  </w:style>
  <w:style w:type="paragraph" w:styleId="1139">
    <w:name w:val="Heading"/>
    <w:basedOn w:val="1038"/>
    <w:next w:val="1140"/>
    <w:qFormat/>
    <w:pPr>
      <w:pBdr/>
      <w:spacing/>
      <w:ind/>
      <w:jc w:val="center"/>
    </w:pPr>
    <w:rPr>
      <w:b/>
      <w:bCs/>
      <w:sz w:val="24"/>
      <w:szCs w:val="24"/>
      <w:u w:val="single"/>
    </w:rPr>
  </w:style>
  <w:style w:type="paragraph" w:styleId="1140">
    <w:name w:val="Body Text"/>
    <w:basedOn w:val="1038"/>
    <w:pPr>
      <w:pBdr/>
      <w:spacing/>
      <w:ind/>
    </w:pPr>
    <w:rPr>
      <w:sz w:val="24"/>
      <w:szCs w:val="24"/>
    </w:rPr>
  </w:style>
  <w:style w:type="paragraph" w:styleId="1141">
    <w:name w:val="List"/>
    <w:basedOn w:val="1140"/>
    <w:pPr>
      <w:pBdr/>
      <w:spacing/>
      <w:ind/>
    </w:pPr>
  </w:style>
  <w:style w:type="paragraph" w:styleId="1142">
    <w:name w:val="Caption"/>
    <w:basedOn w:val="1038"/>
    <w:qFormat/>
    <w:pPr>
      <w:suppressLineNumbers w:val="true"/>
      <w:pBdr/>
      <w:spacing w:after="120" w:before="120"/>
      <w:ind/>
    </w:pPr>
    <w:rPr>
      <w:i/>
      <w:iCs/>
      <w:sz w:val="24"/>
      <w:szCs w:val="24"/>
    </w:rPr>
  </w:style>
  <w:style w:type="paragraph" w:styleId="1143">
    <w:name w:val="Index"/>
    <w:basedOn w:val="1038"/>
    <w:qFormat/>
    <w:pPr>
      <w:suppressLineNumbers w:val="true"/>
      <w:pBdr/>
      <w:spacing/>
      <w:ind/>
    </w:pPr>
  </w:style>
  <w:style w:type="paragraph" w:styleId="1144">
    <w:name w:val="Название объекта"/>
    <w:basedOn w:val="1038"/>
    <w:next w:val="1038"/>
    <w:qFormat/>
    <w:pPr>
      <w:pBdr/>
      <w:spacing/>
      <w:ind/>
      <w:jc w:val="center"/>
    </w:pPr>
    <w:rPr>
      <w:i/>
      <w:iCs/>
      <w:sz w:val="24"/>
      <w:szCs w:val="24"/>
    </w:rPr>
  </w:style>
  <w:style w:type="paragraph" w:styleId="1145">
    <w:name w:val="Header and Footer"/>
    <w:basedOn w:val="1038"/>
    <w:qFormat/>
    <w:pPr>
      <w:suppressLineNumbers w:val="true"/>
      <w:pBdr/>
      <w:tabs>
        <w:tab w:val="clear" w:leader="none" w:pos="709"/>
        <w:tab w:val="center" w:leader="none" w:pos="4986"/>
        <w:tab w:val="right" w:leader="none" w:pos="9972"/>
      </w:tabs>
      <w:spacing/>
      <w:ind/>
    </w:pPr>
  </w:style>
  <w:style w:type="paragraph" w:styleId="1146">
    <w:name w:val="Header"/>
    <w:basedOn w:val="1038"/>
    <w:pPr>
      <w:pBdr/>
      <w:tabs>
        <w:tab w:val="clear" w:leader="none" w:pos="709"/>
        <w:tab w:val="center" w:leader="none" w:pos="4153"/>
        <w:tab w:val="right" w:leader="none" w:pos="8306"/>
      </w:tabs>
      <w:spacing/>
      <w:ind/>
    </w:pPr>
  </w:style>
  <w:style w:type="paragraph" w:styleId="1147">
    <w:name w:val="Body Text Indent"/>
    <w:basedOn w:val="1038"/>
    <w:pPr>
      <w:pBdr/>
      <w:spacing/>
      <w:ind/>
    </w:pPr>
    <w:rPr>
      <w:b/>
      <w:bCs/>
      <w:sz w:val="24"/>
      <w:szCs w:val="24"/>
    </w:rPr>
  </w:style>
  <w:style w:type="paragraph" w:styleId="1148">
    <w:name w:val="Body Text 22"/>
    <w:basedOn w:val="1038"/>
    <w:qFormat/>
    <w:pPr>
      <w:widowControl w:val="false"/>
      <w:pBdr/>
      <w:spacing w:after="0" w:before="80"/>
      <w:ind/>
      <w:jc w:val="both"/>
    </w:pPr>
    <w:rPr>
      <w:sz w:val="24"/>
      <w:szCs w:val="24"/>
    </w:rPr>
  </w:style>
  <w:style w:type="paragraph" w:styleId="1149">
    <w:name w:val="Основной текст с отступом 2"/>
    <w:basedOn w:val="1038"/>
    <w:qFormat/>
    <w:pPr>
      <w:pBdr/>
      <w:spacing/>
      <w:ind w:right="0" w:firstLine="567" w:left="0"/>
      <w:jc w:val="both"/>
    </w:pPr>
    <w:rPr>
      <w:color w:val="000000"/>
      <w:sz w:val="24"/>
      <w:szCs w:val="24"/>
    </w:rPr>
  </w:style>
  <w:style w:type="paragraph" w:styleId="1150">
    <w:name w:val="Body Text 21"/>
    <w:basedOn w:val="1038"/>
    <w:qFormat/>
    <w:pPr>
      <w:widowControl w:val="false"/>
      <w:pBdr/>
      <w:spacing/>
      <w:ind w:right="0" w:firstLine="709" w:left="0"/>
      <w:jc w:val="both"/>
    </w:pPr>
    <w:rPr>
      <w:sz w:val="24"/>
      <w:szCs w:val="24"/>
    </w:rPr>
  </w:style>
  <w:style w:type="paragraph" w:styleId="1151">
    <w:name w:val="ОСНОВНОЙ ТЕКСТ"/>
    <w:basedOn w:val="1038"/>
    <w:qFormat/>
    <w:pPr>
      <w:widowControl w:val="false"/>
      <w:pBdr/>
      <w:spacing w:line="400" w:lineRule="exact"/>
      <w:ind w:right="0" w:firstLine="567" w:left="0"/>
      <w:jc w:val="both"/>
    </w:pPr>
    <w:rPr>
      <w:sz w:val="24"/>
      <w:szCs w:val="24"/>
      <w:lang w:val="en-US"/>
    </w:rPr>
  </w:style>
  <w:style w:type="paragraph" w:styleId="1152">
    <w:name w:val="Footer"/>
    <w:basedOn w:val="1038"/>
    <w:pPr>
      <w:pBdr/>
      <w:tabs>
        <w:tab w:val="clear" w:leader="none" w:pos="709"/>
        <w:tab w:val="center" w:leader="none" w:pos="4153"/>
        <w:tab w:val="right" w:leader="none" w:pos="8306"/>
      </w:tabs>
      <w:spacing/>
      <w:ind/>
    </w:pPr>
  </w:style>
  <w:style w:type="paragraph" w:styleId="1153">
    <w:name w:val="Текст выноски"/>
    <w:basedOn w:val="1038"/>
    <w:qFormat/>
    <w:pPr>
      <w:pBdr/>
      <w:spacing/>
      <w:ind/>
    </w:pPr>
    <w:rPr>
      <w:rFonts w:ascii="Tahoma" w:hAnsi="Tahoma" w:cs="Tahoma"/>
      <w:sz w:val="16"/>
      <w:szCs w:val="16"/>
    </w:rPr>
  </w:style>
  <w:style w:type="paragraph" w:styleId="1154">
    <w:name w:val="Subtitle"/>
    <w:basedOn w:val="1038"/>
    <w:next w:val="1140"/>
    <w:qFormat/>
    <w:pPr>
      <w:pBdr/>
      <w:spacing/>
      <w:ind/>
      <w:jc w:val="center"/>
    </w:pPr>
    <w:rPr>
      <w:b/>
      <w:bCs/>
      <w:sz w:val="24"/>
      <w:szCs w:val="24"/>
      <w:u w:val="single"/>
    </w:rPr>
  </w:style>
  <w:style w:type="paragraph" w:styleId="1155">
    <w:name w:val="Основной текст с отступом 3"/>
    <w:basedOn w:val="1038"/>
    <w:qFormat/>
    <w:pPr>
      <w:pBdr/>
      <w:spacing w:after="120" w:before="0"/>
      <w:ind w:right="0" w:firstLine="0" w:left="283"/>
    </w:pPr>
    <w:rPr>
      <w:sz w:val="16"/>
      <w:szCs w:val="16"/>
    </w:rPr>
  </w:style>
  <w:style w:type="paragraph" w:styleId="1156">
    <w:name w:val="Body Text 2"/>
    <w:basedOn w:val="1038"/>
    <w:qFormat/>
    <w:pPr>
      <w:pBdr/>
      <w:spacing/>
      <w:ind w:right="0" w:firstLine="437" w:left="283"/>
      <w:jc w:val="both"/>
    </w:pPr>
    <w:rPr>
      <w:sz w:val="24"/>
    </w:rPr>
  </w:style>
  <w:style w:type="paragraph" w:styleId="1157">
    <w:name w:val="Обычный (Интернет)"/>
    <w:basedOn w:val="1038"/>
    <w:qFormat/>
    <w:pPr>
      <w:pBdr/>
      <w:spacing/>
      <w:ind w:right="0" w:firstLine="360" w:left="0"/>
    </w:pPr>
    <w:rPr>
      <w:color w:val="333333"/>
      <w:sz w:val="24"/>
      <w:szCs w:val="24"/>
    </w:rPr>
  </w:style>
  <w:style w:type="paragraph" w:styleId="1158">
    <w:name w:val=" Char"/>
    <w:basedOn w:val="1038"/>
    <w:qFormat/>
    <w:pPr>
      <w:widowControl w:val="false"/>
      <w:pBdr/>
      <w:spacing w:after="160" w:before="0" w:line="240" w:lineRule="exact"/>
      <w:ind/>
      <w:jc w:val="right"/>
    </w:pPr>
    <w:rPr>
      <w:lang w:val="en-GB"/>
    </w:rPr>
  </w:style>
  <w:style w:type="paragraph" w:styleId="1159">
    <w:name w:val="1"/>
    <w:basedOn w:val="1038"/>
    <w:next w:val="1157"/>
    <w:qFormat/>
    <w:pPr>
      <w:pBdr/>
      <w:spacing w:after="280" w:before="280"/>
      <w:ind/>
    </w:pPr>
    <w:rPr>
      <w:sz w:val="24"/>
      <w:szCs w:val="24"/>
    </w:rPr>
  </w:style>
  <w:style w:type="paragraph" w:styleId="1160">
    <w:name w:val="ConsPlusNormal"/>
    <w:qFormat/>
    <w:pPr>
      <w:widowControl w:val="false"/>
      <w:pBdr/>
      <w:bidi w:val="false"/>
      <w:spacing w:after="0" w:before="0"/>
      <w:ind w:right="0" w:firstLine="720" w:left="0"/>
      <w:jc w:val="left"/>
    </w:pPr>
    <w:rPr>
      <w:rFonts w:ascii="Arial" w:hAnsi="Arial" w:eastAsia="Times New Roman" w:cs="Arial"/>
      <w:color w:val="auto"/>
      <w:sz w:val="20"/>
      <w:szCs w:val="20"/>
      <w:lang w:val="ru-RU" w:eastAsia="zh-CN" w:bidi="ar-SA"/>
    </w:rPr>
  </w:style>
  <w:style w:type="paragraph" w:styleId="1161">
    <w:name w:val=" Знак Знак Знак Знак Знак Знак Знак Знак Знак1 Знак Знак Знак Знак Знак Знак Знак3 Знак Знак Знак"/>
    <w:basedOn w:val="1038"/>
    <w:qFormat/>
    <w:pPr>
      <w:pBdr/>
      <w:spacing w:after="160" w:before="0" w:line="240" w:lineRule="exact"/>
      <w:ind/>
    </w:pPr>
    <w:rPr>
      <w:rFonts w:ascii="Tahoma" w:hAnsi="Tahoma" w:cs="Tahoma"/>
      <w:lang w:val="en-US"/>
    </w:rPr>
  </w:style>
  <w:style w:type="paragraph" w:styleId="1162">
    <w:name w:val="заголовок 1"/>
    <w:basedOn w:val="1038"/>
    <w:next w:val="1038"/>
    <w:qFormat/>
    <w:pPr>
      <w:keepNext w:val="true"/>
      <w:pBdr/>
      <w:spacing/>
      <w:ind/>
      <w:jc w:val="center"/>
      <w:outlineLvl w:val="0"/>
    </w:pPr>
    <w:rPr>
      <w:i/>
      <w:iCs/>
      <w:sz w:val="16"/>
      <w:szCs w:val="16"/>
    </w:rPr>
  </w:style>
  <w:style w:type="paragraph" w:styleId="1163">
    <w:name w:val="Основной текст 2"/>
    <w:basedOn w:val="1038"/>
    <w:qFormat/>
    <w:pPr>
      <w:pBdr/>
      <w:spacing w:after="120" w:before="0"/>
      <w:ind w:right="0" w:firstLine="0" w:left="283"/>
    </w:pPr>
  </w:style>
  <w:style w:type="paragraph" w:styleId="1164">
    <w:name w:val="Цитата"/>
    <w:basedOn w:val="1038"/>
    <w:qFormat/>
    <w:pPr>
      <w:pBdr/>
      <w:spacing/>
      <w:ind w:right="-1050" w:firstLine="0" w:left="-567"/>
      <w:jc w:val="center"/>
    </w:pPr>
  </w:style>
  <w:style w:type="paragraph" w:styleId="1165">
    <w:name w:val="Заголовок таблицы ссылок"/>
    <w:basedOn w:val="1038"/>
    <w:next w:val="1038"/>
    <w:qFormat/>
    <w:pPr>
      <w:pBdr/>
      <w:spacing w:after="60" w:before="120"/>
      <w:ind w:right="0" w:firstLine="709" w:left="0"/>
      <w:jc w:val="both"/>
    </w:pPr>
    <w:rPr>
      <w:rFonts w:ascii="Arial" w:hAnsi="Arial" w:cs="Arial"/>
      <w:b/>
      <w:sz w:val="24"/>
    </w:rPr>
  </w:style>
  <w:style w:type="paragraph" w:styleId="1166">
    <w:name w:val="Основной текст 3"/>
    <w:basedOn w:val="1038"/>
    <w:qFormat/>
    <w:pPr>
      <w:pBdr/>
      <w:spacing w:after="120" w:before="0"/>
      <w:ind/>
    </w:pPr>
    <w:rPr>
      <w:sz w:val="16"/>
      <w:szCs w:val="16"/>
    </w:rPr>
  </w:style>
  <w:style w:type="paragraph" w:styleId="1167">
    <w:name w:val="Стиль1"/>
    <w:basedOn w:val="1038"/>
    <w:qFormat/>
    <w:pPr>
      <w:pBdr/>
      <w:spacing/>
      <w:ind/>
      <w:jc w:val="center"/>
    </w:pPr>
    <w:rPr>
      <w:b/>
      <w:sz w:val="24"/>
    </w:rPr>
  </w:style>
  <w:style w:type="paragraph" w:styleId="1168">
    <w:name w:val="Стиль2"/>
    <w:qFormat/>
    <w:pPr>
      <w:widowControl w:val="true"/>
      <w:pBdr/>
      <w:bidi w:val="false"/>
      <w:spacing w:after="0" w:before="0"/>
      <w:ind/>
      <w:jc w:val="both"/>
    </w:pPr>
    <w:rPr>
      <w:rFonts w:ascii="Times New Roman" w:hAnsi="Times New Roman" w:eastAsia="Times New Roman" w:cs="Times New Roman"/>
      <w:color w:val="auto"/>
      <w:sz w:val="24"/>
      <w:szCs w:val="20"/>
      <w:lang w:val="ru-RU" w:eastAsia="en-US" w:bidi="ar-SA"/>
    </w:rPr>
  </w:style>
  <w:style w:type="paragraph" w:styleId="1169">
    <w:name w:val="toc 1"/>
    <w:basedOn w:val="1038"/>
    <w:next w:val="1038"/>
    <w:pPr>
      <w:keepNext w:val="true"/>
      <w:pBdr/>
      <w:tabs>
        <w:tab w:val="left" w:leader="none" w:pos="567"/>
        <w:tab w:val="clear" w:leader="none" w:pos="709"/>
        <w:tab w:val="right" w:leader="dot" w:pos="10065"/>
      </w:tabs>
      <w:spacing/>
      <w:ind/>
      <w:jc w:val="both"/>
    </w:pPr>
    <w:rPr>
      <w:rFonts w:ascii="Arial" w:hAnsi="Arial" w:cs="Arial"/>
      <w:b/>
      <w:bCs/>
      <w:sz w:val="22"/>
      <w:szCs w:val="22"/>
      <w:lang w:val="en-US" w:eastAsia="en-US"/>
    </w:rPr>
  </w:style>
  <w:style w:type="paragraph" w:styleId="1170">
    <w:name w:val="toc 2"/>
    <w:basedOn w:val="1038"/>
    <w:next w:val="1038"/>
    <w:pPr>
      <w:pBdr/>
      <w:tabs>
        <w:tab w:val="left" w:leader="none" w:pos="0"/>
        <w:tab w:val="left" w:leader="none" w:pos="600"/>
        <w:tab w:val="clear" w:leader="none" w:pos="709"/>
        <w:tab w:val="right" w:leader="dot" w:pos="10065"/>
      </w:tabs>
      <w:spacing/>
      <w:ind/>
    </w:pPr>
    <w:rPr>
      <w:rFonts w:ascii="Arial" w:hAnsi="Arial" w:cs="Arial"/>
      <w:b/>
      <w:sz w:val="16"/>
      <w:szCs w:val="16"/>
      <w:lang w:val="en-US" w:eastAsia="en-US"/>
    </w:rPr>
  </w:style>
  <w:style w:type="paragraph" w:styleId="1171">
    <w:name w:val="toc 3"/>
    <w:basedOn w:val="1038"/>
    <w:next w:val="1038"/>
    <w:pPr>
      <w:pBdr/>
      <w:spacing/>
      <w:ind w:right="0" w:firstLine="0" w:left="400"/>
    </w:pPr>
    <w:rPr>
      <w:i/>
    </w:rPr>
  </w:style>
  <w:style w:type="paragraph" w:styleId="1172">
    <w:name w:val="toc 4"/>
    <w:basedOn w:val="1038"/>
    <w:next w:val="1038"/>
    <w:pPr>
      <w:pBdr/>
      <w:spacing/>
      <w:ind w:right="0" w:firstLine="0" w:left="600"/>
    </w:pPr>
    <w:rPr>
      <w:sz w:val="18"/>
    </w:rPr>
  </w:style>
  <w:style w:type="paragraph" w:styleId="1173">
    <w:name w:val="toc 5"/>
    <w:basedOn w:val="1038"/>
    <w:next w:val="1038"/>
    <w:pPr>
      <w:pBdr/>
      <w:spacing/>
      <w:ind w:right="0" w:firstLine="0" w:left="800"/>
    </w:pPr>
    <w:rPr>
      <w:sz w:val="18"/>
    </w:rPr>
  </w:style>
  <w:style w:type="paragraph" w:styleId="1174">
    <w:name w:val="toc 6"/>
    <w:basedOn w:val="1038"/>
    <w:next w:val="1038"/>
    <w:pPr>
      <w:pBdr/>
      <w:spacing/>
      <w:ind w:right="0" w:firstLine="0" w:left="1000"/>
    </w:pPr>
    <w:rPr>
      <w:sz w:val="18"/>
    </w:rPr>
  </w:style>
  <w:style w:type="paragraph" w:styleId="1175">
    <w:name w:val="toc 7"/>
    <w:basedOn w:val="1038"/>
    <w:next w:val="1038"/>
    <w:pPr>
      <w:pBdr/>
      <w:spacing/>
      <w:ind w:right="0" w:firstLine="0" w:left="1200"/>
    </w:pPr>
    <w:rPr>
      <w:sz w:val="18"/>
    </w:rPr>
  </w:style>
  <w:style w:type="paragraph" w:styleId="1176">
    <w:name w:val="toc 8"/>
    <w:basedOn w:val="1038"/>
    <w:next w:val="1038"/>
    <w:pPr>
      <w:numPr>
        <w:ilvl w:val="0"/>
        <w:numId w:val="2"/>
      </w:numPr>
      <w:pBdr/>
      <w:tabs>
        <w:tab w:val="clear" w:leader="none" w:pos="709"/>
      </w:tabs>
      <w:spacing/>
      <w:ind w:right="0" w:firstLine="0" w:left="1400"/>
    </w:pPr>
    <w:rPr>
      <w:sz w:val="18"/>
    </w:rPr>
  </w:style>
  <w:style w:type="paragraph" w:styleId="1177">
    <w:name w:val="toc 9"/>
    <w:basedOn w:val="1038"/>
    <w:next w:val="1038"/>
    <w:pPr>
      <w:pBdr/>
      <w:spacing/>
      <w:ind w:right="0" w:firstLine="0" w:left="1600"/>
    </w:pPr>
    <w:rPr>
      <w:sz w:val="18"/>
    </w:rPr>
  </w:style>
  <w:style w:type="paragraph" w:styleId="1178">
    <w:name w:val="footnote text"/>
    <w:basedOn w:val="1038"/>
    <w:pPr>
      <w:pBdr/>
      <w:spacing/>
      <w:ind/>
    </w:pPr>
  </w:style>
  <w:style w:type="paragraph" w:styleId="1179">
    <w:name w:val="Обычный (Web)"/>
    <w:basedOn w:val="1038"/>
    <w:qFormat/>
    <w:pPr>
      <w:pBdr/>
      <w:spacing w:after="280" w:before="280"/>
      <w:ind/>
    </w:pPr>
    <w:rPr>
      <w:rFonts w:ascii="Arial Unicode MS" w:hAnsi="Arial Unicode MS" w:eastAsia="Arial Unicode MS" w:cs="Bookman Old Style"/>
      <w:color w:val="000039"/>
      <w:sz w:val="24"/>
      <w:szCs w:val="24"/>
    </w:rPr>
  </w:style>
  <w:style w:type="paragraph" w:styleId="1180">
    <w:name w:val="Маркированный список 3"/>
    <w:basedOn w:val="1038"/>
    <w:qFormat/>
    <w:pPr>
      <w:pBdr/>
      <w:tabs>
        <w:tab w:val="left" w:leader="none" w:pos="360"/>
        <w:tab w:val="clear" w:leader="none" w:pos="709"/>
      </w:tabs>
      <w:spacing/>
      <w:ind/>
    </w:pPr>
  </w:style>
  <w:style w:type="paragraph" w:styleId="1181">
    <w:name w:val="Normal1"/>
    <w:qFormat/>
    <w:pPr>
      <w:widowControl w:val="false"/>
      <w:pBdr/>
      <w:bidi w:val="false"/>
      <w:spacing w:after="100" w:before="100"/>
      <w:ind/>
      <w:jc w:val="left"/>
    </w:pPr>
    <w:rPr>
      <w:rFonts w:ascii="Times New Roman" w:hAnsi="Times New Roman" w:eastAsia="Times New Roman" w:cs="Times New Roman"/>
      <w:color w:val="auto"/>
      <w:sz w:val="24"/>
      <w:szCs w:val="20"/>
      <w:lang w:val="ru-RU" w:eastAsia="zh-CN" w:bidi="ar-SA"/>
    </w:rPr>
  </w:style>
  <w:style w:type="paragraph" w:styleId="1182">
    <w:name w:val="Iau?iue"/>
    <w:qFormat/>
    <w:pPr>
      <w:widowControl w:val="false"/>
      <w:pBdr/>
      <w:bidi w:val="false"/>
      <w:spacing w:after="0" w:before="0"/>
      <w:ind/>
      <w:jc w:val="left"/>
    </w:pPr>
    <w:rPr>
      <w:rFonts w:ascii="Times New Roman" w:hAnsi="Times New Roman" w:eastAsia="Times New Roman" w:cs="Times New Roman"/>
      <w:color w:val="auto"/>
      <w:sz w:val="24"/>
      <w:szCs w:val="20"/>
      <w:lang w:val="ru-RU" w:eastAsia="zh-CN" w:bidi="ar-SA"/>
    </w:rPr>
  </w:style>
  <w:style w:type="paragraph" w:styleId="1183">
    <w:name w:val="Название рисунка"/>
    <w:basedOn w:val="1038"/>
    <w:qFormat/>
    <w:pPr>
      <w:pBdr/>
      <w:spacing w:line="312" w:lineRule="auto"/>
      <w:ind/>
      <w:jc w:val="center"/>
    </w:pPr>
    <w:rPr>
      <w:rFonts w:ascii="Bookman Old Style" w:hAnsi="Bookman Old Style" w:cs="Bookman Old Style"/>
      <w:sz w:val="24"/>
    </w:rPr>
  </w:style>
  <w:style w:type="paragraph" w:styleId="1184">
    <w:name w:val="Схема документа"/>
    <w:basedOn w:val="1038"/>
    <w:qFormat/>
    <w:pPr>
      <w:pBdr/>
      <w:shd w:val="clear" w:color="auto" w:fill="000080"/>
      <w:spacing/>
      <w:ind/>
    </w:pPr>
    <w:rPr>
      <w:rFonts w:ascii="Tahoma" w:hAnsi="Tahoma" w:cs="Tahoma"/>
    </w:rPr>
  </w:style>
  <w:style w:type="paragraph" w:styleId="1185">
    <w:name w:val="Body Text Indent 2"/>
    <w:basedOn w:val="1038"/>
    <w:qFormat/>
    <w:pPr>
      <w:pBdr/>
      <w:spacing/>
      <w:ind w:right="0" w:firstLine="709" w:left="0"/>
      <w:jc w:val="both"/>
    </w:pPr>
    <w:rPr>
      <w:sz w:val="24"/>
    </w:rPr>
  </w:style>
  <w:style w:type="paragraph" w:styleId="1186">
    <w:name w:val="Style1"/>
    <w:basedOn w:val="1038"/>
    <w:qFormat/>
    <w:pPr>
      <w:pBdr/>
      <w:spacing w:after="0" w:before="240"/>
      <w:ind/>
      <w:jc w:val="both"/>
    </w:pPr>
    <w:rPr>
      <w:rFonts w:ascii="TimesDL;Times New Roman" w:hAnsi="TimesDL;Times New Roman" w:cs="TimesDL;Times New Roman"/>
      <w:sz w:val="24"/>
    </w:rPr>
  </w:style>
  <w:style w:type="paragraph" w:styleId="1187">
    <w:name w:val="ConsNormal"/>
    <w:qFormat/>
    <w:pPr>
      <w:widowControl w:val="true"/>
      <w:pBdr/>
      <w:bidi w:val="false"/>
      <w:spacing w:after="0" w:before="0"/>
      <w:ind w:right="0" w:firstLine="720" w:left="0"/>
      <w:jc w:val="left"/>
    </w:pPr>
    <w:rPr>
      <w:rFonts w:ascii="Arial" w:hAnsi="Arial" w:eastAsia="Times New Roman" w:cs="Arial"/>
      <w:color w:val="auto"/>
      <w:sz w:val="20"/>
      <w:szCs w:val="20"/>
      <w:lang w:val="ru-RU" w:eastAsia="zh-CN" w:bidi="ar-SA"/>
    </w:rPr>
  </w:style>
  <w:style w:type="paragraph" w:styleId="1188">
    <w:name w:val="ConsTitle"/>
    <w:qFormat/>
    <w:pPr>
      <w:widowControl w:val="true"/>
      <w:pBdr/>
      <w:bidi w:val="false"/>
      <w:spacing w:after="0" w:before="0"/>
      <w:ind/>
      <w:jc w:val="left"/>
    </w:pPr>
    <w:rPr>
      <w:rFonts w:ascii="Arial" w:hAnsi="Arial" w:eastAsia="Times New Roman" w:cs="Arial"/>
      <w:b/>
      <w:bCs/>
      <w:color w:val="auto"/>
      <w:sz w:val="16"/>
      <w:szCs w:val="16"/>
      <w:lang w:val="ru-RU" w:eastAsia="zh-CN" w:bidi="ar-SA"/>
    </w:rPr>
  </w:style>
  <w:style w:type="paragraph" w:styleId="1189">
    <w:name w:val="table1"/>
    <w:basedOn w:val="1038"/>
    <w:qFormat/>
    <w:pPr>
      <w:pBdr/>
      <w:shd w:val="clear" w:color="auto" w:fill="f4f4f4"/>
      <w:spacing w:after="280" w:before="280"/>
      <w:ind/>
    </w:pPr>
    <w:rPr>
      <w:b/>
      <w:bCs/>
      <w:sz w:val="24"/>
      <w:szCs w:val="24"/>
    </w:rPr>
  </w:style>
  <w:style w:type="paragraph" w:styleId="1190">
    <w:name w:val=".."/>
    <w:basedOn w:val="1038"/>
    <w:qFormat/>
    <w:pPr>
      <w:pBdr/>
      <w:spacing w:line="360" w:lineRule="atLeast"/>
      <w:ind w:right="0" w:firstLine="567" w:left="0"/>
      <w:jc w:val="both"/>
    </w:pPr>
    <w:rPr>
      <w:sz w:val="24"/>
    </w:rPr>
  </w:style>
  <w:style w:type="paragraph" w:styleId="1191">
    <w:name w:val="FR1"/>
    <w:qFormat/>
    <w:pPr>
      <w:widowControl w:val="false"/>
      <w:pBdr/>
      <w:bidi w:val="false"/>
      <w:spacing w:after="0" w:before="0"/>
      <w:ind/>
      <w:jc w:val="both"/>
    </w:pPr>
    <w:rPr>
      <w:rFonts w:ascii="Arial" w:hAnsi="Arial" w:eastAsia="Times New Roman" w:cs="Arial"/>
      <w:color w:val="auto"/>
      <w:sz w:val="18"/>
      <w:szCs w:val="20"/>
      <w:lang w:val="ru-RU" w:eastAsia="zh-CN" w:bidi="ar-SA"/>
    </w:rPr>
  </w:style>
  <w:style w:type="paragraph" w:styleId="1192">
    <w:name w:val="ОТЧЕТ"/>
    <w:basedOn w:val="1038"/>
    <w:qFormat/>
    <w:pPr>
      <w:pBdr/>
      <w:spacing w:line="288" w:lineRule="auto"/>
      <w:ind w:right="0" w:firstLine="567" w:left="0"/>
      <w:jc w:val="both"/>
    </w:pPr>
    <w:rPr>
      <w:rFonts w:ascii="Verdana" w:hAnsi="Verdana" w:cs="Verdana"/>
      <w:sz w:val="24"/>
      <w:szCs w:val="24"/>
    </w:rPr>
  </w:style>
  <w:style w:type="paragraph" w:styleId="1193">
    <w:name w:val="текст в таблице"/>
    <w:basedOn w:val="1038"/>
    <w:qFormat/>
    <w:pPr>
      <w:pBdr/>
      <w:spacing/>
      <w:ind/>
      <w:jc w:val="center"/>
    </w:pPr>
    <w:rPr>
      <w:rFonts w:ascii="Arial" w:hAnsi="Arial" w:cs="Arial"/>
    </w:rPr>
  </w:style>
  <w:style w:type="paragraph" w:styleId="1194">
    <w:name w:val="Body Text Indent 3"/>
    <w:basedOn w:val="1038"/>
    <w:qFormat/>
    <w:pPr>
      <w:widowControl w:val="false"/>
      <w:pBdr/>
      <w:spacing w:line="360" w:lineRule="auto"/>
      <w:ind w:right="0" w:firstLine="851" w:left="0"/>
      <w:jc w:val="both"/>
    </w:pPr>
    <w:rPr>
      <w:sz w:val="24"/>
    </w:rPr>
  </w:style>
  <w:style w:type="paragraph" w:styleId="1195">
    <w:name w:val=" Char Char Знак Знак Char Char Знак Знак Знак"/>
    <w:basedOn w:val="1038"/>
    <w:qFormat/>
    <w:pPr>
      <w:pBdr/>
      <w:spacing/>
      <w:ind/>
    </w:pPr>
    <w:rPr>
      <w:rFonts w:ascii="Verdana" w:hAnsi="Verdana" w:cs="Verdana"/>
      <w:lang w:val="en-US"/>
    </w:rPr>
  </w:style>
  <w:style w:type="paragraph" w:styleId="1196">
    <w:name w:val="iniiaiieoaeno2"/>
    <w:basedOn w:val="1038"/>
    <w:qFormat/>
    <w:pPr>
      <w:pBdr/>
      <w:spacing w:after="280" w:before="280"/>
      <w:ind/>
    </w:pPr>
    <w:rPr>
      <w:sz w:val="24"/>
      <w:szCs w:val="24"/>
    </w:rPr>
  </w:style>
  <w:style w:type="paragraph" w:styleId="1197">
    <w:name w:val="H3"/>
    <w:basedOn w:val="1038"/>
    <w:next w:val="1038"/>
    <w:qFormat/>
    <w:pPr>
      <w:keepNext w:val="true"/>
      <w:widowControl w:val="false"/>
      <w:pBdr/>
      <w:spacing w:after="100" w:before="100"/>
      <w:ind/>
    </w:pPr>
    <w:rPr>
      <w:b/>
      <w:sz w:val="28"/>
    </w:rPr>
  </w:style>
  <w:style w:type="paragraph" w:styleId="1198">
    <w:name w:val="xl28"/>
    <w:basedOn w:val="1038"/>
    <w:qFormat/>
    <w:pPr>
      <w:pBdr>
        <w:left w:val="single" w:color="000000" w:sz="4" w:space="0"/>
        <w:bottom w:val="single" w:color="000000" w:sz="4" w:space="0"/>
        <w:right w:val="single" w:color="000000" w:sz="4" w:space="0"/>
      </w:pBdr>
      <w:spacing w:after="280" w:before="280"/>
      <w:ind/>
      <w:jc w:val="center"/>
    </w:pPr>
    <w:rPr>
      <w:sz w:val="24"/>
      <w:szCs w:val="24"/>
    </w:rPr>
  </w:style>
  <w:style w:type="paragraph" w:styleId="1199">
    <w:name w:val="Char"/>
    <w:basedOn w:val="1038"/>
    <w:qFormat/>
    <w:pPr>
      <w:widowControl w:val="false"/>
      <w:pBdr/>
      <w:spacing w:after="160" w:before="0" w:line="240" w:lineRule="exact"/>
      <w:ind/>
      <w:jc w:val="right"/>
    </w:pPr>
    <w:rPr>
      <w:lang w:val="en-GB"/>
    </w:rPr>
  </w:style>
  <w:style w:type="paragraph" w:styleId="1200">
    <w:name w:val=" Знак Знак Знак Знак"/>
    <w:basedOn w:val="1038"/>
    <w:qFormat/>
    <w:pPr>
      <w:pBdr/>
      <w:spacing w:after="160" w:before="0" w:line="240" w:lineRule="exact"/>
      <w:ind/>
    </w:pPr>
    <w:rPr>
      <w:rFonts w:ascii="Tahoma" w:hAnsi="Tahoma" w:cs="Tahoma"/>
      <w:lang w:val="en-US"/>
    </w:rPr>
  </w:style>
  <w:style w:type="paragraph" w:styleId="1201">
    <w:name w:val=" Знак Знак Знак1 Знак Знак Знак Знак Знак Знак Знак Знак1 Знак Знак Знак1 Знак Знак Знак1 Знак Знак Знак Знак Знак Знак Знак Знак Знак Знак Знак Знак Знак Знак Знак1 Знак Знак Знак Знак"/>
    <w:basedOn w:val="1038"/>
    <w:qFormat/>
    <w:pPr>
      <w:pBdr/>
      <w:spacing w:after="160" w:before="0" w:line="240" w:lineRule="exact"/>
      <w:ind/>
    </w:pPr>
    <w:rPr>
      <w:rFonts w:ascii="Tahoma" w:hAnsi="Tahoma" w:cs="Tahoma"/>
      <w:lang w:val="en-US"/>
    </w:rPr>
  </w:style>
  <w:style w:type="paragraph" w:styleId="1202">
    <w:name w:val=" Знак Знак Знак1 Знак Знак Знак Знак Знак Знак Знак Знак1 Знак Знак Знак1 Знак Знак Знак1 Знак Знак Знак Знак Знак Знак Знак Знак Знак Знак Знак Знак Знак"/>
    <w:basedOn w:val="1038"/>
    <w:qFormat/>
    <w:pPr>
      <w:pBdr/>
      <w:spacing w:after="160" w:before="0" w:line="240" w:lineRule="exact"/>
      <w:ind/>
    </w:pPr>
    <w:rPr>
      <w:rFonts w:ascii="Tahoma" w:hAnsi="Tahoma" w:cs="Tahoma"/>
      <w:lang w:val="en-US"/>
    </w:rPr>
  </w:style>
  <w:style w:type="paragraph" w:styleId="1203">
    <w:name w:val=" Знак Знак Знак1 Знак Знак Знак Знак Знак Знак Знак Знак1 Знак Знак Знак1 Знак Знак Знак1 Знак Знак Знак Знак Знак Знак Знак Знак Знак Знак Знак Знак Знак Знак Знак1 Знак"/>
    <w:basedOn w:val="1038"/>
    <w:qFormat/>
    <w:pPr>
      <w:pBdr/>
      <w:spacing w:after="160" w:before="0" w:line="240" w:lineRule="exact"/>
      <w:ind/>
    </w:pPr>
    <w:rPr>
      <w:rFonts w:ascii="Tahoma" w:hAnsi="Tahoma" w:cs="Tahoma"/>
      <w:lang w:val="en-US"/>
    </w:rPr>
  </w:style>
  <w:style w:type="paragraph" w:styleId="1204">
    <w:name w:val="Знак Знак Знак1 Знак Знак Знак Знак Знак Знак Знак Знак1 Знак Знак Знак1 Знак Знак Знак1 Знак Знак Знак Знак Знак Знак Знак Знак Знак Знак Знак Знак Знак Знак Знак1 Знак"/>
    <w:basedOn w:val="1038"/>
    <w:qFormat/>
    <w:pPr>
      <w:pBdr/>
      <w:spacing w:after="160" w:before="0" w:line="240" w:lineRule="exact"/>
      <w:ind/>
    </w:pPr>
    <w:rPr>
      <w:rFonts w:ascii="Tahoma" w:hAnsi="Tahoma" w:cs="Tahoma"/>
      <w:lang w:val="en-US"/>
    </w:rPr>
  </w:style>
  <w:style w:type="paragraph" w:styleId="1205">
    <w:name w:val=" Знак6 Знак Знак Знак Знак"/>
    <w:basedOn w:val="1038"/>
    <w:qFormat/>
    <w:pPr>
      <w:pBdr/>
      <w:spacing w:after="160" w:before="0" w:line="240" w:lineRule="exact"/>
      <w:ind/>
    </w:pPr>
    <w:rPr>
      <w:rFonts w:ascii="Tahoma" w:hAnsi="Tahoma" w:cs="Tahoma"/>
      <w:lang w:val="en-US"/>
    </w:rPr>
  </w:style>
  <w:style w:type="paragraph" w:styleId="1206">
    <w:name w:val=" Знак6 Знак Знак Знак Знак1 Знак"/>
    <w:basedOn w:val="1038"/>
    <w:qFormat/>
    <w:pPr>
      <w:pBdr/>
      <w:spacing w:after="160" w:before="0" w:line="240" w:lineRule="exact"/>
      <w:ind/>
    </w:pPr>
    <w:rPr>
      <w:rFonts w:ascii="Tahoma" w:hAnsi="Tahoma" w:cs="Tahoma"/>
      <w:lang w:val="en-US"/>
    </w:rPr>
  </w:style>
  <w:style w:type="paragraph" w:styleId="1207">
    <w:name w:val=" Знак6"/>
    <w:basedOn w:val="1038"/>
    <w:qFormat/>
    <w:pPr>
      <w:widowControl w:val="false"/>
      <w:pBdr/>
      <w:spacing w:after="160" w:before="0" w:line="240" w:lineRule="exact"/>
      <w:ind/>
      <w:jc w:val="right"/>
    </w:pPr>
    <w:rPr>
      <w:lang w:val="en-GB"/>
    </w:rPr>
  </w:style>
  <w:style w:type="paragraph" w:styleId="1208">
    <w:name w:val="ConsNonformat"/>
    <w:qFormat/>
    <w:pPr>
      <w:widowControl w:val="false"/>
      <w:pBdr/>
      <w:bidi w:val="false"/>
      <w:spacing w:after="0" w:before="0"/>
      <w:ind/>
      <w:jc w:val="left"/>
    </w:pPr>
    <w:rPr>
      <w:rFonts w:ascii="Courier New" w:hAnsi="Courier New" w:eastAsia="Times New Roman" w:cs="Courier New"/>
      <w:color w:val="auto"/>
      <w:sz w:val="20"/>
      <w:szCs w:val="20"/>
      <w:lang w:val="ru-RU" w:eastAsia="zh-CN" w:bidi="ar-SA"/>
    </w:rPr>
  </w:style>
  <w:style w:type="paragraph" w:styleId="1209">
    <w:name w:val="Обычный11"/>
    <w:qFormat/>
    <w:pPr>
      <w:widowControl w:val="true"/>
      <w:pBdr/>
      <w:bidi w:val="false"/>
      <w:spacing w:after="100" w:before="100"/>
      <w:ind/>
      <w:jc w:val="left"/>
    </w:pPr>
    <w:rPr>
      <w:rFonts w:ascii="Times New Roman" w:hAnsi="Times New Roman" w:eastAsia="Times New Roman" w:cs="Times New Roman"/>
      <w:color w:val="auto"/>
      <w:sz w:val="24"/>
      <w:szCs w:val="20"/>
      <w:lang w:val="ru-RU" w:eastAsia="zh-CN" w:bidi="ar-SA"/>
    </w:rPr>
  </w:style>
  <w:style w:type="paragraph" w:styleId="1210">
    <w:name w:val="Default"/>
    <w:qFormat/>
    <w:pPr>
      <w:widowControl w:val="true"/>
      <w:pBdr/>
      <w:bidi w:val="false"/>
      <w:spacing w:after="0" w:before="0"/>
      <w:ind/>
      <w:jc w:val="left"/>
    </w:pPr>
    <w:rPr>
      <w:rFonts w:ascii="Helvetica Neue LT Cyrillic;Arial" w:hAnsi="Helvetica Neue LT Cyrillic;Arial" w:eastAsia="Times New Roman" w:cs="Helvetica Neue LT Cyrillic;Arial"/>
      <w:color w:val="000000"/>
      <w:sz w:val="24"/>
      <w:szCs w:val="24"/>
      <w:lang w:val="ru-RU" w:eastAsia="zh-CN" w:bidi="ar-SA"/>
    </w:rPr>
  </w:style>
  <w:style w:type="paragraph" w:styleId="1211">
    <w:name w:val="Pa6"/>
    <w:basedOn w:val="1210"/>
    <w:next w:val="1210"/>
    <w:qFormat/>
    <w:pPr>
      <w:pBdr/>
      <w:spacing w:line="241" w:lineRule="atLeast"/>
      <w:ind/>
    </w:pPr>
    <w:rPr>
      <w:rFonts w:cs="Times New Roman"/>
      <w:color w:val="000000"/>
    </w:rPr>
  </w:style>
  <w:style w:type="paragraph" w:styleId="1212">
    <w:name w:val="Table Paragraph"/>
    <w:basedOn w:val="1038"/>
    <w:qFormat/>
    <w:pPr>
      <w:widowControl w:val="false"/>
      <w:pBdr/>
      <w:spacing/>
      <w:ind/>
    </w:pPr>
    <w:rPr>
      <w:rFonts w:ascii="Calibri" w:hAnsi="Calibri" w:cs="Calibri"/>
      <w:sz w:val="22"/>
      <w:szCs w:val="22"/>
      <w:lang w:val="en-US"/>
    </w:rPr>
  </w:style>
  <w:style w:type="paragraph" w:styleId="1213">
    <w:name w:val="Абзац списка"/>
    <w:basedOn w:val="1038"/>
    <w:qFormat/>
    <w:pPr>
      <w:pBdr/>
      <w:spacing w:after="0" w:before="0"/>
      <w:ind w:right="0" w:firstLine="0" w:left="720"/>
      <w:contextualSpacing w:val="true"/>
      <w:jc w:val="center"/>
    </w:pPr>
    <w:rPr>
      <w:sz w:val="24"/>
      <w:szCs w:val="24"/>
    </w:rPr>
  </w:style>
  <w:style w:type="paragraph" w:styleId="1214">
    <w:name w:val="Текст примечания"/>
    <w:basedOn w:val="1038"/>
    <w:qFormat/>
    <w:pPr>
      <w:pBdr/>
      <w:spacing w:after="200" w:before="0"/>
      <w:ind/>
    </w:pPr>
    <w:rPr>
      <w:rFonts w:ascii="Calibri" w:hAnsi="Calibri" w:eastAsia="Calibri" w:cs="Times New Roman"/>
    </w:rPr>
  </w:style>
  <w:style w:type="paragraph" w:styleId="1215">
    <w:name w:val="Тема примечания"/>
    <w:basedOn w:val="1214"/>
    <w:next w:val="1214"/>
    <w:qFormat/>
    <w:pPr>
      <w:pBdr/>
      <w:spacing/>
      <w:ind/>
    </w:pPr>
    <w:rPr>
      <w:rFonts w:ascii="Calibri" w:hAnsi="Calibri" w:eastAsia="Calibri" w:cs="Times New Roman"/>
      <w:b/>
      <w:bCs/>
    </w:rPr>
  </w:style>
  <w:style w:type="paragraph" w:styleId="1216">
    <w:name w:val="2"/>
    <w:basedOn w:val="1038"/>
    <w:next w:val="1157"/>
    <w:qFormat/>
    <w:pPr>
      <w:pBdr/>
      <w:spacing w:after="280" w:before="280"/>
      <w:ind/>
      <w:jc w:val="both"/>
    </w:pPr>
    <w:rPr>
      <w:sz w:val="24"/>
      <w:szCs w:val="24"/>
    </w:rPr>
  </w:style>
  <w:style w:type="paragraph" w:styleId="1217">
    <w:name w:val="Текст в заданном формате"/>
    <w:basedOn w:val="1038"/>
    <w:qFormat/>
    <w:pPr>
      <w:pBdr/>
      <w:spacing w:line="276" w:lineRule="auto"/>
      <w:ind/>
    </w:pPr>
    <w:rPr>
      <w:rFonts w:ascii="Liberation Mono;Courier New" w:hAnsi="Liberation Mono;Courier New" w:eastAsia="Liberation Mono;Courier New" w:cs="Liberation Mono;Courier New"/>
      <w:sz w:val="22"/>
      <w:szCs w:val="22"/>
    </w:rPr>
  </w:style>
  <w:style w:type="paragraph" w:styleId="1218">
    <w:name w:val="Table Contents"/>
    <w:basedOn w:val="1038"/>
    <w:qFormat/>
    <w:pPr>
      <w:widowControl w:val="false"/>
      <w:suppressLineNumbers w:val="true"/>
      <w:pBdr/>
      <w:spacing/>
      <w:ind/>
    </w:pPr>
  </w:style>
  <w:style w:type="paragraph" w:styleId="1219">
    <w:name w:val="Table Heading"/>
    <w:basedOn w:val="1218"/>
    <w:qFormat/>
    <w:pPr>
      <w:suppressLineNumbers w:val="true"/>
      <w:pBdr/>
      <w:spacing/>
      <w:ind/>
      <w:jc w:val="center"/>
    </w:pPr>
    <w:rPr>
      <w:b/>
      <w:bCs/>
    </w:rPr>
  </w:style>
  <w:style w:type="paragraph" w:styleId="1220">
    <w:name w:val="Frame Contents"/>
    <w:basedOn w:val="1038"/>
    <w:qFormat/>
    <w:pPr>
      <w:pBdr/>
      <w:spacing/>
      <w:ind/>
    </w:pPr>
  </w:style>
  <w:style w:type="paragraph" w:styleId="1221">
    <w:name w:val="Frame Contents (user)"/>
    <w:basedOn w:val="1038"/>
    <w:qFormat/>
    <w:pPr>
      <w:pBdr/>
      <w:spacing/>
      <w:ind/>
    </w:pPr>
  </w:style>
  <w:style w:type="paragraph" w:styleId="1222">
    <w:name w:val="Preformatted Text"/>
    <w:basedOn w:val="1038"/>
    <w:qFormat/>
    <w:pPr>
      <w:pBdr/>
      <w:spacing w:after="0" w:before="0"/>
      <w:ind/>
    </w:pPr>
    <w:rPr>
      <w:rFonts w:ascii="Liberation Mono" w:hAnsi="Liberation Mono" w:eastAsia="Liberation Mono" w:cs="Liberation Mono"/>
      <w:sz w:val="20"/>
      <w:szCs w:val="20"/>
    </w:rPr>
  </w:style>
  <w:style w:type="numbering" w:styleId="1223">
    <w:name w:val="WW8Num1"/>
    <w:qFormat/>
    <w:pPr>
      <w:pBdr/>
      <w:spacing/>
      <w:ind/>
    </w:pPr>
  </w:style>
  <w:style w:type="numbering" w:styleId="1224">
    <w:name w:val="WW8Num2"/>
    <w:qFormat/>
    <w:pPr>
      <w:pBdr/>
      <w:spacing/>
      <w:ind/>
    </w:pPr>
  </w:style>
  <w:style w:type="numbering" w:styleId="1225">
    <w:name w:val="WW8Num3"/>
    <w:qFormat/>
    <w:pPr>
      <w:pBdr/>
      <w:spacing/>
      <w:ind/>
    </w:pPr>
  </w:style>
  <w:style w:type="numbering" w:styleId="1226">
    <w:name w:val="WW8Num4"/>
    <w:qFormat/>
    <w:pPr>
      <w:pBdr/>
      <w:spacing/>
      <w:ind/>
    </w:pPr>
  </w:style>
  <w:style w:type="numbering" w:styleId="1227">
    <w:name w:val="WW8Num5"/>
    <w:qFormat/>
    <w:pPr>
      <w:pBdr/>
      <w:spacing/>
      <w:ind/>
    </w:pPr>
  </w:style>
  <w:style w:type="numbering" w:styleId="1228">
    <w:name w:val="WW8Num6"/>
    <w:qFormat/>
    <w:pPr>
      <w:pBdr/>
      <w:spacing/>
      <w:ind/>
    </w:pPr>
  </w:style>
  <w:style w:type="numbering" w:styleId="1229">
    <w:name w:val="WW8Num7"/>
    <w:qFormat/>
    <w:pPr>
      <w:pBdr/>
      <w:spacing/>
      <w:ind/>
    </w:pPr>
  </w:style>
  <w:style w:type="numbering" w:styleId="1230">
    <w:name w:val="WW8Num8"/>
    <w:qFormat/>
    <w:pPr>
      <w:pBdr/>
      <w:spacing/>
      <w:ind/>
    </w:pPr>
  </w:style>
  <w:style w:type="numbering" w:styleId="1231">
    <w:name w:val="WW8Num9"/>
    <w:qFormat/>
    <w:pPr>
      <w:pBdr/>
      <w:spacing/>
      <w:ind/>
    </w:pPr>
  </w:style>
  <w:style w:type="numbering" w:styleId="1232">
    <w:name w:val="WW8Num10"/>
    <w:qFormat/>
    <w:pPr>
      <w:pBdr/>
      <w:spacing/>
      <w:ind/>
    </w:pPr>
  </w:style>
  <w:style w:type="numbering" w:styleId="1233">
    <w:name w:val="WW8Num11"/>
    <w:qFormat/>
    <w:pPr>
      <w:pBdr/>
      <w:spacing/>
      <w:ind/>
    </w:pPr>
  </w:style>
  <w:style w:type="numbering" w:styleId="1234">
    <w:name w:val="WW8Num12"/>
    <w:qFormat/>
    <w:pPr>
      <w:pBdr/>
      <w:spacing/>
      <w:ind/>
    </w:pPr>
  </w:style>
  <w:style w:type="numbering" w:styleId="1235">
    <w:name w:val="WW8Num13"/>
    <w:qFormat/>
    <w:pPr>
      <w:pBdr/>
      <w:spacing/>
      <w:ind/>
    </w:pPr>
  </w:style>
  <w:style w:type="numbering" w:styleId="1236">
    <w:name w:val="WW8Num14"/>
    <w:qFormat/>
    <w:pPr>
      <w:pBdr/>
      <w:spacing/>
      <w:ind/>
    </w:pPr>
  </w:style>
  <w:style w:type="numbering" w:styleId="1237">
    <w:name w:val="WW8Num15"/>
    <w:qFormat/>
    <w:pPr>
      <w:pBdr/>
      <w:spacing/>
      <w:ind/>
    </w:pPr>
  </w:style>
  <w:style w:type="numbering" w:styleId="1238">
    <w:name w:val="WW8Num16"/>
    <w:qFormat/>
    <w:pPr>
      <w:pBdr/>
      <w:spacing/>
      <w:ind/>
    </w:pPr>
  </w:style>
  <w:style w:type="numbering" w:styleId="1239">
    <w:name w:val="WW8Num17"/>
    <w:qFormat/>
    <w:pPr>
      <w:pBdr/>
      <w:spacing/>
      <w:ind/>
    </w:pPr>
  </w:style>
  <w:style w:type="numbering" w:styleId="1240">
    <w:name w:val="WW8Num18"/>
    <w:qFormat/>
    <w:pPr>
      <w:pBdr/>
      <w:spacing/>
      <w:ind/>
    </w:pPr>
  </w:style>
  <w:style w:type="numbering" w:styleId="1241">
    <w:name w:val="WW8Num19"/>
    <w:qFormat/>
    <w:pPr>
      <w:pBdr/>
      <w:spacing/>
      <w:ind/>
    </w:pPr>
  </w:style>
  <w:style w:type="numbering" w:styleId="1242">
    <w:name w:val="WW8Num20"/>
    <w:qFormat/>
    <w:pPr>
      <w:pBdr/>
      <w:spacing/>
      <w:ind/>
    </w:pPr>
  </w:style>
  <w:style w:type="numbering" w:styleId="1243">
    <w:name w:val="WW8Num21"/>
    <w:qFormat/>
    <w:pPr>
      <w:pBdr/>
      <w:spacing/>
      <w:ind/>
    </w:pPr>
  </w:style>
  <w:style w:type="numbering" w:styleId="1244">
    <w:name w:val="WW8Num22"/>
    <w:qFormat/>
    <w:pPr>
      <w:pBdr/>
      <w:spacing/>
      <w:ind/>
    </w:pPr>
  </w:style>
  <w:style w:type="numbering" w:styleId="1245">
    <w:name w:val="WW8Num23"/>
    <w:qFormat/>
    <w:pPr>
      <w:pBdr/>
      <w:spacing/>
      <w:ind/>
    </w:pPr>
  </w:style>
  <w:style w:type="numbering" w:styleId="1246">
    <w:name w:val="WW8Num24"/>
    <w:qFormat/>
    <w:pPr>
      <w:pBdr/>
      <w:spacing/>
      <w:ind/>
    </w:pPr>
  </w:style>
  <w:style w:type="numbering" w:styleId="1247">
    <w:name w:val="WW8Num25"/>
    <w:qFormat/>
    <w:pPr>
      <w:pBdr/>
      <w:spacing/>
      <w:ind/>
    </w:pPr>
  </w:style>
  <w:style w:type="numbering" w:styleId="1248">
    <w:name w:val="WW8Num26"/>
    <w:qFormat/>
    <w:pPr>
      <w:pBdr/>
      <w:spacing/>
      <w:ind/>
    </w:pPr>
  </w:style>
  <w:style w:type="numbering" w:styleId="1249">
    <w:name w:val="WW8Num27"/>
    <w:qFormat/>
    <w:pPr>
      <w:pBdr/>
      <w:spacing/>
      <w:ind/>
    </w:pPr>
  </w:style>
  <w:style w:type="numbering" w:styleId="1250">
    <w:name w:val="WW8Num28"/>
    <w:qFormat/>
    <w:pPr>
      <w:pBdr/>
      <w:spacing/>
      <w:ind/>
    </w:pPr>
  </w:style>
  <w:style w:type="numbering" w:styleId="1251">
    <w:name w:val="WW8Num29"/>
    <w:qFormat/>
    <w:pPr>
      <w:pBdr/>
      <w:spacing/>
      <w:ind/>
    </w:pPr>
  </w:style>
  <w:style w:type="numbering" w:styleId="1252">
    <w:name w:val="WW8Num30"/>
    <w:qFormat/>
    <w:pPr>
      <w:pBdr/>
      <w:spacing/>
      <w:ind/>
    </w:pPr>
  </w:style>
  <w:style w:type="numbering" w:styleId="1253">
    <w:name w:val="WW8Num31"/>
    <w:qFormat/>
    <w:pPr>
      <w:pBdr/>
      <w:spacing/>
      <w:ind/>
    </w:pPr>
  </w:style>
  <w:style w:type="numbering" w:styleId="1254">
    <w:name w:val="WW8Num32"/>
    <w:qFormat/>
    <w:pPr>
      <w:pBdr/>
      <w:spacing/>
      <w:ind/>
    </w:pPr>
  </w:style>
  <w:style w:type="numbering" w:styleId="1255">
    <w:name w:val="WW8Num33"/>
    <w:qFormat/>
    <w:pPr>
      <w:pBdr/>
      <w:spacing/>
      <w:ind/>
    </w:pPr>
  </w:style>
  <w:style w:type="numbering" w:styleId="1256">
    <w:name w:val="WW8Num34"/>
    <w:qFormat/>
    <w:pPr>
      <w:pBdr/>
      <w:spacing/>
      <w:ind/>
    </w:pPr>
  </w:style>
  <w:style w:type="numbering" w:styleId="1257">
    <w:name w:val="WW8Num35"/>
    <w:qFormat/>
    <w:pPr>
      <w:pBdr/>
      <w:spacing/>
      <w:ind/>
    </w:pPr>
  </w:style>
  <w:style w:type="numbering" w:styleId="1258">
    <w:name w:val="WW8Num36"/>
    <w:qFormat/>
    <w:pPr>
      <w:pBdr/>
      <w:spacing/>
      <w:ind/>
    </w:pPr>
  </w:style>
  <w:style w:type="numbering" w:styleId="1259">
    <w:name w:val="WW8Num37"/>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www.consultant.ru/document/cons_doc_LAW_19586/" TargetMode="External"/><Relationship Id="rId16" Type="http://schemas.openxmlformats.org/officeDocument/2006/relationships/hyperlink" Target="https://cbr.ru/key-indicators/" TargetMode="External"/><Relationship Id="rId17" Type="http://schemas.openxmlformats.org/officeDocument/2006/relationships/hyperlink" Target="https://cbr.ru/hd_base/mrrf/mrrf_7d/" TargetMode="External"/><Relationship Id="rId18" Type="http://schemas.openxmlformats.org/officeDocument/2006/relationships/hyperlink" Target="https://cbr.ru/hd_base/mrrf/mrrf_7d/" TargetMode="External"/><Relationship Id="rId19" Type="http://schemas.openxmlformats.org/officeDocument/2006/relationships/hyperlink" Target="https://minfin.gov.ru/ru/perfomance/public_debt/external/structure?id_65=69444-gosudarstvennyi_vneshnii_dolg_rossiiskoi_federatsii_2011-2022_gg." TargetMode="External"/><Relationship Id="rId20" Type="http://schemas.openxmlformats.org/officeDocument/2006/relationships/hyperlink" Target="https://cbr.ru/key-indicators/" TargetMode="External"/><Relationship Id="rId21" Type="http://schemas.openxmlformats.org/officeDocument/2006/relationships/hyperlink" Target="https://ya.ru/search/?text=usd+&#1082;&#1091;&#1088;&#1089;+&#1082;+&#1088;&#1091;&#1073;&#1083;&#1102;&amp;lr=47&amp;src=suggest_B" TargetMode="External"/><Relationship Id="rId22" Type="http://schemas.openxmlformats.org/officeDocument/2006/relationships/hyperlink" Target="https://ya.ru/search/?text=&#1085;&#1077;&#1092;&#1090;&#1100;+brent+&#1082;&#1091;&#1088;&#1089;+&#1094;&#1077;&#1085;&#1072;+&#1074;+&#1088;&#1091;&#1073;&#1083;&#1103;&#1093;&amp;lr=47" TargetMode="External"/><Relationship Id="rId23" Type="http://schemas.openxmlformats.org/officeDocument/2006/relationships/hyperlink" Target="http://government.ru/rugovclassifier/section/2649/" TargetMode="External"/><Relationship Id="rId24" Type="http://schemas.openxmlformats.org/officeDocument/2006/relationships/image" Target="media/image1.jpg"/><Relationship Id="rId25" Type="http://schemas.openxmlformats.org/officeDocument/2006/relationships/image" Target="media/image2.jpg"/><Relationship Id="rId26" Type="http://schemas.openxmlformats.org/officeDocument/2006/relationships/hyperlink" Target="https://auto.ru/" TargetMode="External"/><Relationship Id="rId27" Type="http://schemas.openxmlformats.org/officeDocument/2006/relationships/hyperlink" Target="https://www.avito.ru/" TargetMode="External"/><Relationship Id="rId28"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Normal_x005F_x0000_</Template>
  <Application>ONLYOFFICE/8.3.0.97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ОБЩЕСТВО С ОГРАНИЧЕННОЙ ОТВЕТСТВЕННОСТЬЮ</dc:title>
  <dc:subject/>
  <dc:creator>Олег</dc:creator>
  <dc:description/>
  <dc:language>en-US</dc:language>
  <cp:revision>260</cp:revision>
  <dcterms:created xsi:type="dcterms:W3CDTF">2024-03-29T16:07:00Z</dcterms:created>
  <dcterms:modified xsi:type="dcterms:W3CDTF">2026-09-09T09:40:14Z</dcterms:modified>
</cp:coreProperties>
</file>