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Heiti SC" w:hAnsi="Heiti SC" w:eastAsia="Heiti SC"/>
          <w:b/>
          <w:i w:val="0"/>
          <w:color w:val="2E74B5"/>
          <w:sz w:val="20"/>
        </w:rPr>
        <w:t>监管研究摘要</w:t>
      </w:r>
    </w:p>
    <w:p>
      <w:pPr>
        <w:spacing w:after="100"/>
      </w:pPr>
      <w:r>
        <w:rPr>
          <w:rFonts w:ascii="Heiti SC" w:hAnsi="Heiti SC" w:eastAsia="Heiti SC"/>
          <w:b/>
          <w:i w:val="0"/>
          <w:color w:val="243447"/>
          <w:sz w:val="48"/>
        </w:rPr>
        <w:t>英美及欧洲地区 MSB 法律监管汇总</w:t>
      </w:r>
    </w:p>
    <w:p>
      <w:pPr>
        <w:spacing w:after="320"/>
      </w:pPr>
      <w:r>
        <w:rPr>
          <w:rFonts w:ascii="Heiti SC" w:hAnsi="Heiti SC" w:eastAsia="Heiti SC"/>
          <w:b w:val="0"/>
          <w:i w:val="0"/>
          <w:color w:val="667085"/>
          <w:sz w:val="26"/>
        </w:rPr>
        <w:t>Money Services Business｜支付、汇款、电子货币及加密资产业务</w:t>
      </w:r>
    </w:p>
    <w:p>
      <w:pPr>
        <w:spacing w:after="40"/>
      </w:pPr>
      <w:r>
        <w:rPr>
          <w:rFonts w:ascii="Heiti SC" w:hAnsi="Heiti SC" w:eastAsia="Heiti SC"/>
          <w:b/>
          <w:i w:val="0"/>
          <w:color w:val="243447"/>
          <w:sz w:val="22"/>
        </w:rPr>
        <w:t>文件性质：</w:t>
      </w:r>
      <w:r>
        <w:rPr>
          <w:rFonts w:ascii="Heiti SC" w:hAnsi="Heiti SC" w:eastAsia="Heiti SC"/>
          <w:b w:val="0"/>
          <w:i w:val="0"/>
          <w:color w:val="243447"/>
          <w:sz w:val="22"/>
        </w:rPr>
        <w:t>跨司法辖区监管框架概览</w:t>
      </w:r>
    </w:p>
    <w:p>
      <w:pPr>
        <w:spacing w:after="40"/>
      </w:pPr>
      <w:r>
        <w:rPr>
          <w:rFonts w:ascii="Heiti SC" w:hAnsi="Heiti SC" w:eastAsia="Heiti SC"/>
          <w:b/>
          <w:i w:val="0"/>
          <w:color w:val="243447"/>
          <w:sz w:val="22"/>
        </w:rPr>
        <w:t>资料日期：</w:t>
      </w:r>
      <w:r>
        <w:rPr>
          <w:rFonts w:ascii="Heiti SC" w:hAnsi="Heiti SC" w:eastAsia="Heiti SC"/>
          <w:b w:val="0"/>
          <w:i w:val="0"/>
          <w:color w:val="243447"/>
          <w:sz w:val="22"/>
        </w:rPr>
        <w:t>截至 2026年7月23日</w:t>
      </w:r>
    </w:p>
    <w:p>
      <w:pPr>
        <w:spacing w:after="40"/>
      </w:pPr>
      <w:r>
        <w:rPr>
          <w:rFonts w:ascii="Heiti SC" w:hAnsi="Heiti SC" w:eastAsia="Heiti SC"/>
          <w:b/>
          <w:i w:val="0"/>
          <w:color w:val="243447"/>
          <w:sz w:val="22"/>
        </w:rPr>
        <w:t>适用对象：</w:t>
      </w:r>
      <w:r>
        <w:rPr>
          <w:rFonts w:ascii="Heiti SC" w:hAnsi="Heiti SC" w:eastAsia="Heiti SC"/>
          <w:b w:val="0"/>
          <w:i w:val="0"/>
          <w:color w:val="243447"/>
          <w:sz w:val="22"/>
        </w:rPr>
        <w:t>拟开展跨境支付、汇款、换汇、储值或虚拟资产服务的企业</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Heiti SC" w:hAnsi="Heiti SC" w:eastAsia="Heiti SC"/>
                <w:b/>
                <w:i w:val="0"/>
                <w:color w:val="1F4D78"/>
                <w:sz w:val="22"/>
              </w:rPr>
              <w:t xml:space="preserve">核心结论　</w:t>
            </w:r>
            <w:r>
              <w:rPr>
                <w:rFonts w:ascii="Heiti SC" w:hAnsi="Heiti SC" w:eastAsia="Heiti SC"/>
                <w:b w:val="0"/>
                <w:i w:val="0"/>
                <w:color w:val="243447"/>
                <w:sz w:val="22"/>
              </w:rPr>
              <w:t>“MSB”是美国等司法辖区常用的法定概念；英国及欧洲通常不存在统一的“MSB牌照”。同一商业模式可能分别触发支付机构、电子货币机构、汇款机构、加密资产服务商及反洗钱义务主体等多套制度。</w:t>
            </w:r>
          </w:p>
        </w:tc>
      </w:tr>
    </w:tbl>
    <w:p>
      <w:pPr>
        <w:spacing w:after="40"/>
      </w:pPr>
    </w:p>
    <w:p>
      <w:pPr>
        <w:pStyle w:val="Heading1"/>
        <w:keepNext/>
      </w:pPr>
      <w:r>
        <w:t>一、研究范围与判断方法</w:t>
      </w:r>
    </w:p>
    <w:p>
      <w:pPr>
        <w:keepNext w:val="0"/>
        <w:spacing w:before="0" w:after="120" w:line="264" w:lineRule="auto"/>
      </w:pPr>
      <w:r>
        <w:rPr>
          <w:rFonts w:ascii="Heiti SC" w:hAnsi="Heiti SC" w:eastAsia="Heiti SC"/>
          <w:b w:val="0"/>
          <w:i w:val="0"/>
          <w:color w:val="243447"/>
          <w:sz w:val="22"/>
        </w:rPr>
        <w:t>本摘要覆盖美国、英国、欧盟统一制度及部分欧洲重点司法辖区，重点关注市场准入、反洗钱、客户资金保护、资本要求、跨境经营和加密资产监管。</w:t>
      </w:r>
    </w:p>
    <w:p>
      <w:pPr>
        <w:keepNext w:val="0"/>
        <w:spacing w:before="0" w:after="120" w:line="264" w:lineRule="auto"/>
      </w:pPr>
      <w:r>
        <w:rPr>
          <w:rFonts w:ascii="Heiti SC" w:hAnsi="Heiti SC" w:eastAsia="Heiti SC"/>
          <w:b w:val="0"/>
          <w:i w:val="0"/>
          <w:color w:val="243447"/>
          <w:sz w:val="22"/>
        </w:rPr>
        <w:t>监管定性不能只看企业名称或合同标签，核心在于业务实质：企业是否接受、持有或控制客户资金，是否将资金或加密资产从一人传递给另一人，以及是否发行可用于第三方支付的储值。</w:t>
      </w:r>
    </w:p>
    <w:p>
      <w:pPr>
        <w:pStyle w:val="ListBullet"/>
        <w:spacing w:after="80" w:line="280" w:lineRule="auto"/>
        <w:ind w:left="720" w:hanging="360"/>
      </w:pPr>
      <w:r>
        <w:rPr>
          <w:rFonts w:ascii="Heiti SC" w:hAnsi="Heiti SC" w:eastAsia="Heiti SC"/>
          <w:b w:val="0"/>
          <w:i w:val="0"/>
          <w:color w:val="243447"/>
          <w:sz w:val="22"/>
        </w:rPr>
        <w:t>是否实际或法律上接受、持有或控制客户资金；</w:t>
      </w:r>
    </w:p>
    <w:p>
      <w:pPr>
        <w:pStyle w:val="ListBullet"/>
        <w:spacing w:after="80" w:line="280" w:lineRule="auto"/>
        <w:ind w:left="720" w:hanging="360"/>
      </w:pPr>
      <w:r>
        <w:rPr>
          <w:rFonts w:ascii="Heiti SC" w:hAnsi="Heiti SC" w:eastAsia="Heiti SC"/>
          <w:b w:val="0"/>
          <w:i w:val="0"/>
          <w:color w:val="243447"/>
          <w:sz w:val="22"/>
        </w:rPr>
        <w:t>是否将资金从一人传递给另一人或另一地点；</w:t>
      </w:r>
    </w:p>
    <w:p>
      <w:pPr>
        <w:pStyle w:val="ListBullet"/>
        <w:spacing w:after="80" w:line="280" w:lineRule="auto"/>
        <w:ind w:left="720" w:hanging="360"/>
      </w:pPr>
      <w:r>
        <w:rPr>
          <w:rFonts w:ascii="Heiti SC" w:hAnsi="Heiti SC" w:eastAsia="Heiti SC"/>
          <w:b w:val="0"/>
          <w:i w:val="0"/>
          <w:color w:val="243447"/>
          <w:sz w:val="22"/>
        </w:rPr>
        <w:t>是否发行可向第三方使用的储值或电子货币；</w:t>
      </w:r>
    </w:p>
    <w:p>
      <w:pPr>
        <w:pStyle w:val="ListBullet"/>
        <w:spacing w:after="80" w:line="280" w:lineRule="auto"/>
        <w:ind w:left="720" w:hanging="360"/>
      </w:pPr>
      <w:r>
        <w:rPr>
          <w:rFonts w:ascii="Heiti SC" w:hAnsi="Heiti SC" w:eastAsia="Heiti SC"/>
          <w:b w:val="0"/>
          <w:i w:val="0"/>
          <w:color w:val="243447"/>
          <w:sz w:val="22"/>
        </w:rPr>
        <w:t>是否兑换、托管、交易或转移虚拟资产；</w:t>
      </w:r>
    </w:p>
    <w:p>
      <w:pPr>
        <w:pStyle w:val="ListBullet"/>
        <w:spacing w:after="80" w:line="280" w:lineRule="auto"/>
        <w:ind w:left="720" w:hanging="360"/>
      </w:pPr>
      <w:r>
        <w:rPr>
          <w:rFonts w:ascii="Heiti SC" w:hAnsi="Heiti SC" w:eastAsia="Heiti SC"/>
          <w:b w:val="0"/>
          <w:i w:val="0"/>
          <w:color w:val="243447"/>
          <w:sz w:val="22"/>
        </w:rPr>
        <w:t>客户、代理商、公司实体及市场招揽分别位于哪些国家或州。</w:t>
      </w:r>
    </w:p>
    <w:p>
      <w:pPr>
        <w:pStyle w:val="Heading1"/>
        <w:keepNext/>
      </w:pPr>
      <w:r>
        <w:t>二、美国：联邦注册与州牌照并行</w:t>
      </w:r>
    </w:p>
    <w:p>
      <w:pPr>
        <w:pStyle w:val="Heading2"/>
        <w:keepNext/>
      </w:pPr>
      <w:r>
        <w:t>2.1 联邦层面</w:t>
      </w:r>
    </w:p>
    <w:p>
      <w:pPr>
        <w:keepNext w:val="0"/>
        <w:spacing w:before="0" w:after="120" w:line="264" w:lineRule="auto"/>
      </w:pPr>
      <w:r>
        <w:rPr>
          <w:rFonts w:ascii="Heiti SC" w:hAnsi="Heiti SC" w:eastAsia="Heiti SC"/>
          <w:b w:val="0"/>
          <w:i w:val="0"/>
          <w:color w:val="243447"/>
          <w:sz w:val="22"/>
        </w:rPr>
        <w:t>美国MSB的核心联邦框架由《银行保密法》（Bank Secrecy Act）及财政部实施规则构成。主要条文包括：</w:t>
      </w:r>
    </w:p>
    <w:p>
      <w:pPr>
        <w:pStyle w:val="ListBullet"/>
        <w:spacing w:after="80" w:line="280" w:lineRule="auto"/>
        <w:ind w:left="720" w:hanging="360"/>
      </w:pPr>
      <w:r>
        <w:rPr>
          <w:rFonts w:ascii="Heiti SC" w:hAnsi="Heiti SC" w:eastAsia="Heiti SC"/>
          <w:b w:val="0"/>
          <w:i w:val="0"/>
          <w:color w:val="243447"/>
          <w:sz w:val="22"/>
        </w:rPr>
        <w:t>31 U.S.C. §§ 5311–5336：《银行保密法》主要法源；</w:t>
      </w:r>
    </w:p>
    <w:p>
      <w:pPr>
        <w:pStyle w:val="ListBullet"/>
        <w:spacing w:after="80" w:line="280" w:lineRule="auto"/>
        <w:ind w:left="720" w:hanging="360"/>
      </w:pPr>
      <w:r>
        <w:rPr>
          <w:rFonts w:ascii="Heiti SC" w:hAnsi="Heiti SC" w:eastAsia="Heiti SC"/>
          <w:b w:val="0"/>
          <w:i w:val="0"/>
          <w:color w:val="243447"/>
          <w:sz w:val="22"/>
        </w:rPr>
        <w:t>31 CFR § 1010.100(ff)：MSB定义；</w:t>
      </w:r>
    </w:p>
    <w:p>
      <w:pPr>
        <w:pStyle w:val="ListBullet"/>
        <w:spacing w:after="80" w:line="280" w:lineRule="auto"/>
        <w:ind w:left="720" w:hanging="360"/>
      </w:pPr>
      <w:r>
        <w:rPr>
          <w:rFonts w:ascii="Heiti SC" w:hAnsi="Heiti SC" w:eastAsia="Heiti SC"/>
          <w:b w:val="0"/>
          <w:i w:val="0"/>
          <w:color w:val="243447"/>
          <w:sz w:val="22"/>
        </w:rPr>
        <w:t>31 CFR Part 1022：MSB专项反洗钱规则；</w:t>
      </w:r>
    </w:p>
    <w:p>
      <w:pPr>
        <w:pStyle w:val="ListBullet"/>
        <w:spacing w:after="80" w:line="280" w:lineRule="auto"/>
        <w:ind w:left="720" w:hanging="360"/>
      </w:pPr>
      <w:r>
        <w:rPr>
          <w:rFonts w:ascii="Heiti SC" w:hAnsi="Heiti SC" w:eastAsia="Heiti SC"/>
          <w:b w:val="0"/>
          <w:i w:val="0"/>
          <w:color w:val="243447"/>
          <w:sz w:val="22"/>
        </w:rPr>
        <w:t>31 CFR § 1022.380：FinCEN注册；</w:t>
      </w:r>
    </w:p>
    <w:p>
      <w:pPr>
        <w:pStyle w:val="ListBullet"/>
        <w:spacing w:after="80" w:line="280" w:lineRule="auto"/>
        <w:ind w:left="720" w:hanging="360"/>
      </w:pPr>
      <w:r>
        <w:rPr>
          <w:rFonts w:ascii="Heiti SC" w:hAnsi="Heiti SC" w:eastAsia="Heiti SC"/>
          <w:b w:val="0"/>
          <w:i w:val="0"/>
          <w:color w:val="243447"/>
          <w:sz w:val="22"/>
        </w:rPr>
        <w:t>31 CFR § 1022.210：书面AML合规计划；</w:t>
      </w:r>
    </w:p>
    <w:p>
      <w:pPr>
        <w:pStyle w:val="ListBullet"/>
        <w:spacing w:after="80" w:line="280" w:lineRule="auto"/>
        <w:ind w:left="720" w:hanging="360"/>
      </w:pPr>
      <w:r>
        <w:rPr>
          <w:rFonts w:ascii="Heiti SC" w:hAnsi="Heiti SC" w:eastAsia="Heiti SC"/>
          <w:b w:val="0"/>
          <w:i w:val="0"/>
          <w:color w:val="243447"/>
          <w:sz w:val="22"/>
        </w:rPr>
        <w:t>31 CFR § 1022.320：可疑活动报告；</w:t>
      </w:r>
    </w:p>
    <w:p>
      <w:pPr>
        <w:pStyle w:val="ListBullet"/>
        <w:spacing w:after="80" w:line="280" w:lineRule="auto"/>
        <w:ind w:left="720" w:hanging="360"/>
      </w:pPr>
      <w:r>
        <w:rPr>
          <w:rFonts w:ascii="Heiti SC" w:hAnsi="Heiti SC" w:eastAsia="Heiti SC"/>
          <w:b w:val="0"/>
          <w:i w:val="0"/>
          <w:color w:val="243447"/>
          <w:sz w:val="22"/>
        </w:rPr>
        <w:t>18 U.S.C. § 1960：无牌经营资金传输业务的刑事责任。</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trPr>
        <w:tc>
          <w:tcPr>
            <w:tcW w:type="dxa" w:w="2592"/>
            <w:shd w:fill="E8EEF5"/>
            <w:tcMar>
              <w:top w:w="80" w:type="dxa"/>
              <w:start w:w="120" w:type="dxa"/>
              <w:bottom w:w="80" w:type="dxa"/>
              <w:end w:w="120" w:type="dxa"/>
            </w:tcMar>
            <w:vAlign w:val="center"/>
          </w:tcPr>
          <w:p>
            <w:pPr>
              <w:spacing w:after="0"/>
            </w:pPr>
            <w:r>
              <w:rPr>
                <w:rFonts w:ascii="Heiti SC" w:hAnsi="Heiti SC" w:eastAsia="Heiti SC"/>
                <w:b/>
                <w:i w:val="0"/>
                <w:color w:val="1F4D78"/>
                <w:sz w:val="18"/>
              </w:rPr>
              <w:t>MSB类型</w:t>
            </w:r>
          </w:p>
        </w:tc>
        <w:tc>
          <w:tcPr>
            <w:tcW w:type="dxa" w:w="6768"/>
            <w:shd w:fill="E8EEF5"/>
            <w:tcMar>
              <w:top w:w="80" w:type="dxa"/>
              <w:start w:w="120" w:type="dxa"/>
              <w:bottom w:w="80" w:type="dxa"/>
              <w:end w:w="120" w:type="dxa"/>
            </w:tcMar>
            <w:vAlign w:val="center"/>
          </w:tcPr>
          <w:p>
            <w:pPr>
              <w:spacing w:after="0"/>
            </w:pPr>
            <w:r>
              <w:rPr>
                <w:rFonts w:ascii="Heiti SC" w:hAnsi="Heiti SC" w:eastAsia="Heiti SC"/>
                <w:b/>
                <w:i w:val="0"/>
                <w:color w:val="1F4D78"/>
                <w:sz w:val="18"/>
              </w:rPr>
              <w:t>联邦定义要点</w:t>
            </w:r>
          </w:p>
        </w:tc>
      </w:tr>
      <w:tr>
        <w:tc>
          <w:tcPr>
            <w:tcW w:type="dxa" w:w="2592"/>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货币兑换商</w:t>
            </w:r>
          </w:p>
        </w:tc>
        <w:tc>
          <w:tcPr>
            <w:tcW w:type="dxa" w:w="676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从事货币买卖或兑换；通常适用每人每日1,000美元以上门槛。</w:t>
            </w:r>
          </w:p>
        </w:tc>
      </w:tr>
      <w:tr>
        <w:tc>
          <w:tcPr>
            <w:tcW w:type="dxa" w:w="2592"/>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支票兑现商</w:t>
            </w:r>
          </w:p>
        </w:tc>
        <w:tc>
          <w:tcPr>
            <w:tcW w:type="dxa" w:w="676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为客户兑现支票或类似票据；通常适用1,000美元门槛。</w:t>
            </w:r>
          </w:p>
        </w:tc>
      </w:tr>
      <w:tr>
        <w:tc>
          <w:tcPr>
            <w:tcW w:type="dxa" w:w="2592"/>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汇票、旅行支票或预付产品业务</w:t>
            </w:r>
          </w:p>
        </w:tc>
        <w:tc>
          <w:tcPr>
            <w:tcW w:type="dxa" w:w="676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包括发行、销售、兑付或提供特定预付产品。</w:t>
            </w:r>
          </w:p>
        </w:tc>
      </w:tr>
      <w:tr>
        <w:tc>
          <w:tcPr>
            <w:tcW w:type="dxa" w:w="2592"/>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Money Transmitter</w:t>
            </w:r>
          </w:p>
        </w:tc>
        <w:tc>
          <w:tcPr>
            <w:tcW w:type="dxa" w:w="676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以业务方式接受并传递资金；通常没有最低交易金额门槛。</w:t>
            </w:r>
          </w:p>
        </w:tc>
      </w:tr>
    </w:tbl>
    <w:p>
      <w:pPr>
        <w:spacing w:after="40"/>
      </w:pPr>
    </w:p>
    <w:p>
      <w:pPr>
        <w:keepNext w:val="0"/>
        <w:spacing w:before="0" w:after="120" w:line="264" w:lineRule="auto"/>
      </w:pPr>
      <w:r>
        <w:rPr>
          <w:rFonts w:ascii="Heiti SC" w:hAnsi="Heiti SC" w:eastAsia="Heiti SC"/>
          <w:b w:val="0"/>
          <w:i w:val="0"/>
          <w:color w:val="243447"/>
          <w:sz w:val="22"/>
        </w:rPr>
        <w:t>企业通常须在成立MSB后的180日内向FinCEN注册，并按规定续期；单纯作为另一MSB代理商的企业可能适用注册例外，但仍应核实代理关系及州法要求。</w:t>
      </w:r>
    </w:p>
    <w:p>
      <w:pPr>
        <w:pStyle w:val="Heading2"/>
        <w:keepNext/>
      </w:pPr>
      <w:r>
        <w:t>2.2 核心持续义务</w:t>
      </w:r>
    </w:p>
    <w:p>
      <w:pPr>
        <w:pStyle w:val="ListBullet"/>
        <w:spacing w:after="80" w:line="280" w:lineRule="auto"/>
        <w:ind w:left="720" w:hanging="360"/>
      </w:pPr>
      <w:r>
        <w:rPr>
          <w:rFonts w:ascii="Heiti SC" w:hAnsi="Heiti SC" w:eastAsia="Heiti SC"/>
          <w:b w:val="0"/>
          <w:i w:val="0"/>
          <w:color w:val="243447"/>
          <w:sz w:val="22"/>
        </w:rPr>
        <w:t>建立风险导向的书面反洗钱计划；</w:t>
      </w:r>
    </w:p>
    <w:p>
      <w:pPr>
        <w:pStyle w:val="ListBullet"/>
        <w:spacing w:after="80" w:line="280" w:lineRule="auto"/>
        <w:ind w:left="720" w:hanging="360"/>
      </w:pPr>
      <w:r>
        <w:rPr>
          <w:rFonts w:ascii="Heiti SC" w:hAnsi="Heiti SC" w:eastAsia="Heiti SC"/>
          <w:b w:val="0"/>
          <w:i w:val="0"/>
          <w:color w:val="243447"/>
          <w:sz w:val="22"/>
        </w:rPr>
        <w:t>指定合规负责人并开展员工培训；</w:t>
      </w:r>
    </w:p>
    <w:p>
      <w:pPr>
        <w:pStyle w:val="ListBullet"/>
        <w:spacing w:after="80" w:line="280" w:lineRule="auto"/>
        <w:ind w:left="720" w:hanging="360"/>
      </w:pPr>
      <w:r>
        <w:rPr>
          <w:rFonts w:ascii="Heiti SC" w:hAnsi="Heiti SC" w:eastAsia="Heiti SC"/>
          <w:b w:val="0"/>
          <w:i w:val="0"/>
          <w:color w:val="243447"/>
          <w:sz w:val="22"/>
        </w:rPr>
        <w:t>对AML计划进行独立审查；</w:t>
      </w:r>
    </w:p>
    <w:p>
      <w:pPr>
        <w:pStyle w:val="ListBullet"/>
        <w:spacing w:after="80" w:line="280" w:lineRule="auto"/>
        <w:ind w:left="720" w:hanging="360"/>
      </w:pPr>
      <w:r>
        <w:rPr>
          <w:rFonts w:ascii="Heiti SC" w:hAnsi="Heiti SC" w:eastAsia="Heiti SC"/>
          <w:b w:val="0"/>
          <w:i w:val="0"/>
          <w:color w:val="243447"/>
          <w:sz w:val="22"/>
        </w:rPr>
        <w:t>实施客户身份识别、交易监控及受益所有人核查；</w:t>
      </w:r>
    </w:p>
    <w:p>
      <w:pPr>
        <w:pStyle w:val="ListBullet"/>
        <w:spacing w:after="80" w:line="280" w:lineRule="auto"/>
        <w:ind w:left="720" w:hanging="360"/>
      </w:pPr>
      <w:r>
        <w:rPr>
          <w:rFonts w:ascii="Heiti SC" w:hAnsi="Heiti SC" w:eastAsia="Heiti SC"/>
          <w:b w:val="0"/>
          <w:i w:val="0"/>
          <w:color w:val="243447"/>
          <w:sz w:val="22"/>
        </w:rPr>
        <w:t>提交SAR、CTR等法定报告并保存交易记录；</w:t>
      </w:r>
    </w:p>
    <w:p>
      <w:pPr>
        <w:pStyle w:val="ListBullet"/>
        <w:spacing w:after="80" w:line="280" w:lineRule="auto"/>
        <w:ind w:left="720" w:hanging="360"/>
      </w:pPr>
      <w:r>
        <w:rPr>
          <w:rFonts w:ascii="Heiti SC" w:hAnsi="Heiti SC" w:eastAsia="Heiti SC"/>
          <w:b w:val="0"/>
          <w:i w:val="0"/>
          <w:color w:val="243447"/>
          <w:sz w:val="22"/>
        </w:rPr>
        <w:t>保存和更新代理商名单；</w:t>
      </w:r>
    </w:p>
    <w:p>
      <w:pPr>
        <w:pStyle w:val="ListBullet"/>
        <w:spacing w:after="80" w:line="280" w:lineRule="auto"/>
        <w:ind w:left="720" w:hanging="360"/>
      </w:pPr>
      <w:r>
        <w:rPr>
          <w:rFonts w:ascii="Heiti SC" w:hAnsi="Heiti SC" w:eastAsia="Heiti SC"/>
          <w:b w:val="0"/>
          <w:i w:val="0"/>
          <w:color w:val="243447"/>
          <w:sz w:val="22"/>
        </w:rPr>
        <w:t>实施OFAC制裁筛查。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vAlign w:val="center"/>
          </w:tcPr>
          <w:p>
            <w:pPr>
              <w:spacing w:after="0"/>
            </w:pPr>
            <w:r>
              <w:rPr>
                <w:rFonts w:ascii="Heiti SC" w:hAnsi="Heiti SC" w:eastAsia="Heiti SC"/>
                <w:b/>
                <w:i w:val="0"/>
                <w:color w:val="7A5A00"/>
                <w:sz w:val="22"/>
              </w:rPr>
              <w:t xml:space="preserve">重要提示　</w:t>
            </w:r>
            <w:r>
              <w:rPr>
                <w:rFonts w:ascii="Heiti SC" w:hAnsi="Heiti SC" w:eastAsia="Heiti SC"/>
                <w:b w:val="0"/>
                <w:i w:val="0"/>
                <w:color w:val="243447"/>
                <w:sz w:val="22"/>
              </w:rPr>
              <w:t>FinCEN注册是联邦反洗钱登记，并非允许企业在全美开展汇款业务的全国牌照。</w:t>
            </w:r>
          </w:p>
        </w:tc>
      </w:tr>
    </w:tbl>
    <w:p>
      <w:pPr>
        <w:spacing w:after="40"/>
      </w:pPr>
    </w:p>
    <w:p>
      <w:pPr>
        <w:pStyle w:val="Heading2"/>
        <w:keepNext/>
      </w:pPr>
      <w:r>
        <w:t>2.3 州层面</w:t>
      </w:r>
    </w:p>
    <w:p>
      <w:pPr>
        <w:keepNext w:val="0"/>
        <w:spacing w:before="0" w:after="120" w:line="264" w:lineRule="auto"/>
      </w:pPr>
      <w:r>
        <w:rPr>
          <w:rFonts w:ascii="Heiti SC" w:hAnsi="Heiti SC" w:eastAsia="Heiti SC"/>
          <w:b w:val="0"/>
          <w:i w:val="0"/>
          <w:color w:val="243447"/>
          <w:sz w:val="22"/>
        </w:rPr>
        <w:t>资金传输通常还受各州Money Transmitter法律监管。企业可能需要逐州申请许可或逐州确认豁免，多数州通过NMLS处理申请。常见要求包括最低净资产、保证金、客户资金保障、合格投资、管理层背景调查、定期报告、续牌和监管检查。</w:t>
      </w:r>
    </w:p>
    <w:p>
      <w:pPr>
        <w:keepNext w:val="0"/>
        <w:spacing w:before="0" w:after="120" w:line="264" w:lineRule="auto"/>
      </w:pPr>
      <w:r>
        <w:rPr>
          <w:rFonts w:ascii="Heiti SC" w:hAnsi="Heiti SC" w:eastAsia="Heiti SC"/>
          <w:b w:val="0"/>
          <w:i w:val="0"/>
          <w:color w:val="243447"/>
          <w:sz w:val="22"/>
        </w:rPr>
        <w:t>纽约州可能额外涉及 New York Banking Law Article 13-B 的资金传输许可；虚拟货币业务还可能触发 23 NYCRR Part 200 的 BitLicense。</w:t>
      </w:r>
    </w:p>
    <w:p>
      <w:pPr>
        <w:pStyle w:val="Heading1"/>
        <w:keepNext/>
      </w:pPr>
      <w:r>
        <w:t>三、英国：按具体金融活动分类监管</w:t>
      </w:r>
    </w:p>
    <w:p>
      <w:pPr>
        <w:keepNext w:val="0"/>
        <w:spacing w:before="0" w:after="120" w:line="264" w:lineRule="auto"/>
      </w:pPr>
      <w:r>
        <w:rPr>
          <w:rFonts w:ascii="Heiti SC" w:hAnsi="Heiti SC" w:eastAsia="Heiti SC"/>
          <w:b w:val="0"/>
          <w:i w:val="0"/>
          <w:color w:val="243447"/>
          <w:sz w:val="22"/>
        </w:rPr>
        <w:t>英国没有统一的“MSB licence”。“Money Service Business”更多用于反洗钱监管分类；市场准入则取决于企业实际提供的支付、电子货币、现金兑换或加密资产服务。</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trPr>
        <w:tc>
          <w:tcPr>
            <w:tcW w:type="dxa" w:w="3240"/>
            <w:shd w:fill="E8EEF5"/>
            <w:tcMar>
              <w:top w:w="80" w:type="dxa"/>
              <w:start w:w="120" w:type="dxa"/>
              <w:bottom w:w="80" w:type="dxa"/>
              <w:end w:w="120" w:type="dxa"/>
            </w:tcMar>
            <w:vAlign w:val="center"/>
          </w:tcPr>
          <w:p>
            <w:pPr>
              <w:spacing w:after="0"/>
            </w:pPr>
            <w:r>
              <w:rPr>
                <w:rFonts w:ascii="Heiti SC" w:hAnsi="Heiti SC" w:eastAsia="Heiti SC"/>
                <w:b/>
                <w:i w:val="0"/>
                <w:color w:val="1F4D78"/>
                <w:sz w:val="18"/>
              </w:rPr>
              <w:t>业务活动</w:t>
            </w:r>
          </w:p>
        </w:tc>
        <w:tc>
          <w:tcPr>
            <w:tcW w:type="dxa" w:w="6120"/>
            <w:shd w:fill="E8EEF5"/>
            <w:tcMar>
              <w:top w:w="80" w:type="dxa"/>
              <w:start w:w="120" w:type="dxa"/>
              <w:bottom w:w="80" w:type="dxa"/>
              <w:end w:w="120" w:type="dxa"/>
            </w:tcMar>
            <w:vAlign w:val="center"/>
          </w:tcPr>
          <w:p>
            <w:pPr>
              <w:spacing w:after="0"/>
            </w:pPr>
            <w:r>
              <w:rPr>
                <w:rFonts w:ascii="Heiti SC" w:hAnsi="Heiti SC" w:eastAsia="Heiti SC"/>
                <w:b/>
                <w:i w:val="0"/>
                <w:color w:val="1F4D78"/>
                <w:sz w:val="18"/>
              </w:rPr>
              <w:t>主要监管身份或要求</w:t>
            </w:r>
          </w:p>
        </w:tc>
      </w:tr>
      <w:tr>
        <w:tc>
          <w:tcPr>
            <w:tcW w:type="dxa" w:w="324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汇款、收单、支付账户及支付执行</w:t>
            </w:r>
          </w:p>
        </w:tc>
        <w:tc>
          <w:tcPr>
            <w:tcW w:type="dxa" w:w="612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Authorised Payment Institution 或 Small Payment Institution</w:t>
            </w:r>
          </w:p>
        </w:tc>
      </w:tr>
      <w:tr>
        <w:tc>
          <w:tcPr>
            <w:tcW w:type="dxa" w:w="324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发行可向第三方支付的储值</w:t>
            </w:r>
          </w:p>
        </w:tc>
        <w:tc>
          <w:tcPr>
            <w:tcW w:type="dxa" w:w="612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Electronic Money Institution 或 Small EMI</w:t>
            </w:r>
          </w:p>
        </w:tc>
      </w:tr>
      <w:tr>
        <w:tc>
          <w:tcPr>
            <w:tcW w:type="dxa" w:w="324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外币现钞兑换、支票兑现</w:t>
            </w:r>
          </w:p>
        </w:tc>
        <w:tc>
          <w:tcPr>
            <w:tcW w:type="dxa" w:w="612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通常作为HMRC监管的MSB履行反洗钱注册与合规义务</w:t>
            </w:r>
          </w:p>
        </w:tc>
      </w:tr>
      <w:tr>
        <w:tc>
          <w:tcPr>
            <w:tcW w:type="dxa" w:w="324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加密资产兑换或托管钱包</w:t>
            </w:r>
          </w:p>
        </w:tc>
        <w:tc>
          <w:tcPr>
            <w:tcW w:type="dxa" w:w="612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FCA反洗钱注册，并需核查英国加密资产新制度及过渡安排</w:t>
            </w:r>
          </w:p>
        </w:tc>
      </w:tr>
      <w:tr>
        <w:tc>
          <w:tcPr>
            <w:tcW w:type="dxa" w:w="324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支付与加密复合业务</w:t>
            </w:r>
          </w:p>
        </w:tc>
        <w:tc>
          <w:tcPr>
            <w:tcW w:type="dxa" w:w="6120"/>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8"/>
              </w:rPr>
              <w:t>可能需要支付授权与加密资产业务许可或注册并行</w:t>
            </w:r>
          </w:p>
        </w:tc>
      </w:tr>
    </w:tbl>
    <w:p>
      <w:pPr>
        <w:spacing w:after="40"/>
      </w:pPr>
    </w:p>
    <w:p>
      <w:pPr>
        <w:keepNext w:val="0"/>
        <w:spacing w:before="0" w:after="120" w:line="264" w:lineRule="auto"/>
      </w:pPr>
      <w:r>
        <w:rPr>
          <w:rFonts w:ascii="Heiti SC" w:hAnsi="Heiti SC" w:eastAsia="Heiti SC"/>
          <w:b w:val="0"/>
          <w:i w:val="0"/>
          <w:color w:val="243447"/>
          <w:sz w:val="22"/>
        </w:rPr>
        <w:t>主要法规包括 Payment Services Regulations 2017、Electronic Money Regulations 2011、Money Laundering Regulations 2017、Financial Services and Markets Act 2000、Proceeds of Crime Act 2002 及制裁相关法律。</w:t>
      </w:r>
    </w:p>
    <w:p>
      <w:pPr>
        <w:keepNext w:val="0"/>
        <w:spacing w:before="0" w:after="120" w:line="264" w:lineRule="auto"/>
      </w:pPr>
      <w:r>
        <w:rPr>
          <w:rFonts w:ascii="Heiti SC" w:hAnsi="Heiti SC" w:eastAsia="Heiti SC"/>
          <w:b w:val="0"/>
          <w:i w:val="0"/>
          <w:color w:val="243447"/>
          <w:sz w:val="22"/>
        </w:rPr>
        <w:t>常见义务包括初始资本及持续自有资金、客户资金隔离或保险保障、治理和内控、高管适当性、AML/KYC、制裁筛查、投诉处理、重大事件报告及强客户认证。英国脱欧后，英国牌照原则上不能通过欧盟护照机制直接覆盖EEA。</w:t>
      </w:r>
    </w:p>
    <w:p>
      <w:pPr>
        <w:pStyle w:val="Heading1"/>
        <w:keepNext/>
      </w:pPr>
      <w:r>
        <w:t>四、欧盟：支付、电子货币、AML与MiCA四层框架</w:t>
      </w:r>
    </w:p>
    <w:p>
      <w:pPr>
        <w:pStyle w:val="Heading2"/>
        <w:keepNext/>
      </w:pPr>
      <w:r>
        <w:t>4.1 支付与电子货币</w:t>
      </w:r>
    </w:p>
    <w:p>
      <w:pPr>
        <w:keepNext w:val="0"/>
        <w:spacing w:before="0" w:after="120" w:line="264" w:lineRule="auto"/>
      </w:pPr>
      <w:r>
        <w:rPr>
          <w:rFonts w:ascii="Heiti SC" w:hAnsi="Heiti SC" w:eastAsia="Heiti SC"/>
          <w:b w:val="0"/>
          <w:i w:val="0"/>
          <w:color w:val="243447"/>
          <w:sz w:val="22"/>
        </w:rPr>
        <w:t>欧盟目前的核心支付框架为 Directive (EU) 2015/2366（PSD2），电子货币业务另受 Directive 2009/110/EC 及成员国转化法律监管。PSD2涵盖支付账户运营、转账、直接扣款、银行卡支付、收单、Money Remittance、支付发起服务和账户信息服务。</w:t>
      </w:r>
    </w:p>
    <w:p>
      <w:pPr>
        <w:keepNext w:val="0"/>
        <w:spacing w:before="0" w:after="120" w:line="264" w:lineRule="auto"/>
      </w:pPr>
      <w:r>
        <w:rPr>
          <w:rFonts w:ascii="Heiti SC" w:hAnsi="Heiti SC" w:eastAsia="Heiti SC"/>
          <w:b w:val="0"/>
          <w:i w:val="0"/>
          <w:color w:val="243447"/>
          <w:sz w:val="22"/>
        </w:rPr>
        <w:t>完整授权的支付机构或电子货币机构可在满足通知程序后，通过跨境服务、分支机构或代理商向其他EEA国家提供服务。小型或豁免机构通常不能使用完整护照机制。授权和日常监管仍由成员国主管机关负责。</w:t>
      </w:r>
    </w:p>
    <w:p>
      <w:pPr>
        <w:pStyle w:val="Heading2"/>
        <w:keepNext/>
      </w:pPr>
      <w:r>
        <w:t>4.2 反洗钱与资金转移信息</w:t>
      </w:r>
    </w:p>
    <w:p>
      <w:pPr>
        <w:keepNext w:val="0"/>
        <w:spacing w:before="0" w:after="120" w:line="264" w:lineRule="auto"/>
      </w:pPr>
      <w:r>
        <w:rPr>
          <w:rFonts w:ascii="Heiti SC" w:hAnsi="Heiti SC" w:eastAsia="Heiti SC"/>
          <w:b w:val="0"/>
          <w:i w:val="0"/>
          <w:color w:val="243447"/>
          <w:sz w:val="22"/>
        </w:rPr>
        <w:t>欧盟反洗钱框架正由指令型规则向更统一的法规型规则过渡。重点法源包括 Directive (EU) 2015/849 及其修订、Regulation (EU) 2023/1113、Regulation (EU) 2024/1624、Directive (EU) 2024/1640，以及设立AMLA的 Regulation (EU) 2024/1620。</w:t>
      </w:r>
    </w:p>
    <w:p>
      <w:pPr>
        <w:keepNext w:val="0"/>
        <w:spacing w:before="0" w:after="120" w:line="264" w:lineRule="auto"/>
      </w:pPr>
      <w:r>
        <w:rPr>
          <w:rFonts w:ascii="Heiti SC" w:hAnsi="Heiti SC" w:eastAsia="Heiti SC"/>
          <w:b w:val="0"/>
          <w:i w:val="0"/>
          <w:color w:val="243447"/>
          <w:sz w:val="22"/>
        </w:rPr>
        <w:t>核心义务覆盖客户尽职调查、受益所有人识别、高风险第三国措施、交易监控、可疑交易报告、代理及外包控制、记录保存和资金或加密资产转移信息。具体生效和过渡安排应按业务启动日期及成员国实施状态再次核验。</w:t>
      </w:r>
    </w:p>
    <w:p>
      <w:pPr>
        <w:pStyle w:val="Heading2"/>
        <w:keepNext/>
      </w:pPr>
      <w:r>
        <w:t>4.3 加密资产</w:t>
      </w:r>
    </w:p>
    <w:p>
      <w:pPr>
        <w:keepNext w:val="0"/>
        <w:spacing w:before="0" w:after="120" w:line="264" w:lineRule="auto"/>
      </w:pPr>
      <w:r>
        <w:rPr>
          <w:rFonts w:ascii="Heiti SC" w:hAnsi="Heiti SC" w:eastAsia="Heiti SC"/>
          <w:b w:val="0"/>
          <w:i w:val="0"/>
          <w:color w:val="243447"/>
          <w:sz w:val="22"/>
        </w:rPr>
        <w:t>Regulation (EU) 2023/1114（MiCA）对加密资产发行、公开发售和加密资产服务商建立统一框架；Regulation (EU) 2023/1113则延伸资金转移信息规则至特定加密资产转移。</w:t>
      </w:r>
    </w:p>
    <w:p>
      <w:pPr>
        <w:pStyle w:val="ListBullet"/>
        <w:spacing w:after="80" w:line="280" w:lineRule="auto"/>
        <w:ind w:left="720" w:hanging="360"/>
      </w:pPr>
      <w:r>
        <w:rPr>
          <w:rFonts w:ascii="Heiti SC" w:hAnsi="Heiti SC" w:eastAsia="Heiti SC"/>
          <w:b w:val="0"/>
          <w:i w:val="0"/>
          <w:color w:val="243447"/>
          <w:sz w:val="22"/>
        </w:rPr>
        <w:t>托管与管理客户加密资产；</w:t>
      </w:r>
    </w:p>
    <w:p>
      <w:pPr>
        <w:pStyle w:val="ListBullet"/>
        <w:spacing w:after="80" w:line="280" w:lineRule="auto"/>
        <w:ind w:left="720" w:hanging="360"/>
      </w:pPr>
      <w:r>
        <w:rPr>
          <w:rFonts w:ascii="Heiti SC" w:hAnsi="Heiti SC" w:eastAsia="Heiti SC"/>
          <w:b w:val="0"/>
          <w:i w:val="0"/>
          <w:color w:val="243447"/>
          <w:sz w:val="22"/>
        </w:rPr>
        <w:t>运营加密资产交易平台；</w:t>
      </w:r>
    </w:p>
    <w:p>
      <w:pPr>
        <w:pStyle w:val="ListBullet"/>
        <w:spacing w:after="80" w:line="280" w:lineRule="auto"/>
        <w:ind w:left="720" w:hanging="360"/>
      </w:pPr>
      <w:r>
        <w:rPr>
          <w:rFonts w:ascii="Heiti SC" w:hAnsi="Heiti SC" w:eastAsia="Heiti SC"/>
          <w:b w:val="0"/>
          <w:i w:val="0"/>
          <w:color w:val="243447"/>
          <w:sz w:val="22"/>
        </w:rPr>
        <w:t>法币与加密资产或不同加密资产之间的兑换；</w:t>
      </w:r>
    </w:p>
    <w:p>
      <w:pPr>
        <w:pStyle w:val="ListBullet"/>
        <w:spacing w:after="80" w:line="280" w:lineRule="auto"/>
        <w:ind w:left="720" w:hanging="360"/>
      </w:pPr>
      <w:r>
        <w:rPr>
          <w:rFonts w:ascii="Heiti SC" w:hAnsi="Heiti SC" w:eastAsia="Heiti SC"/>
          <w:b w:val="0"/>
          <w:i w:val="0"/>
          <w:color w:val="243447"/>
          <w:sz w:val="22"/>
        </w:rPr>
        <w:t>代表客户执行、接收或传递订单；</w:t>
      </w:r>
    </w:p>
    <w:p>
      <w:pPr>
        <w:pStyle w:val="ListBullet"/>
        <w:spacing w:after="80" w:line="280" w:lineRule="auto"/>
        <w:ind w:left="720" w:hanging="360"/>
      </w:pPr>
      <w:r>
        <w:rPr>
          <w:rFonts w:ascii="Heiti SC" w:hAnsi="Heiti SC" w:eastAsia="Heiti SC"/>
          <w:b w:val="0"/>
          <w:i w:val="0"/>
          <w:color w:val="243447"/>
          <w:sz w:val="22"/>
        </w:rPr>
        <w:t>提供加密资产转移服务。</w:t>
      </w:r>
    </w:p>
    <w:p>
      <w:pPr>
        <w:keepNext w:val="0"/>
        <w:spacing w:before="0" w:after="120" w:line="264" w:lineRule="auto"/>
      </w:pPr>
      <w:r>
        <w:rPr>
          <w:rFonts w:ascii="Heiti SC" w:hAnsi="Heiti SC" w:eastAsia="Heiti SC"/>
          <w:b w:val="0"/>
          <w:i w:val="0"/>
          <w:color w:val="243447"/>
          <w:sz w:val="22"/>
        </w:rPr>
        <w:t>上述活动可能触发CASP授权。稳定币还应区分资产参考代币与电子货币代币；电子货币代币通常与信贷机构或电子货币机构资质紧密相关。</w:t>
      </w:r>
    </w:p>
    <w:p>
      <w:pPr>
        <w:pStyle w:val="Heading1"/>
        <w:keepNext/>
      </w:pPr>
      <w:r>
        <w:t>五、欧洲重点司法辖区对照</w:t>
      </w:r>
    </w:p>
    <w:tbl>
      <w:tblPr>
        <w:tblStyle w:val="TableGrid"/>
        <w:tblW w:type="dxa" w:w="9360"/>
        <w:jc w:val="left"/>
        <w:tblLayout w:type="fixed"/>
        <w:tblLook w:firstColumn="1" w:firstRow="1" w:lastColumn="0" w:lastRow="0" w:noHBand="0" w:noVBand="1" w:val="04A0"/>
        <w:tblInd w:w="120" w:type="dxa"/>
      </w:tblPr>
      <w:tblGrid>
        <w:gridCol w:w="1007"/>
        <w:gridCol w:w="2448"/>
        <w:gridCol w:w="5903"/>
      </w:tblGrid>
      <w:tr>
        <w:trPr>
          <w:tblHeader w:val="true"/>
        </w:trPr>
        <w:tc>
          <w:tcPr>
            <w:tcW w:type="dxa" w:w="1007"/>
            <w:shd w:fill="E8EEF5"/>
            <w:tcMar>
              <w:top w:w="80" w:type="dxa"/>
              <w:start w:w="120" w:type="dxa"/>
              <w:bottom w:w="80" w:type="dxa"/>
              <w:end w:w="120" w:type="dxa"/>
            </w:tcMar>
            <w:vAlign w:val="center"/>
          </w:tcPr>
          <w:p>
            <w:pPr>
              <w:spacing w:after="0"/>
            </w:pPr>
            <w:r>
              <w:rPr>
                <w:rFonts w:ascii="Heiti SC" w:hAnsi="Heiti SC" w:eastAsia="Heiti SC"/>
                <w:b/>
                <w:i w:val="0"/>
                <w:color w:val="1F4D78"/>
                <w:sz w:val="16"/>
              </w:rPr>
              <w:t>地区</w:t>
            </w:r>
          </w:p>
        </w:tc>
        <w:tc>
          <w:tcPr>
            <w:tcW w:type="dxa" w:w="2448"/>
            <w:shd w:fill="E8EEF5"/>
            <w:tcMar>
              <w:top w:w="80" w:type="dxa"/>
              <w:start w:w="120" w:type="dxa"/>
              <w:bottom w:w="80" w:type="dxa"/>
              <w:end w:w="120" w:type="dxa"/>
            </w:tcMar>
            <w:vAlign w:val="center"/>
          </w:tcPr>
          <w:p>
            <w:pPr>
              <w:spacing w:after="0"/>
            </w:pPr>
            <w:r>
              <w:rPr>
                <w:rFonts w:ascii="Heiti SC" w:hAnsi="Heiti SC" w:eastAsia="Heiti SC"/>
                <w:b/>
                <w:i w:val="0"/>
                <w:color w:val="1F4D78"/>
                <w:sz w:val="16"/>
              </w:rPr>
              <w:t>主要主管机关</w:t>
            </w:r>
          </w:p>
        </w:tc>
        <w:tc>
          <w:tcPr>
            <w:tcW w:type="dxa" w:w="5903"/>
            <w:shd w:fill="E8EEF5"/>
            <w:tcMar>
              <w:top w:w="80" w:type="dxa"/>
              <w:start w:w="120" w:type="dxa"/>
              <w:bottom w:w="80" w:type="dxa"/>
              <w:end w:w="120" w:type="dxa"/>
            </w:tcMar>
            <w:vAlign w:val="center"/>
          </w:tcPr>
          <w:p>
            <w:pPr>
              <w:spacing w:after="0"/>
            </w:pPr>
            <w:r>
              <w:rPr>
                <w:rFonts w:ascii="Heiti SC" w:hAnsi="Heiti SC" w:eastAsia="Heiti SC"/>
                <w:b/>
                <w:i w:val="0"/>
                <w:color w:val="1F4D78"/>
                <w:sz w:val="16"/>
              </w:rPr>
              <w:t>主要本国法律或许可体系</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德国</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BaFin</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ZAG支付机构/电子货币机构许可；GwG反洗钱</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法国</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ACPR、AMF、TRACFIN</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Code monétaire et financier；支付机构、EMI及MiCA/CASP体系</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荷兰</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DNB、AFM</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Wet op het financieel toezicht；支付机构、EMI及MiCA监管</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爱尔兰</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Central Bank of Ireland</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欧盟支付服务转化法规及EMI规则</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立陶宛</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Bank of Lithuania</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Law on Payments；电子货币及支付机构法律</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爱沙尼亚</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Finantsinspektsioon、FIU</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支付与电子货币机构法；AML法及MiCA</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卢森堡</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CSSF</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2009年支付服务法；AML法</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马耳他</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MFSA、FIAU</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Financial Institutions Act；PMLFTR；MiCA</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西班牙</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Banco de España、CNMV、SEPBLAC</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Real Decreto-ley 19/2018；支付、AML及MiCA规则</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意大利</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Banca d’Italia、OAM、CONSOB</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Testo Unico Bancario；支付、EMI、AML及MiCA</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瑞典</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Finansinspektionen</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Payment Services Act；Electronic Money Act；AML Act</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丹麦</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Danish FSA</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Payments Act；AML Act</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挪威</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Finanstilsynet</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Financial Institutions Act；Payment Systems Act；AML Act；EEA体系</w:t>
            </w:r>
          </w:p>
        </w:tc>
      </w:tr>
      <w:tr>
        <w:tc>
          <w:tcPr>
            <w:tcW w:type="dxa" w:w="1007"/>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瑞士</w:t>
            </w:r>
          </w:p>
        </w:tc>
        <w:tc>
          <w:tcPr>
            <w:tcW w:type="dxa" w:w="2448"/>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FINMA、SRO</w:t>
            </w:r>
          </w:p>
        </w:tc>
        <w:tc>
          <w:tcPr>
            <w:tcW w:type="dxa" w:w="5903"/>
            <w:tcMar>
              <w:top w:w="80" w:type="dxa"/>
              <w:start w:w="120" w:type="dxa"/>
              <w:bottom w:w="80" w:type="dxa"/>
              <w:end w:w="120" w:type="dxa"/>
            </w:tcMar>
            <w:vAlign w:val="center"/>
          </w:tcPr>
          <w:p>
            <w:pPr>
              <w:spacing w:after="0" w:line="252" w:lineRule="auto"/>
            </w:pPr>
            <w:r>
              <w:rPr>
                <w:rFonts w:ascii="Heiti SC" w:hAnsi="Heiti SC" w:eastAsia="Heiti SC"/>
                <w:b w:val="0"/>
                <w:i w:val="0"/>
                <w:color w:val="243447"/>
                <w:sz w:val="16"/>
              </w:rPr>
              <w:t>AMLA；FinIA/FinSA；银行法及支付系统规则；不适用欧盟护照</w:t>
            </w:r>
          </w:p>
        </w:tc>
      </w:tr>
    </w:tbl>
    <w:p>
      <w:pPr>
        <w:spacing w:after="40"/>
      </w:pPr>
    </w:p>
    <w:p>
      <w:pPr>
        <w:keepNext w:val="0"/>
        <w:spacing w:before="0" w:after="120" w:line="264" w:lineRule="auto"/>
      </w:pPr>
      <w:r>
        <w:rPr>
          <w:rFonts w:ascii="Heiti SC" w:hAnsi="Heiti SC" w:eastAsia="Heiti SC"/>
          <w:b w:val="0"/>
          <w:i w:val="0"/>
          <w:color w:val="243447"/>
          <w:sz w:val="22"/>
        </w:rPr>
        <w:t>欧盟法律虽然高度协调，但成员国在授权审查、当地实质、管理层适当性、外包、AML执行和监管费用方面仍存在明显差异。企业不宜仅按“牌照申请速度”选择注册地。</w:t>
      </w:r>
    </w:p>
    <w:p>
      <w:pPr>
        <w:pStyle w:val="Heading1"/>
        <w:keepNext/>
      </w:pPr>
      <w:r>
        <w:t>六、跨境落地建议</w:t>
      </w:r>
    </w:p>
    <w:p>
      <w:pPr>
        <w:pStyle w:val="ListNumber"/>
        <w:spacing w:after="80" w:line="280" w:lineRule="auto"/>
        <w:ind w:left="720" w:hanging="360"/>
      </w:pPr>
      <w:r>
        <w:rPr>
          <w:rFonts w:ascii="Heiti SC" w:hAnsi="Heiti SC" w:eastAsia="Heiti SC"/>
          <w:b w:val="0"/>
          <w:i w:val="0"/>
          <w:color w:val="243447"/>
          <w:sz w:val="22"/>
        </w:rPr>
        <w:t>绘制完整资金流、合同流、信息流和加密资产流，明确每一步的法律控制权；</w:t>
      </w:r>
    </w:p>
    <w:p>
      <w:pPr>
        <w:pStyle w:val="ListNumber"/>
        <w:spacing w:after="80" w:line="280" w:lineRule="auto"/>
        <w:ind w:left="720" w:hanging="360"/>
      </w:pPr>
      <w:r>
        <w:rPr>
          <w:rFonts w:ascii="Heiti SC" w:hAnsi="Heiti SC" w:eastAsia="Heiti SC"/>
          <w:b w:val="0"/>
          <w:i w:val="0"/>
          <w:color w:val="243447"/>
          <w:sz w:val="22"/>
        </w:rPr>
        <w:t>按国家和美国州建立“活动—牌照—豁免—代理”矩阵；</w:t>
      </w:r>
    </w:p>
    <w:p>
      <w:pPr>
        <w:pStyle w:val="ListNumber"/>
        <w:spacing w:after="80" w:line="280" w:lineRule="auto"/>
        <w:ind w:left="720" w:hanging="360"/>
      </w:pPr>
      <w:r>
        <w:rPr>
          <w:rFonts w:ascii="Heiti SC" w:hAnsi="Heiti SC" w:eastAsia="Heiti SC"/>
          <w:b w:val="0"/>
          <w:i w:val="0"/>
          <w:color w:val="243447"/>
          <w:sz w:val="22"/>
        </w:rPr>
        <w:t>分别判断支付、电子货币、资金传输、外汇兑换、加密资产及证券监管；</w:t>
      </w:r>
    </w:p>
    <w:p>
      <w:pPr>
        <w:pStyle w:val="ListNumber"/>
        <w:spacing w:after="80" w:line="280" w:lineRule="auto"/>
        <w:ind w:left="720" w:hanging="360"/>
      </w:pPr>
      <w:r>
        <w:rPr>
          <w:rFonts w:ascii="Heiti SC" w:hAnsi="Heiti SC" w:eastAsia="Heiti SC"/>
          <w:b w:val="0"/>
          <w:i w:val="0"/>
          <w:color w:val="243447"/>
          <w:sz w:val="22"/>
        </w:rPr>
        <w:t>核实当地实体、管理层、资本、客户资金保障和运营实质要求；</w:t>
      </w:r>
    </w:p>
    <w:p>
      <w:pPr>
        <w:pStyle w:val="ListNumber"/>
        <w:spacing w:after="80" w:line="280" w:lineRule="auto"/>
        <w:ind w:left="720" w:hanging="360"/>
      </w:pPr>
      <w:r>
        <w:rPr>
          <w:rFonts w:ascii="Heiti SC" w:hAnsi="Heiti SC" w:eastAsia="Heiti SC"/>
          <w:b w:val="0"/>
          <w:i w:val="0"/>
          <w:color w:val="243447"/>
          <w:sz w:val="22"/>
        </w:rPr>
        <w:t>对银行账户、清算渠道、代理商和外包服务商进行合规可行性验证；</w:t>
      </w:r>
    </w:p>
    <w:p>
      <w:pPr>
        <w:pStyle w:val="ListNumber"/>
        <w:spacing w:after="80" w:line="280" w:lineRule="auto"/>
        <w:ind w:left="720" w:hanging="360"/>
      </w:pPr>
      <w:r>
        <w:rPr>
          <w:rFonts w:ascii="Heiti SC" w:hAnsi="Heiti SC" w:eastAsia="Heiti SC"/>
          <w:b w:val="0"/>
          <w:i w:val="0"/>
          <w:color w:val="243447"/>
          <w:sz w:val="22"/>
        </w:rPr>
        <w:t>建立覆盖KYC、交易监控、SAR/STR、制裁、投诉、事件报告和记录保存的控制体系；</w:t>
      </w:r>
    </w:p>
    <w:p>
      <w:pPr>
        <w:pStyle w:val="ListNumber"/>
        <w:spacing w:after="80" w:line="280" w:lineRule="auto"/>
        <w:ind w:left="720" w:hanging="360"/>
      </w:pPr>
      <w:r>
        <w:rPr>
          <w:rFonts w:ascii="Heiti SC" w:hAnsi="Heiti SC" w:eastAsia="Heiti SC"/>
          <w:b w:val="0"/>
          <w:i w:val="0"/>
          <w:color w:val="243447"/>
          <w:sz w:val="22"/>
        </w:rPr>
        <w:t>上线前由目标司法辖区律师对业务定性、营销范围及豁免依据出具书面意见。</w:t>
      </w:r>
    </w:p>
    <w:p>
      <w:pPr>
        <w:pStyle w:val="Heading1"/>
        <w:keepNext/>
      </w:pPr>
      <w:r>
        <w:t>七、结论</w:t>
      </w:r>
    </w:p>
    <w:p>
      <w:pPr>
        <w:keepNext w:val="0"/>
        <w:spacing w:before="0" w:after="120" w:line="264" w:lineRule="auto"/>
      </w:pPr>
      <w:r>
        <w:rPr>
          <w:rFonts w:ascii="Heiti SC" w:hAnsi="Heiti SC" w:eastAsia="Heiti SC"/>
          <w:b w:val="0"/>
          <w:i w:val="0"/>
          <w:color w:val="243447"/>
          <w:sz w:val="22"/>
        </w:rPr>
        <w:t>美国MSB项目的监管核心是“FinCEN联邦注册＋相关州Money Transmitter牌照＋BSA/AML＋OFAC及消费者保护”。英国及欧洲则须将业务拆分为支付、电子货币、汇款、现金兑换和加密资产等具体活动，再分别判断授权、注册或豁免。</w:t>
      </w:r>
    </w:p>
    <w:p>
      <w:pPr>
        <w:keepNext w:val="0"/>
        <w:spacing w:before="0" w:after="120" w:line="264" w:lineRule="auto"/>
      </w:pPr>
      <w:r>
        <w:rPr>
          <w:rFonts w:ascii="Heiti SC" w:hAnsi="Heiti SC" w:eastAsia="Heiti SC"/>
          <w:b w:val="0"/>
          <w:i w:val="0"/>
          <w:color w:val="243447"/>
          <w:sz w:val="22"/>
        </w:rPr>
        <w:t>对于跨境业务，最容易出现的误判是把FinCEN注册、英国反洗钱注册或某一欧盟成员国的小型机构登记视为可覆盖多个市场的通用牌照。实际经营范围必须结合客户所在地、资金控制方式、代理结构、营销行为和当地实施规则逐一确认。</w:t>
      </w:r>
    </w:p>
    <w:p>
      <w:pPr>
        <w:pStyle w:val="Heading1"/>
        <w:keepNext/>
      </w:pPr>
      <w:r>
        <w:t>附录：主要官方资料</w:t>
      </w:r>
    </w:p>
    <w:p>
      <w:pPr>
        <w:pStyle w:val="ListBullet"/>
        <w:spacing w:after="80"/>
      </w:pPr>
      <w:hyperlink r:id="rId11">
        <w:r>
          <w:rPr>
            <w:color w:val="2E74B5"/>
            <w:u w:val="single"/>
            <w:rFonts w:ascii="Heiti SC" w:hAnsi="Heiti SC" w:eastAsia="Heiti SC"/>
          </w:rPr>
          <w:t>美国FinCEN：MSB定义与注册</w:t>
        </w:r>
      </w:hyperlink>
    </w:p>
    <w:p>
      <w:pPr>
        <w:pStyle w:val="ListBullet"/>
        <w:spacing w:after="80"/>
      </w:pPr>
      <w:hyperlink r:id="rId12">
        <w:r>
          <w:rPr>
            <w:color w:val="2E74B5"/>
            <w:u w:val="single"/>
            <w:rFonts w:ascii="Heiti SC" w:hAnsi="Heiti SC" w:eastAsia="Heiti SC"/>
          </w:rPr>
          <w:t>美国FinCEN：《银行保密法》概览</w:t>
        </w:r>
      </w:hyperlink>
    </w:p>
    <w:p>
      <w:pPr>
        <w:pStyle w:val="ListBullet"/>
        <w:spacing w:after="80"/>
      </w:pPr>
      <w:hyperlink r:id="rId13">
        <w:r>
          <w:rPr>
            <w:color w:val="2E74B5"/>
            <w:u w:val="single"/>
            <w:rFonts w:ascii="Heiti SC" w:hAnsi="Heiti SC" w:eastAsia="Heiti SC"/>
          </w:rPr>
          <w:t>英国FCA：授权或注册申请说明</w:t>
        </w:r>
      </w:hyperlink>
    </w:p>
    <w:p>
      <w:pPr>
        <w:pStyle w:val="ListBullet"/>
        <w:spacing w:after="80"/>
      </w:pPr>
      <w:hyperlink r:id="rId14">
        <w:r>
          <w:rPr>
            <w:color w:val="2E74B5"/>
            <w:u w:val="single"/>
            <w:rFonts w:ascii="Heiti SC" w:hAnsi="Heiti SC" w:eastAsia="Heiti SC"/>
          </w:rPr>
          <w:t>欧盟EUR-Lex：PSD2合并文本</w:t>
        </w:r>
      </w:hyperlink>
    </w:p>
    <w:p>
      <w:pPr>
        <w:pStyle w:val="ListBullet"/>
        <w:spacing w:after="80"/>
      </w:pPr>
      <w:hyperlink r:id="rId15">
        <w:r>
          <w:rPr>
            <w:color w:val="2E74B5"/>
            <w:u w:val="single"/>
            <w:rFonts w:ascii="Heiti SC" w:hAnsi="Heiti SC" w:eastAsia="Heiti SC"/>
          </w:rPr>
          <w:t>欧盟EUR-Lex：MiCA正式文本</w:t>
        </w:r>
      </w:hyperlink>
    </w:p>
    <w:p>
      <w:pPr>
        <w:pStyle w:val="ListBullet"/>
        <w:spacing w:after="80"/>
      </w:pPr>
      <w:hyperlink r:id="rId16">
        <w:r>
          <w:rPr>
            <w:color w:val="2E74B5"/>
            <w:u w:val="single"/>
            <w:rFonts w:ascii="Heiti SC" w:hAnsi="Heiti SC" w:eastAsia="Heiti SC"/>
          </w:rPr>
          <w:t>欧盟EUR-Lex：AMLR正式文本</w:t>
        </w:r>
      </w:hyperlink>
    </w:p>
    <w:p>
      <w:pPr>
        <w:pStyle w:val="ListBullet"/>
        <w:spacing w:after="80"/>
      </w:pPr>
      <w:hyperlink r:id="rId17">
        <w:r>
          <w:rPr>
            <w:color w:val="2E74B5"/>
            <w:u w:val="single"/>
            <w:rFonts w:ascii="Heiti SC" w:hAnsi="Heiti SC" w:eastAsia="Heiti SC"/>
          </w:rPr>
          <w:t>EBA：支付及电子货币机构登记册</w:t>
        </w:r>
      </w:hyperlink>
    </w:p>
    <w:p>
      <w:pPr>
        <w:pStyle w:val="ListBullet"/>
        <w:spacing w:after="80"/>
      </w:pPr>
      <w:hyperlink r:id="rId18">
        <w:r>
          <w:rPr>
            <w:color w:val="2E74B5"/>
            <w:u w:val="single"/>
            <w:rFonts w:ascii="Heiti SC" w:hAnsi="Heiti SC" w:eastAsia="Heiti SC"/>
          </w:rPr>
          <w:t>德国BaFin：支付服务许可说明</w:t>
        </w:r>
      </w:hyperlink>
    </w:p>
    <w:p>
      <w:pPr>
        <w:pStyle w:val="ListBullet"/>
        <w:spacing w:after="80"/>
      </w:pPr>
      <w:hyperlink r:id="rId19">
        <w:r>
          <w:rPr>
            <w:color w:val="2E74B5"/>
            <w:u w:val="single"/>
            <w:rFonts w:ascii="Heiti SC" w:hAnsi="Heiti SC" w:eastAsia="Heiti SC"/>
          </w:rPr>
          <w:t>法国ACPR：支付机构申请说明</w:t>
        </w:r>
      </w:hyperlink>
    </w:p>
    <w:p>
      <w:pPr>
        <w:pStyle w:val="ListBullet"/>
        <w:spacing w:after="80"/>
      </w:pPr>
      <w:hyperlink r:id="rId20">
        <w:r>
          <w:rPr>
            <w:color w:val="2E74B5"/>
            <w:u w:val="single"/>
            <w:rFonts w:ascii="Heiti SC" w:hAnsi="Heiti SC" w:eastAsia="Heiti SC"/>
          </w:rPr>
          <w:t>荷兰DNB：支付机构及公开登记册</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0"/>
            </w:pPr>
            <w:r>
              <w:rPr>
                <w:rFonts w:ascii="Heiti SC" w:hAnsi="Heiti SC" w:eastAsia="Heiti SC"/>
                <w:b/>
                <w:i w:val="0"/>
                <w:color w:val="9B1C1C"/>
                <w:sz w:val="22"/>
              </w:rPr>
              <w:t xml:space="preserve">法律声明　</w:t>
            </w:r>
            <w:r>
              <w:rPr>
                <w:rFonts w:ascii="Heiti SC" w:hAnsi="Heiti SC" w:eastAsia="Heiti SC"/>
                <w:b w:val="0"/>
                <w:i w:val="0"/>
                <w:color w:val="243447"/>
                <w:sz w:val="22"/>
              </w:rPr>
              <w:t>本文件为一般性监管研究摘要，不构成任何司法辖区的法律意见。法规、监管解释和过渡期安排可能变化；在申请牌照、开展营销或处理客户资金前，应由当地持牌律师和合规顾问结合具体业务模式复核。</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eiti SC" w:hAnsi="Heiti SC" w:eastAsia="Heiti SC"/>
        <w:b w:val="0"/>
        <w:i w:val="0"/>
        <w:color w:val="667085"/>
        <w:sz w:val="18"/>
      </w:rPr>
      <w:t>MSB监管研究摘要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Heiti SC" w:hAnsi="Heiti SC" w:eastAsia="Heiti SC"/>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eiti SC" w:hAnsi="Heiti SC" w:eastAsia="Hei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eiti SC" w:hAnsi="Heiti SC"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ncen.gov/resources/money-services-business-msb-registration" TargetMode="External"/><Relationship Id="rId12" Type="http://schemas.openxmlformats.org/officeDocument/2006/relationships/hyperlink" Target="https://www.fincen.gov/resources/statutes-and-regulations/bank-secrecy-act" TargetMode="External"/><Relationship Id="rId13" Type="http://schemas.openxmlformats.org/officeDocument/2006/relationships/hyperlink" Target="https://www.fca.org.uk/firms/authorisation/apply" TargetMode="External"/><Relationship Id="rId14" Type="http://schemas.openxmlformats.org/officeDocument/2006/relationships/hyperlink" Target="https://eur-lex.europa.eu/legal-content/EN/TXT/?uri=consolidation%3A2015L2366%2F20250117_0020010" TargetMode="External"/><Relationship Id="rId15" Type="http://schemas.openxmlformats.org/officeDocument/2006/relationships/hyperlink" Target="https://eur-lex.europa.eu/eli/reg/2023/1114/oj?locale=en" TargetMode="External"/><Relationship Id="rId16" Type="http://schemas.openxmlformats.org/officeDocument/2006/relationships/hyperlink" Target="https://eur-lex.europa.eu/legal-content/EN/TXT/?uri=CELEX%3A32024R1624" TargetMode="External"/><Relationship Id="rId17" Type="http://schemas.openxmlformats.org/officeDocument/2006/relationships/hyperlink" Target="https://www.eba.europa.eu/risk-and-data-analysis/data/registers/payment-institutions-register" TargetMode="External"/><Relationship Id="rId18" Type="http://schemas.openxmlformats.org/officeDocument/2006/relationships/hyperlink" Target="https://www.bafin.de/EN/Aufsicht/FinTech/Kontaktformular/FAQ_Uebersicht/FAQ_Uebersicht_node_en.html" TargetMode="External"/><Relationship Id="rId19" Type="http://schemas.openxmlformats.org/officeDocument/2006/relationships/hyperlink" Target="https://acpr.banque-france.fr/en/node/26808" TargetMode="External"/><Relationship Id="rId20" Type="http://schemas.openxmlformats.org/officeDocument/2006/relationships/hyperlink" Target="https://www.dnb.nl/en/sector-information/open-book-supervision/open-book-supervision-sectors/payment-institutions/licensing-requirement-for-payment-service-providers-overview/the-public-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英美及欧洲地区MSB法律监管汇总</dc:title>
  <dc:subject>Money Services Business跨司法辖区监管框架</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