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64" w:lineRule="auto"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0"/>
          <w:lang w:val="en-US" w:eastAsia="zh-CN"/>
        </w:rPr>
        <w:t>ARCHITECTURE BRIEF</w:t>
      </w:r>
      <w:r>
        <w:rPr>
          <w:rFonts w:ascii="Hiragino Sans GB" w:hAnsi="Hiragino Sans GB" w:eastAsia="Hiragino Sans GB" w:cs="Hiragino Sans GB"/>
          <w:b w:val="0"/>
          <w:i w:val="0"/>
          <w:color w:val="2E74B5"/>
          <w:sz w:val="20"/>
          <w:lang w:val="en-US" w:eastAsia="zh-CN"/>
        </w:rPr>
      </w:r>
    </w:p>
    <w:p>
      <w:pPr>
        <w:spacing w:after="8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52"/>
          <w:lang w:val="en-US" w:eastAsia="zh-CN"/>
        </w:rPr>
        <w:t>Stablecoin Policy 产品架构</w:t>
      </w:r>
    </w:p>
    <w:p>
      <w:pPr>
        <w:spacing w:after="280"/>
      </w:pPr>
      <w:r>
        <w:rPr>
          <w:rFonts w:ascii="Hiragino Sans GB" w:hAnsi="Hiragino Sans GB" w:eastAsia="Hiragino Sans GB" w:cs="Hiragino Sans GB"/>
          <w:b w:val="0"/>
          <w:i w:val="0"/>
          <w:color w:val="5F6B76"/>
          <w:sz w:val="28"/>
          <w:lang w:val="en-US" w:eastAsia="zh-CN"/>
        </w:rPr>
        <w:t>公开监管子站、私有决策服务与 Citely 付费交付层</w:t>
      </w:r>
    </w:p>
    <w:p>
      <w:pPr>
        <w:spacing w:after="4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21"/>
          <w:lang w:val="en-US" w:eastAsia="zh-CN"/>
        </w:rPr>
        <w:t>文档类型：</w:t>
      </w:r>
      <w:r>
        <w:rPr>
          <w:rFonts w:ascii="Hiragino Sans GB" w:hAnsi="Hiragino Sans GB" w:eastAsia="Hiragino Sans GB" w:cs="Hiragino Sans GB"/>
          <w:b w:val="0"/>
          <w:i w:val="0"/>
          <w:color w:val="5F6B76"/>
          <w:sz w:val="21"/>
          <w:lang w:val="en-US" w:eastAsia="zh-CN"/>
        </w:rPr>
        <w:t>产品与技术架构说明</w:t>
      </w:r>
    </w:p>
    <w:p>
      <w:pPr>
        <w:spacing w:after="4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21"/>
          <w:lang w:val="en-US" w:eastAsia="zh-CN"/>
        </w:rPr>
        <w:t>适用对象：</w:t>
      </w:r>
      <w:r>
        <w:rPr>
          <w:rFonts w:ascii="Hiragino Sans GB" w:hAnsi="Hiragino Sans GB" w:eastAsia="Hiragino Sans GB" w:cs="Hiragino Sans GB"/>
          <w:b w:val="0"/>
          <w:i w:val="0"/>
          <w:color w:val="5F6B76"/>
          <w:sz w:val="21"/>
          <w:lang w:val="en-US" w:eastAsia="zh-CN"/>
        </w:rPr>
        <w:t>产品、工程、数据、研究与 Citely 主站团队</w:t>
      </w:r>
    </w:p>
    <w:p>
      <w:pPr>
        <w:spacing w:after="4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21"/>
          <w:lang w:val="en-US" w:eastAsia="zh-CN"/>
        </w:rPr>
        <w:t>当前状态：</w:t>
      </w:r>
      <w:r>
        <w:rPr>
          <w:rFonts w:ascii="Hiragino Sans GB" w:hAnsi="Hiragino Sans GB" w:eastAsia="Hiragino Sans GB" w:cs="Hiragino Sans GB"/>
          <w:b w:val="0"/>
          <w:i w:val="0"/>
          <w:color w:val="5F6B76"/>
          <w:sz w:val="21"/>
          <w:lang w:val="en-US" w:eastAsia="zh-CN"/>
        </w:rPr>
        <w:t>Phase 3 Evidence RAG activation rollout</w:t>
      </w:r>
    </w:p>
    <w:p>
      <w:pPr>
        <w:spacing w:after="4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21"/>
          <w:lang w:val="en-US" w:eastAsia="zh-CN"/>
        </w:rPr>
        <w:t>更新时间：</w:t>
      </w:r>
      <w:r>
        <w:rPr>
          <w:rFonts w:ascii="Hiragino Sans GB" w:hAnsi="Hiragino Sans GB" w:eastAsia="Hiragino Sans GB" w:cs="Hiragino Sans GB"/>
          <w:b w:val="0"/>
          <w:i w:val="0"/>
          <w:color w:val="5F6B76"/>
          <w:sz w:val="21"/>
          <w:lang w:val="en-US" w:eastAsia="zh-CN"/>
        </w:rPr>
        <w:t>2026 年 8 月</w:t>
      </w:r>
    </w:p>
    <w:p>
      <w:pPr>
        <w:spacing w:before="160" w:after="200" w:line="264" w:lineRule="auto"/>
        <w:ind w:left="259" w:right="259"/>
        <w:shd w:fill="F4F6F9"/>
        <w:pBdr>
          <w:left w:val="single" w:sz="20" w:space="8" w:color="2E74B5"/>
        </w:pBdr>
      </w:pPr>
      <w:r>
        <w:rPr>
          <w:rFonts w:ascii="Hiragino Sans GB" w:hAnsi="Hiragino Sans GB" w:eastAsia="Hiragino Sans GB" w:cs="Hiragino Sans GB"/>
          <w:b/>
          <w:i w:val="0"/>
          <w:color w:val="0B2545"/>
          <w:sz w:val="22"/>
          <w:lang w:val="en-US" w:eastAsia="zh-CN"/>
        </w:rPr>
        <w:t xml:space="preserve">核心结论  </w:t>
      </w:r>
      <w:r>
        <w:rPr>
          <w:rFonts w:ascii="Hiragino Sans GB" w:hAnsi="Hiragino Sans GB" w:eastAsia="Hiragino Sans GB" w:cs="Hiragino Sans GB"/>
          <w:b w:val="0"/>
          <w:i w:val="0"/>
          <w:color w:val="0B2545"/>
          <w:sz w:val="22"/>
          <w:lang w:val="en-US" w:eastAsia="zh-CN"/>
        </w:rPr>
        <w:t>Stablecoin Policy 负责可信监管数据、确定性领域决策与证据组装；Citely 负责收费、权限、客户体验和跨领域交付；Evidence RAG 只负责寻找精确证据，不能改变决定。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19348"/>
            <wp:docPr id="1" name="Picture 1" descr="Stablecoin Policy product architecture showing data, decision, and delivery lay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 GB" w:hAnsi="Hiragino Sans GB" w:eastAsia="Hiragino Sans GB" w:cs="Hiragino Sans GB"/>
          <w:b w:val="0"/>
          <w:i/>
          <w:color w:val="5F6B76"/>
          <w:sz w:val="18"/>
          <w:lang w:val="en-US" w:eastAsia="zh-CN"/>
        </w:rPr>
        <w:t>图 1｜Stablecoin Policy 产品与系统边界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1. 产品定位与边界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Stablecoin Policy 已从监管资讯网站演进为一个领域监管智能系统。它同时拥有公开内容表面、稳定币领域 API、确定性 playbook runtime、Evidence RAG 和监管变化监控能力。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整个产品族采用“领域子站拥有数据与逻辑，Citely 主站负责通用商业交付”的边界。将来的 AI Policy 与 Web3 Policy 可以复用同一平台合同，但不能复制或篡改 Stablecoin Policy 的领域状态。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5000"/>
        <w:gridCol w:w="2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产品表面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主要职责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访问方式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Stablecoin Policy 子站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监管地图、法规、政策更新、方法论、研究内容和获客入口。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公开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Stablecoin Policy Domain API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执行 playbook、组装 EvidenceBundle、Evidence RAG、监管监控和版本化 artifact。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公开读取 + 认证调用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Citely Playbook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账号、entitlement、付款、Business Profile、调用子站并展示付费结果。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付费</w:t>
            </w:r>
          </w:p>
        </w:tc>
      </w:tr>
    </w:tbl>
    <w:p>
      <w:pPr>
        <w:spacing w:after="40"/>
      </w:pPr>
    </w:p>
    <w:p>
      <w:pPr>
        <w:spacing w:before="160" w:after="200" w:line="264" w:lineRule="auto"/>
        <w:ind w:left="259" w:right="259"/>
        <w:shd w:fill="F4F6F9"/>
        <w:pBdr>
          <w:left w:val="single" w:sz="20" w:space="8" w:color="2E74B5"/>
        </w:pBdr>
      </w:pPr>
      <w:r>
        <w:rPr>
          <w:rFonts w:ascii="Hiragino Sans GB" w:hAnsi="Hiragino Sans GB" w:eastAsia="Hiragino Sans GB" w:cs="Hiragino Sans GB"/>
          <w:b/>
          <w:i w:val="0"/>
          <w:color w:val="0B2545"/>
          <w:sz w:val="22"/>
          <w:lang w:val="en-US" w:eastAsia="zh-CN"/>
        </w:rPr>
        <w:t xml:space="preserve">私有边界  </w:t>
      </w:r>
      <w:r>
        <w:rPr>
          <w:rFonts w:ascii="Hiragino Sans GB" w:hAnsi="Hiragino Sans GB" w:eastAsia="Hiragino Sans GB" w:cs="Hiragino Sans GB"/>
          <w:b w:val="0"/>
          <w:i w:val="0"/>
          <w:color w:val="0B2545"/>
          <w:sz w:val="22"/>
          <w:lang w:val="en-US" w:eastAsia="zh-CN"/>
        </w:rPr>
        <w:t>DecisionRule、PlaybookAction、私有决策图和客户输入不在公开子站或 policy feed 中暴露。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2. 数据与证据架构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  <w:lang w:val="en-US" w:eastAsia="zh-CN"/>
        </w:rPr>
        <w:t>2.1 官方监管证据层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共享的 regulatory schema 保存可以跨政策域复用的官方证据。核心实体包括 SourceAuthority、SourceDocument、SourceVersion 和 Provision。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每次采集固定官方文档 ID、canonical URL、版本、checksum、发布时间、生效时间、观察时间和获取时间。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法规 PDF、XML、ZIP 等大对象进入 Supabase Object Storage；PostgreSQL 保存查询所需的元数据和关系。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商业内部存储权利与公开 excerpt/redistribution 权利分开判断，未知权利默认阻断。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任何法律引用必须落到精确 provision locator 和 source version，而不是只引用一个网页标题。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  <w:lang w:val="en-US" w:eastAsia="zh-CN"/>
        </w:rPr>
        <w:t>2.2 稳定币领域法律结论层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policy schema 将官方 provision 转换为稳定币领域可执行的结构化结论。核心实体包括 LegalClaim、Citation、CorpusRelease、MachineAssuranceRecord、CoverageChecklist、RegulatoryEvent 和 ChangeImpact。</w:t>
      </w:r>
    </w:p>
    <w:p>
      <w:pPr>
        <w:spacing w:before="160" w:after="200" w:line="264" w:lineRule="auto"/>
        <w:ind w:left="259" w:right="259"/>
        <w:shd w:fill="F8EDCF"/>
        <w:pBdr>
          <w:left w:val="single" w:sz="20" w:space="8" w:color="2E74B5"/>
        </w:pBdr>
      </w:pPr>
      <w:r>
        <w:rPr>
          <w:rFonts w:ascii="Hiragino Sans GB" w:hAnsi="Hiragino Sans GB" w:eastAsia="Hiragino Sans GB" w:cs="Hiragino Sans GB"/>
          <w:b/>
          <w:i w:val="0"/>
          <w:color w:val="0B2545"/>
          <w:sz w:val="22"/>
          <w:lang w:val="en-US" w:eastAsia="zh-CN"/>
        </w:rPr>
        <w:t xml:space="preserve">Assurance 分离  </w:t>
      </w:r>
      <w:r>
        <w:rPr>
          <w:rFonts w:ascii="Hiragino Sans GB" w:hAnsi="Hiragino Sans GB" w:eastAsia="Hiragino Sans GB" w:cs="Hiragino Sans GB"/>
          <w:b w:val="0"/>
          <w:i w:val="0"/>
          <w:color w:val="0B2545"/>
          <w:sz w:val="22"/>
          <w:lang w:val="en-US" w:eastAsia="zh-CN"/>
        </w:rPr>
        <w:t>PROVISIONAL 代表机器提取并经过独立模型交叉检查；HUMAN_REVIEWED 必须有明确的人工 reviewer。机器结果永远不能冒充人工审核。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  <w:lang w:val="en-US" w:eastAsia="zh-CN"/>
        </w:rPr>
        <w:t>2.3 Evidence RAG 索引层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私有 retrieval schema 保存 RetrievalCorpusSnapshot、EvidenceChunk、EmbeddingRecord、RetrievalIndexRelease、IndexEvalRecord 和 RagRetrievalRun。索引通过 immutable corpus snapshot 固定多个 source releases 的去重 membership。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关键词与向量混合检索，并使用确定性的 reciprocal-rank fusion 排序。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查询固定 jurisdiction、topic、as-of、assurance tier、corpus release 和 index release。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HUMAN_REVIEWED 查询不能消费 provisional index。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无证据、冲突、过期、未授权或故障均返回 typed failure，不生成猜测性结论。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生产 activation 必须绑定 exact index manifest、corpus manifest 和通过的 assurance-appropriate eval。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3. 决策与 Playbook Runtime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决策核心是确定性引擎，而不是聊天模型。Business Profile 被规范化为结构化输入，再由私有 DecisionRule 计算 capability-level 状态、reason codes 和 PlaybookAction。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输入或组件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作用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Business Profile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描述企业类型、活动、目标市场、客户类型、产品阶段、稳定币和网络。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Decision Engine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以固定版本规则产生 PERMITTED、CONDITIONAL、PROHIBITED 或 UNDETERMINED。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Evidence RAG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为已有结果查找精确证据，不得修改状态或 reason code。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Playbook Runtime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把决定、行动、证据、限制、版本和完整性 checksum 组装成付费 artifact。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Change Monitor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把监管事件映射到可能受影响的 package，并触发后续复查。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  <w:lang w:val="en-US" w:eastAsia="zh-CN"/>
        </w:rPr>
        <w:t>3.1 PlaybookPackage 输出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playbookId 与 playbook version；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Business Profile 摘要；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capability decisions 与 reason codes；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PlaybookAction；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EvidenceBundle；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corpus、index、source 和 dossier versions；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assurance level、limitations 与 integritySha256。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26"/>
          <w:lang w:val="en-US" w:eastAsia="zh-CN"/>
        </w:rPr>
        <w:t>3.2 当前 MVP Playbooks</w:t>
      </w:r>
    </w:p>
    <w:p>
      <w:pPr>
        <w:spacing w:after="80" w:line="280" w:lineRule="auto"/>
        <w:numPr>
          <w:ilvl w:val="0"/>
          <w:numId w:val="41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Stablecoin Business Model Regulatory Boundary：判断业务能力处于发行、交易、托管、支付或其他监管边界。</w:t>
      </w:r>
    </w:p>
    <w:p>
      <w:pPr>
        <w:spacing w:after="80" w:line="280" w:lineRule="auto"/>
        <w:numPr>
          <w:ilvl w:val="0"/>
          <w:numId w:val="41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Stablecoin Pre-listing &amp; Product Launch：按发行人、授权、部署、活动和目标市场进行 capability-level 上线检查。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4. Citely 集成架构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Citely 主站是领域无关的薄客户端。它不复制稳定币法规、RAG index、DecisionRule 或领域监控数据，只保存必要的账号、entitlement、付款和客户可见 artifact。</w:t>
      </w:r>
    </w:p>
    <w:p>
      <w:pPr>
        <w:spacing w:after="80" w:line="280" w:lineRule="auto"/>
        <w:numPr>
          <w:ilvl w:val="0"/>
          <w:numId w:val="42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用户在 Citely 选择 playbook 并填写 Business Profile。</w:t>
      </w:r>
    </w:p>
    <w:p>
      <w:pPr>
        <w:spacing w:after="80" w:line="280" w:lineRule="auto"/>
        <w:numPr>
          <w:ilvl w:val="0"/>
          <w:numId w:val="42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Citely 根据 playbook 的 domain routing 调用 Stablecoin Policy 私有 API。</w:t>
      </w:r>
    </w:p>
    <w:p>
      <w:pPr>
        <w:spacing w:after="80" w:line="280" w:lineRule="auto"/>
        <w:numPr>
          <w:ilvl w:val="0"/>
          <w:numId w:val="42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子站执行规则、检索证据并返回 versioned PlaybookPackage + EvidenceBundle。</w:t>
      </w:r>
    </w:p>
    <w:p>
      <w:pPr>
        <w:spacing w:after="80" w:line="280" w:lineRule="auto"/>
        <w:numPr>
          <w:ilvl w:val="0"/>
          <w:numId w:val="42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Citely 验证 schema 与 integrity checksum 后展示或保存结果。</w:t>
      </w:r>
    </w:p>
    <w:p>
      <w:pPr>
        <w:spacing w:after="80" w:line="280" w:lineRule="auto"/>
        <w:numPr>
          <w:ilvl w:val="0"/>
          <w:numId w:val="42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公开政策更新通过简化 Policy Feed 提供；schema 不匹配时整份降级，不进行部分信任。</w:t>
      </w:r>
    </w:p>
    <w:p>
      <w:pPr>
        <w:spacing w:before="160" w:after="200" w:line="264" w:lineRule="auto"/>
        <w:ind w:left="259" w:right="259"/>
        <w:shd w:fill="F4F6F9"/>
        <w:pBdr>
          <w:left w:val="single" w:sz="20" w:space="8" w:color="2E74B5"/>
        </w:pBdr>
      </w:pPr>
      <w:r>
        <w:rPr>
          <w:rFonts w:ascii="Hiragino Sans GB" w:hAnsi="Hiragino Sans GB" w:eastAsia="Hiragino Sans GB" w:cs="Hiragino Sans GB"/>
          <w:b/>
          <w:i w:val="0"/>
          <w:color w:val="0B2545"/>
          <w:sz w:val="22"/>
          <w:lang w:val="en-US" w:eastAsia="zh-CN"/>
        </w:rPr>
        <w:t xml:space="preserve">主站减负原则  </w:t>
      </w:r>
      <w:r>
        <w:rPr>
          <w:rFonts w:ascii="Hiragino Sans GB" w:hAnsi="Hiragino Sans GB" w:eastAsia="Hiragino Sans GB" w:cs="Hiragino Sans GB"/>
          <w:b w:val="0"/>
          <w:i w:val="0"/>
          <w:color w:val="0B2545"/>
          <w:sz w:val="22"/>
          <w:lang w:val="en-US" w:eastAsia="zh-CN"/>
        </w:rPr>
        <w:t>Citely 只查询和展示子站 API；领域数据、playbook 逻辑、EvidenceBundle 组装和监管变化映射都由子站负责。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5. 数据存储分工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2700"/>
        <w:gridCol w:w="42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数据类型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存储位置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设计原因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法规、claims、citations、releases、index metadata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Supabase PostgreSQL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需要关系查询、版本隔离、RLS 和事务门禁。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PDF、XML、ZIP、报告正文、大型数据集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Supabase Object Storage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避免 Git 仓库持续增长，保留 immutable object 与 checksum。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Embeddings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PostgreSQL pgvector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与 index release、chunk 和 source version 一起固定。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Schema、配置、sanitized fixtures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Git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体积小、可 review、可进入 CI。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生产 build/eval artifacts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仓库外 0600 私有文件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包含 embeddings、gold queries 或评估 provenance，不应进入 Git。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客户输入与付费结果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私有服务边界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不得进入公开 feed 或公共数据集。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6. 端到端运行流程</w:t>
      </w:r>
    </w:p>
    <w:p>
      <w:pPr>
        <w:spacing w:after="80" w:line="280" w:lineRule="auto"/>
        <w:numPr>
          <w:ilvl w:val="0"/>
          <w:numId w:val="43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官方来源采集：下载官方文档，验证身份、内容类型、redirect 和 checksum。</w:t>
      </w:r>
    </w:p>
    <w:p>
      <w:pPr>
        <w:spacing w:after="80" w:line="280" w:lineRule="auto"/>
        <w:numPr>
          <w:ilvl w:val="0"/>
          <w:numId w:val="43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版本化与 provision extraction：生成不可变 SourceVersion 与精确 locator。</w:t>
      </w:r>
    </w:p>
    <w:p>
      <w:pPr>
        <w:spacing w:after="80" w:line="280" w:lineRule="auto"/>
        <w:numPr>
          <w:ilvl w:val="0"/>
          <w:numId w:val="43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Claim 与 assurance：形成结构化主张，执行 deterministic checks 和独立 cross-check。</w:t>
      </w:r>
    </w:p>
    <w:p>
      <w:pPr>
        <w:spacing w:after="80" w:line="280" w:lineRule="auto"/>
        <w:numPr>
          <w:ilvl w:val="0"/>
          <w:numId w:val="43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Corpus release：发布 provisional 或 human-reviewed corpus，保留明确 assurance。</w:t>
      </w:r>
    </w:p>
    <w:p>
      <w:pPr>
        <w:spacing w:after="80" w:line="280" w:lineRule="auto"/>
        <w:numPr>
          <w:ilvl w:val="0"/>
          <w:numId w:val="43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Retrieval snapshot 与 index：聚合 releases、去重 claims、生成一次 embedding artifact，并精确重放为 DRAFT index。</w:t>
      </w:r>
    </w:p>
    <w:p>
      <w:pPr>
        <w:spacing w:after="80" w:line="280" w:lineRule="auto"/>
        <w:numPr>
          <w:ilvl w:val="0"/>
          <w:numId w:val="43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Production eval 与 activation：独立 generator/checker 构建 gold set，绑定 exact corpus/index manifest，通过门禁后才允许 ACTIVE。</w:t>
      </w:r>
    </w:p>
    <w:p>
      <w:pPr>
        <w:spacing w:after="80" w:line="280" w:lineRule="auto"/>
        <w:numPr>
          <w:ilvl w:val="0"/>
          <w:numId w:val="43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Playbook 执行：Business Profile 进入确定性规则，RAG 只追加证据。</w:t>
      </w:r>
    </w:p>
    <w:p>
      <w:pPr>
        <w:spacing w:after="80" w:line="280" w:lineRule="auto"/>
        <w:numPr>
          <w:ilvl w:val="0"/>
          <w:numId w:val="43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Citely 交付与监控：返回 package，后续监管事件触发影响分析和复查。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7. 当前实现状态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状态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1"/>
                <w:lang w:val="en-US" w:eastAsia="zh-CN"/>
              </w:rPr>
              <w:t>能力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已完成 / 已上线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公开监管子站、Supabase 数据层、EEA/HK/SG 采集基础、EEA 47 条 provisional claims、USDC × EEA mini-dossier、两个 MVP playbooks、Policy Feed。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代码已完成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Evidence RAG foundation、immutable index lifecycle、activation gates、production eval dataset assembly、exact corpus pin。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正在 rollout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生产 migrations 0028–0029、47-claim aggregate snapshot、replacement DRAFT index、production machine-assured gold eval。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0B2545"/>
                <w:sz w:val="20"/>
                <w:lang w:val="en-US" w:eastAsia="zh-CN"/>
              </w:rPr>
              <w:t>尚未开放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20"/>
                <w:lang w:val="en-US" w:eastAsia="zh-CN"/>
              </w:rPr>
              <w:t>ACTIVE 生产 RAG index、自动法律解释、人工审核 assurance、完整 Change-to-Action 客户通知闭环。</w:t>
            </w:r>
          </w:p>
        </w:tc>
      </w:tr>
    </w:tbl>
    <w:p>
      <w:pPr>
        <w:spacing w:after="40"/>
      </w:pPr>
    </w:p>
    <w:p>
      <w:pPr>
        <w:spacing w:before="160" w:after="200" w:line="264" w:lineRule="auto"/>
        <w:ind w:left="259" w:right="259"/>
        <w:shd w:fill="F8E0E0"/>
        <w:pBdr>
          <w:left w:val="single" w:sz="20" w:space="8" w:color="2E74B5"/>
        </w:pBdr>
      </w:pPr>
      <w:r>
        <w:rPr>
          <w:rFonts w:ascii="Hiragino Sans GB" w:hAnsi="Hiragino Sans GB" w:eastAsia="Hiragino Sans GB" w:cs="Hiragino Sans GB"/>
          <w:b/>
          <w:i w:val="0"/>
          <w:color w:val="0B2545"/>
          <w:sz w:val="22"/>
          <w:lang w:val="en-US" w:eastAsia="zh-CN"/>
        </w:rPr>
        <w:t xml:space="preserve">当前最重要的限制  </w:t>
      </w:r>
      <w:r>
        <w:rPr>
          <w:rFonts w:ascii="Hiragino Sans GB" w:hAnsi="Hiragino Sans GB" w:eastAsia="Hiragino Sans GB" w:cs="Hiragino Sans GB"/>
          <w:b w:val="0"/>
          <w:i w:val="0"/>
          <w:color w:val="0B2545"/>
          <w:sz w:val="22"/>
          <w:lang w:val="en-US" w:eastAsia="zh-CN"/>
        </w:rPr>
        <w:t>生产 Evidence RAG index 尚未激活。现有 DRAFT 不会被自动 grandfather；它必须使用 exact corpus/index manifest 通过 production eval。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8. 架构原则摘要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证据先于结论：所有 material claim 必须定位到官方 source version 和 provision。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确定性优先：RAG 或模型故障不得改变 Decision status 和 reason code。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版本固定：source、corpus、index、playbook、dossier 和 eval 都必须可重放。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Assurance 不冒充：machine assurance 与 human review 永久分离。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最小公开面：公开子站只展示 presentation-safe 内容，私有规则和客户数据留在服务端。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领域自治：Stablecoin Policy 拥有稳定币逻辑；Citely 负责跨领域商业交付。</w:t>
      </w:r>
    </w:p>
    <w:p>
      <w:pPr>
        <w:spacing w:after="80" w:line="280" w:lineRule="auto"/>
        <w:numPr>
          <w:ilvl w:val="0"/>
          <w:numId w:val="40"/>
        </w:numPr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val="en-US" w:eastAsia="zh-CN"/>
        </w:rPr>
        <w:t>Git 不做生产数据库：大型和频繁变化的数据进入 PostgreSQL 与 Object Storage。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i w:val="0"/>
          <w:color w:val="2E74B5"/>
          <w:sz w:val="32"/>
          <w:lang w:val="en-US" w:eastAsia="zh-CN"/>
        </w:rPr>
        <w:t>参考文档</w:t>
      </w:r>
    </w:p>
    <w:p>
      <w:pPr>
        <w:spacing w:after="8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21"/>
          <w:lang w:val="en-US" w:eastAsia="zh-CN"/>
        </w:rPr>
        <w:t>Formal Development Spec：</w:t>
      </w:r>
      <w:r>
        <w:rPr>
          <w:rFonts w:ascii="Hiragino Sans GB" w:hAnsi="Hiragino Sans GB" w:eastAsia="Hiragino Sans GB" w:cs="Hiragino Sans GB"/>
          <w:b w:val="0"/>
          <w:i w:val="0"/>
          <w:color w:val="5F6B76"/>
          <w:sz w:val="21"/>
          <w:lang w:val="en-US" w:eastAsia="zh-CN"/>
        </w:rPr>
        <w:t>docs/superpowers/specs/2026-07-31-stablecoin-policy-domain-api-development-spec.md</w:t>
      </w:r>
    </w:p>
    <w:p>
      <w:pPr>
        <w:spacing w:after="8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21"/>
          <w:lang w:val="en-US" w:eastAsia="zh-CN"/>
        </w:rPr>
        <w:t>Master Development Plan：</w:t>
      </w:r>
      <w:r>
        <w:rPr>
          <w:rFonts w:ascii="Hiragino Sans GB" w:hAnsi="Hiragino Sans GB" w:eastAsia="Hiragino Sans GB" w:cs="Hiragino Sans GB"/>
          <w:b w:val="0"/>
          <w:i w:val="0"/>
          <w:color w:val="5F6B76"/>
          <w:sz w:val="21"/>
          <w:lang w:val="en-US" w:eastAsia="zh-CN"/>
        </w:rPr>
        <w:t>docs/superpowers/plans/2026-08-01-stablecoin-policy-master-development-plan.md</w:t>
      </w:r>
    </w:p>
    <w:p>
      <w:pPr>
        <w:spacing w:after="8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21"/>
          <w:lang w:val="en-US" w:eastAsia="zh-CN"/>
        </w:rPr>
        <w:t>Phase 3 Evidence RAG Operations：</w:t>
      </w:r>
      <w:r>
        <w:rPr>
          <w:rFonts w:ascii="Hiragino Sans GB" w:hAnsi="Hiragino Sans GB" w:eastAsia="Hiragino Sans GB" w:cs="Hiragino Sans GB"/>
          <w:b w:val="0"/>
          <w:i w:val="0"/>
          <w:color w:val="5F6B76"/>
          <w:sz w:val="21"/>
          <w:lang w:val="en-US" w:eastAsia="zh-CN"/>
        </w:rPr>
        <w:t>docs/phase3-evidence-rag-operations.md</w:t>
      </w:r>
    </w:p>
    <w:p>
      <w:pPr>
        <w:spacing w:after="80"/>
      </w:pPr>
      <w:r>
        <w:rPr>
          <w:rFonts w:ascii="Hiragino Sans GB" w:hAnsi="Hiragino Sans GB" w:eastAsia="Hiragino Sans GB" w:cs="Hiragino Sans GB"/>
          <w:b/>
          <w:i w:val="0"/>
          <w:color w:val="0B2545"/>
          <w:sz w:val="21"/>
          <w:lang w:val="en-US" w:eastAsia="zh-CN"/>
        </w:rPr>
        <w:t>Citely Product Family Boundary：</w:t>
      </w:r>
      <w:r>
        <w:rPr>
          <w:rFonts w:ascii="Hiragino Sans GB" w:hAnsi="Hiragino Sans GB" w:eastAsia="Hiragino Sans GB" w:cs="Hiragino Sans GB"/>
          <w:b w:val="0"/>
          <w:i w:val="0"/>
          <w:color w:val="5F6B76"/>
          <w:sz w:val="21"/>
          <w:lang w:val="en-US" w:eastAsia="zh-CN"/>
        </w:rPr>
        <w:t>docs/citely-product-family-boundary.md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Hiragino Sans GB" w:hAnsi="Hiragino Sans GB" w:eastAsia="Hiragino Sans GB" w:cs="Hiragino Sans GB"/>
        <w:b w:val="0"/>
        <w:i w:val="0"/>
        <w:color w:val="5F6B76"/>
        <w:sz w:val="17"/>
        <w:lang w:val="en-US" w:eastAsia="zh-CN"/>
      </w:rPr>
      <w:t>Citely Product Family · Architecture Brief ·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 w:cs="Hiragino Sans GB"/>
        <w:b w:val="0"/>
        <w:i w:val="0"/>
        <w:color w:val="5F6B76"/>
        <w:sz w:val="17"/>
        <w:lang w:val="en-US" w:eastAsia="zh-CN"/>
      </w:rPr>
      <w:t>Stablecoin Policy · Product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0">
    <w:multiLevelType w:val="singleLevel"/>
    <w:lvl w:ilvl="0">
      <w:start w:val="1"/>
      <w:numFmt w:val="bullet"/>
      <w:lvlText w:val="●"/>
      <w:suff w:val="tab"/>
      <w:pPr>
        <w:tabs>
          <w:tab w:val="num" w:pos="720"/>
        </w:tabs>
        <w:ind w:left="720" w:hanging="360"/>
      </w:pPr>
    </w:lvl>
  </w:abstractNum>
  <w:num w:numId="40">
    <w:abstractNumId w:val="4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Stablecoin Policy 产品架构</dc:title>
  <dc:subject>Stablecoin Policy and Citely product and technical architecture</dc:subject>
  <dc:creator>Citely</dc:creator>
  <cp:keywords>Stablecoin Policy, Citely, Evidence RAG, Playbook, Architecture</cp:keywords>
  <dc:description>Generated architecture brief; no customer or private rule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