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Integrating Rigorous DWSim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footerReference w:type="first" r:id="rId14"/>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5">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60BC2988"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w:t>
      </w:r>
      <w:r w:rsidR="00853A33">
        <w:t xml:space="preserve">The crude is first fractionated into multiple unfinished 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 xml:space="preserve">develop a solution which utilizes Deep Reinforcement Learning coupled with </w:t>
      </w:r>
      <w:r w:rsidR="00226D0D">
        <w:lastRenderedPageBreak/>
        <w:t>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1FF79271" w14:textId="0550DC56" w:rsidR="00B81766" w:rsidRDefault="00B81766" w:rsidP="00B81766">
      <w:pPr>
        <w:pStyle w:val="ListParagraph"/>
        <w:numPr>
          <w:ilvl w:val="1"/>
          <w:numId w:val="11"/>
        </w:numPr>
        <w:ind w:left="284"/>
        <w:rPr>
          <w:i/>
          <w:iCs/>
        </w:rPr>
      </w:pPr>
      <w:r w:rsidRPr="00B81766">
        <w:rPr>
          <w:i/>
          <w:iCs/>
        </w:rPr>
        <w:t>Final Deliverable</w:t>
      </w:r>
    </w:p>
    <w:p w14:paraId="6B3CD6A0" w14:textId="77777777" w:rsidR="00B81766" w:rsidRDefault="00B81766" w:rsidP="00B81766">
      <w:pPr>
        <w:ind w:left="-76"/>
        <w:rPr>
          <w:i/>
          <w:iCs/>
        </w:rPr>
      </w:pP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DWSim,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DWSim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E8C923" w14:textId="77777777" w:rsidR="00707C4E" w:rsidRDefault="00000000">
      <w:pPr>
        <w:rPr>
          <w:rFonts w:eastAsia="Times New Roman" w:cs="Times New Roman"/>
        </w:rPr>
      </w:pPr>
      <w:r>
        <w:t xml:space="preserve">This section of your final report should include details about your dataset and your exploratory data analysis. The reader should be able to answer the following questions: </w:t>
      </w:r>
    </w:p>
    <w:p w14:paraId="6C7926EB" w14:textId="77777777" w:rsidR="00707C4E" w:rsidRDefault="00000000">
      <w:pPr>
        <w:pStyle w:val="ListParagraph"/>
        <w:numPr>
          <w:ilvl w:val="0"/>
          <w:numId w:val="4"/>
        </w:numPr>
      </w:pPr>
      <w:r>
        <w:t xml:space="preserve">What variables are present in your dataset? Describe these in plain language rather than using the variable names from your code. </w:t>
      </w:r>
    </w:p>
    <w:p w14:paraId="7ED6F217" w14:textId="77777777" w:rsidR="00707C4E" w:rsidRDefault="00000000">
      <w:pPr>
        <w:pStyle w:val="ListParagraph"/>
        <w:numPr>
          <w:ilvl w:val="0"/>
          <w:numId w:val="4"/>
        </w:numPr>
      </w:pPr>
      <w:r>
        <w:t xml:space="preserve">What issues were present in your dataset and what steps were taken to handle them (missing data, regularization, etc.)? Do you know the source of these data issues, </w:t>
      </w:r>
      <w:r>
        <w:lastRenderedPageBreak/>
        <w:t xml:space="preserve">and how would you deal with these issues in a fully developed machine learning pipeline? </w:t>
      </w:r>
    </w:p>
    <w:p w14:paraId="17124BC7" w14:textId="77777777" w:rsidR="00707C4E" w:rsidRDefault="00000000">
      <w:pPr>
        <w:pStyle w:val="ListParagraph"/>
        <w:numPr>
          <w:ilvl w:val="0"/>
          <w:numId w:val="4"/>
        </w:numPr>
      </w:pPr>
      <w:r>
        <w:t xml:space="preserve">How are your variables related to your project goal? Do you see any patterns in the data that would suggest that they are/are not going to be useful in your machine learning model(s)? </w:t>
      </w:r>
    </w:p>
    <w:p w14:paraId="33F1C8AB" w14:textId="77777777" w:rsidR="00707C4E" w:rsidRDefault="00000000">
      <w:pPr>
        <w:pStyle w:val="ListParagraph"/>
        <w:numPr>
          <w:ilvl w:val="0"/>
          <w:numId w:val="4"/>
        </w:numPr>
        <w:rPr>
          <w:rFonts w:eastAsia="Times New Roman"/>
        </w:rPr>
      </w:pPr>
      <w:r>
        <w:t>How are your variables related to each other? Are there any strong correlations? How might this affect how you build your machine learning model(s)?</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44BFE13B" w:rsidR="00707C4E" w:rsidRDefault="00B34DA6">
      <w:pPr>
        <w:spacing w:before="20"/>
        <w:rPr>
          <w:rFonts w:eastAsia="Times New Roman" w:cs="Times New Roman"/>
        </w:rPr>
      </w:pPr>
      <w:r w:rsidRPr="00B34DA6">
        <w:rPr>
          <w:rFonts w:eastAsia="Times New Roman" w:cs="Times New Roman"/>
        </w:rPr>
        <w:t xml:space="preserve">The traditional </w:t>
      </w:r>
      <w:r>
        <w:rPr>
          <w:rFonts w:eastAsia="Times New Roman" w:cs="Times New Roman"/>
        </w:rPr>
        <w:t>‘</w:t>
      </w:r>
      <w:r w:rsidRPr="00B34DA6">
        <w:rPr>
          <w:rFonts w:eastAsia="Times New Roman" w:cs="Times New Roman"/>
        </w:rPr>
        <w:t>Hierarchy of Control</w:t>
      </w:r>
      <w:r>
        <w:rPr>
          <w:rFonts w:eastAsia="Times New Roman" w:cs="Times New Roman"/>
        </w:rPr>
        <w:t>’</w:t>
      </w:r>
      <w:r w:rsidRPr="00B34DA6">
        <w:rPr>
          <w:rFonts w:eastAsia="Times New Roman" w:cs="Times New Roman"/>
        </w:rPr>
        <w:t xml:space="preserve"> in refinery operations segregates the strategic layer (Real-Time Optimization) from the tactical layer (Model Predictive Control). </w:t>
      </w:r>
      <w:r>
        <w:rPr>
          <w:rFonts w:eastAsia="Times New Roman" w:cs="Times New Roman"/>
        </w:rPr>
        <w:t>T</w:t>
      </w:r>
      <w:r w:rsidRPr="00B34DA6">
        <w:rPr>
          <w:rFonts w:eastAsia="Times New Roman" w:cs="Times New Roman"/>
        </w:rPr>
        <w:t>his separation often leads to suboptimal performance because the RTO layer typically assumes steady-state conditions</w:t>
      </w:r>
      <w:r>
        <w:rPr>
          <w:rFonts w:eastAsia="Times New Roman" w:cs="Times New Roman"/>
        </w:rPr>
        <w:t xml:space="preserve"> (</w:t>
      </w:r>
      <w:r w:rsidRPr="00B34DA6">
        <w:rPr>
          <w:rFonts w:eastAsia="Times New Roman" w:cs="Times New Roman"/>
        </w:rPr>
        <w:t>, while the MPC layer struggles with the economic objectives dictated from above.</w:t>
      </w:r>
      <w:r w:rsidR="00FB7F0B">
        <w:rPr>
          <w:rFonts w:eastAsia="Times New Roman" w:cs="Times New Roman"/>
        </w:rPr>
        <w:t xml:space="preserve"> </w:t>
      </w:r>
      <w:r w:rsidRPr="00B34DA6">
        <w:rPr>
          <w:rFonts w:eastAsia="Times New Roman" w:cs="Times New Roman"/>
        </w:rPr>
        <w:t>Recent advancements in Dynamic Real-Time Optimization (DRTO) attempt to bridge this gap. However, the computational cost of solving a rigorous, first-principles model in real-time is often prohibitive. This is where the integration of DWSIM with a DRL agent, such as Proximal Policy Optimization (PPO), offers a superior alternative. By treating the DWSIM model as a high-fidelity simulator, the agent learns a control policy</w:t>
      </w:r>
      <w:r w:rsidR="00E37883">
        <w:rPr>
          <w:rFonts w:eastAsia="Times New Roman" w:cs="Times New Roman"/>
        </w:rPr>
        <w:t xml:space="preserve"> </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Pr="00B34DA6">
        <w:rPr>
          <w:rFonts w:eastAsia="Times New Roman" w:cs="Times New Roman"/>
        </w:rPr>
        <w:t>that directly maps plant observations to optimal setpoints. Unlike the SQP methods described by Biegler (2010), which require a derivative-based search through the variable space at every time step, the DRL agent performs an instantaneous inference, significantly reducing the latency between a market price change and a process adjustment.</w:t>
      </w:r>
      <w:r w:rsidR="00000000">
        <w:rPr>
          <w:rFonts w:eastAsia="Times New Roman" w:cs="Times New Roman"/>
        </w:rPr>
        <w:t xml:space="preserve"> </w:t>
      </w:r>
    </w:p>
    <w:p w14:paraId="4D12B1F9" w14:textId="2D0FF9F6" w:rsidR="00024561" w:rsidRDefault="00024561">
      <w:pPr>
        <w:spacing w:before="20"/>
        <w:rPr>
          <w:rFonts w:eastAsia="Times New Roman" w:cs="Times New Roman"/>
        </w:rPr>
      </w:pPr>
      <w:r w:rsidRPr="00024561">
        <w:rPr>
          <w:rFonts w:eastAsia="Times New Roman" w:cs="Times New Roman"/>
        </w:rPr>
        <w:t>In the context of an ADU,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w:t>
      </w:r>
      <w:r w:rsidRPr="00024561">
        <w:rPr>
          <w:rFonts w:eastAsia="Times New Roman" w:cs="Times New Roman"/>
        </w:rPr>
        <w:t xml:space="preserve">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and the mass fractions of pseudocomponents across the distillation curve. A critical contribution by Wang et al. (2024) in the Journal of Process Systems Engineering highlights the importance of "Feature Engineering" in RL for refineries. They argue that normalizing states relative to the Feed Assay (the specific TBP curve of the incoming crude) allows the agent to generalize its learning across different crude blends—a concept known as Transfer Learning.</w:t>
      </w:r>
    </w:p>
    <w:p w14:paraId="57B11EC9" w14:textId="778D8BEF"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 academic validity. It must be formulated as a multi-objective scalar:</w:t>
      </w:r>
    </w:p>
    <w:p w14:paraId="7B8ABEAC" w14:textId="77777777" w:rsidR="00024561" w:rsidRDefault="00024561">
      <w:pPr>
        <w:spacing w:before="20"/>
        <w:rPr>
          <w:rFonts w:eastAsia="Times New Roman" w:cs="Times New Roman"/>
        </w:rPr>
      </w:pPr>
    </w:p>
    <w:p w14:paraId="465D64FF" w14:textId="3F8B01A3" w:rsidR="00024561" w:rsidRPr="00024561" w:rsidRDefault="00024561" w:rsidP="00024561">
      <w:pPr>
        <w:spacing w:before="20"/>
        <w:ind w:right="-587"/>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m:t>
              </m:r>
              <m:r>
                <w:rPr>
                  <w:rFonts w:ascii="Cambria Math" w:eastAsia="Times New Roman" w:hAnsi="Cambria Math" w:cs="Times New Roman"/>
                  <w:sz w:val="14"/>
                  <w:szCs w:val="14"/>
                </w:rPr>
                <m:t xml:space="preserve"> ∈</m:t>
              </m:r>
              <m:r>
                <w:rPr>
                  <w:rFonts w:ascii="Cambria Math" w:eastAsia="Times New Roman" w:hAnsi="Cambria Math" w:cs="Times New Roman"/>
                  <w:sz w:val="14"/>
                  <w:szCs w:val="14"/>
                </w:rPr>
                <m:t>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m:t>
              </m:r>
              <m:r>
                <w:rPr>
                  <w:rFonts w:ascii="Cambria Math" w:eastAsia="Times New Roman" w:hAnsi="Cambria Math" w:cs="Times New Roman"/>
                  <w:sz w:val="14"/>
                  <w:szCs w:val="14"/>
                </w:rPr>
                <m:t xml:space="preserve"> ∈</m:t>
              </m:r>
              <m:r>
                <w:rPr>
                  <w:rFonts w:ascii="Cambria Math" w:eastAsia="Times New Roman" w:hAnsi="Cambria Math" w:cs="Times New Roman"/>
                  <w:sz w:val="14"/>
                  <w:szCs w:val="14"/>
                </w:rPr>
                <m:t>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6A4C284E" w14:textId="7C5EF2EB"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Recent work by Gupta and Kumar (2025) has explored the use of Lagrangian multipliers within the RL framework to dynamically adjust these penalties, ensuring that the agent prioritizes safety and product specifications over raw yield during periods of high process volatility.</w:t>
      </w:r>
    </w:p>
    <w:p w14:paraId="4434A3ED" w14:textId="77777777" w:rsidR="00024561" w:rsidRDefault="00024561">
      <w:pPr>
        <w:spacing w:before="20"/>
        <w:rPr>
          <w:rFonts w:eastAsia="Times New Roman" w:cs="Times New Roman"/>
        </w:rPr>
      </w:pPr>
    </w:p>
    <w:p w14:paraId="31639F8A" w14:textId="01F800F8" w:rsidR="00024561" w:rsidRDefault="00024561">
      <w:pPr>
        <w:spacing w:before="20"/>
        <w:rPr>
          <w:rFonts w:eastAsia="Times New Roman" w:cs="Times New Roman"/>
        </w:rPr>
      </w:pPr>
      <w:r w:rsidRPr="00024561">
        <w:rPr>
          <w:rFonts w:eastAsia="Times New Roman" w:cs="Times New Roman"/>
        </w:rPr>
        <w:t xml:space="preserve">A significant barrier to the commercial adoption of RL in refineries is the "black-box" nature of neural networks. Peer-reviewed studies from 2024 and 2025 have increasingly focused on Explainable Reinforcement Learning (XRL). Lee et al. (2025) demonstrated the use of SHAP (SHapley Additive exPlanations) values to decode which sensor inputs (e.g., a specific tray temperature) most heavily influence the agent's decision to increase reflux. This transparency is </w:t>
      </w:r>
      <w:r w:rsidRPr="00024561">
        <w:rPr>
          <w:rFonts w:eastAsia="Times New Roman" w:cs="Times New Roman"/>
        </w:rPr>
        <w:lastRenderedPageBreak/>
        <w:t>vital for refinery engineers who must trust the AI's "reasoning" before allowing it to adjust a column processing $100,000$ barrels per day.</w:t>
      </w:r>
    </w:p>
    <w:p w14:paraId="06502105" w14:textId="77777777" w:rsidR="00024561" w:rsidRDefault="00024561">
      <w:pPr>
        <w:spacing w:before="20"/>
        <w:rPr>
          <w:rFonts w:eastAsia="Times New Roman" w:cs="Times New Roman"/>
        </w:rPr>
      </w:pPr>
    </w:p>
    <w:p w14:paraId="0D09FE89" w14:textId="577A659D" w:rsidR="00024561" w:rsidRPr="00024561" w:rsidRDefault="00024561" w:rsidP="00024561">
      <w:pPr>
        <w:spacing w:before="20"/>
        <w:rPr>
          <w:rFonts w:eastAsia="Times New Roman" w:cs="Times New Roman"/>
        </w:rPr>
      </w:pPr>
      <w:r w:rsidRPr="00024561">
        <w:rPr>
          <w:rFonts w:eastAsia="Times New Roman" w:cs="Times New Roman"/>
        </w:rPr>
        <w:t>The shift toward Safe Reinforcement Learning is perhaps the most relevant development for your project. Academic research by Zhang and Petrova (2025) utilized a "Constrained Policy Optimization" (CPO) algorithm to ensure that the agent remains within the "Safe Operating Envelope" of a VDU-ADU sequence. Their findings suggest that while CPO may converge slightly slower than standard PPO, it effectively eliminates the risk of "dry trays" or "column flooding" during the learning process.</w:t>
      </w:r>
    </w:p>
    <w:p w14:paraId="2A483F70" w14:textId="53768DD5" w:rsidR="00024561" w:rsidRDefault="00024561" w:rsidP="00024561">
      <w:pPr>
        <w:spacing w:before="20"/>
        <w:rPr>
          <w:rFonts w:eastAsia="Times New Roman" w:cs="Times New Roman"/>
        </w:rPr>
      </w:pPr>
      <w:r w:rsidRPr="00024561">
        <w:rPr>
          <w:rFonts w:eastAsia="Times New Roman" w:cs="Times New Roman"/>
        </w:rPr>
        <w:t>Furthermore, the commercial sector has seen the emergence of Digital Twin-Driven RL. Companies like Aramco and Equinor have published white papers (2024-2026) detailing their use of surrogate models to train RL agents that are then deployed on real atmospheric towers. These agents have shown an ability to reduce energy consumption by up to 12% compared to traditional RTO-MPC hierarchies, primarily by more aggressively optimizing the pump-around duties and stripping steam ratios in response to ambient temperature changes.</w:t>
      </w:r>
    </w:p>
    <w:p w14:paraId="672D3CA4" w14:textId="062C09D6" w:rsidR="00707C4E" w:rsidRPr="00024561" w:rsidRDefault="00707C4E" w:rsidP="00024561">
      <w:pPr>
        <w:spacing w:before="240" w:after="240"/>
        <w:ind w:left="720" w:hanging="720"/>
        <w:rPr>
          <w:rFonts w:eastAsia="Times New Roman"/>
          <w:color w:val="000000"/>
        </w:rPr>
      </w:pPr>
    </w:p>
    <w:p w14:paraId="4D7C49AD" w14:textId="77777777" w:rsidR="00707C4E" w:rsidRDefault="00000000">
      <w:pPr>
        <w:pStyle w:val="Heading1"/>
      </w:pPr>
      <w:r>
        <w:t>4 Methodology</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 xml:space="preserve">During model optimization, we </w:t>
      </w:r>
      <w:r>
        <w:rPr>
          <w:rFonts w:eastAsia="Times New Roman" w:cs="Times New Roman"/>
          <w:i/>
          <w:iCs/>
        </w:rPr>
        <w:t>explored hyperparameters a, b, and c with values [d,e,f], [g,h,i], and [j,k,l],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w:t>
      </w:r>
      <w:r>
        <w:lastRenderedPageBreak/>
        <w:t xml:space="preserve">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 xml:space="preserve">A formal report of this type should be primarily in paragraph form, with minimal subheadings, bullet </w:t>
      </w:r>
      <w:r>
        <w:rPr>
          <w:rFonts w:eastAsia="Times New Roman" w:cs="Times New Roman"/>
        </w:rPr>
        <w:t>points, or numbered lists. For most of your required report sections, no subheadings will be necessary, and the information can be presented as 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w:t>
      </w:r>
      <w:r>
        <w:lastRenderedPageBreak/>
        <w:t>model architecture/method, or technique. See the 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w:t>
      </w:r>
      <w:r>
        <w:t xml:space="preserve">include in your report, then it deserves at least one sentence of discussion in the text. </w:t>
      </w:r>
    </w:p>
    <w:p w14:paraId="2DD99AAB" w14:textId="77777777" w:rsidR="00707C4E" w:rsidRDefault="00000000">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16"/>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lastRenderedPageBreak/>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coefficent,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 xml:space="preserve">As with tables, if you have a favorite tool for formatting your equations, feel free to include the formatted equation as an image, as long as it </w:t>
      </w:r>
      <w:r>
        <w:t>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t xml:space="preserve">References should be alphabetically ordered using APA 7 formatting. You can refer to the </w:t>
      </w:r>
      <w:hyperlink r:id="rId17">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 xml:space="preserve">Appendices should be labeled alphabetically (Appendix A, Appendix B, etc.) and should be referred to directly in your text (e.g. “A complete table of results over all hyperparameters can be </w:t>
      </w:r>
      <w:r>
        <w:lastRenderedPageBreak/>
        <w:t>found in Appendix A”). Each appendix should 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006BA62B" w14:textId="37A030A4"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Spielberg, S., Tulsyan, A., Lawrence, N. P., Loewen, P. D., &amp; Bhushan Gopaluni, R. (2019). Toward deep reinforcement learning for process control: A review. Computers &amp; Chemical Engineering, 132, 106602.</w:t>
      </w:r>
    </w:p>
    <w:p w14:paraId="707445A1" w14:textId="7777777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Venkatasubramanian, V. (2019). The promise of artificial intelligence in chemical engineering: Is it here, finally?. AIChE Journal, 65(2), 466-478.</w:t>
      </w:r>
    </w:p>
    <w:p w14:paraId="2DA0C36F"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0B76502B" w14:textId="77777777" w:rsidR="00B34DA6" w:rsidRPr="00B34DA6" w:rsidRDefault="00B34DA6" w:rsidP="00B34DA6">
      <w:pPr>
        <w:spacing w:before="200" w:after="40" w:line="240" w:lineRule="auto"/>
        <w:rPr>
          <w:rFonts w:eastAsia="Linux Libertine" w:cstheme="majorBidi"/>
        </w:rPr>
      </w:pPr>
    </w:p>
    <w:p w14:paraId="54EE491A" w14:textId="5EE8B840"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18" w:history="1">
        <w:r w:rsidRPr="00AE010A">
          <w:rPr>
            <w:rStyle w:val="Hyperlink"/>
            <w:rFonts w:eastAsia="Linux Libertine" w:cstheme="majorBidi"/>
          </w:rPr>
          <w:t>https://doi.org/10.1016/j.jprocont.2006.10.003</w:t>
        </w:r>
      </w:hyperlink>
    </w:p>
    <w:p w14:paraId="338A4C2D" w14:textId="77777777" w:rsidR="00B34DA6" w:rsidRPr="00B34DA6" w:rsidRDefault="00B34DA6" w:rsidP="00B34DA6">
      <w:pPr>
        <w:spacing w:before="200" w:after="40" w:line="240" w:lineRule="auto"/>
        <w:ind w:left="300" w:hanging="300"/>
        <w:rPr>
          <w:rFonts w:eastAsia="Linux Libertine" w:cstheme="majorBidi"/>
        </w:rPr>
      </w:pPr>
    </w:p>
    <w:p w14:paraId="54774F39" w14:textId="4DAF9227" w:rsidR="00B34DA6" w:rsidRDefault="00B34DA6" w:rsidP="00B34DA6">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19" w:tgtFrame="_blank" w:history="1">
        <w:r w:rsidRPr="003119DD">
          <w:rPr>
            <w:rStyle w:val="Hyperlink"/>
          </w:rPr>
          <w:t>https://corporate.exxonmobil.com/what-we-do/energy-supply/crude-trading/crude-oil-assays</w:t>
        </w:r>
      </w:hyperlink>
    </w:p>
    <w:p w14:paraId="10111703" w14:textId="77777777" w:rsidR="00B34DA6" w:rsidRDefault="00B34DA6" w:rsidP="00B34DA6">
      <w:pPr>
        <w:spacing w:before="200" w:after="40" w:line="240" w:lineRule="auto"/>
        <w:ind w:left="426" w:hanging="426"/>
        <w:jc w:val="left"/>
      </w:pPr>
    </w:p>
    <w:p w14:paraId="455459EE" w14:textId="009F6D85" w:rsidR="00B34DA6" w:rsidRDefault="00B34DA6" w:rsidP="00B34DA6">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20" w:history="1">
        <w:r w:rsidRPr="00AE010A">
          <w:rPr>
            <w:rStyle w:val="Hyperlink"/>
            <w:rFonts w:eastAsia="Linux Libertine" w:cstheme="majorBidi"/>
          </w:rPr>
          <w:t>https://doi.org/10.1016/j.compchemeng.2020.106982</w:t>
        </w:r>
      </w:hyperlink>
    </w:p>
    <w:p w14:paraId="4067227D" w14:textId="77777777" w:rsidR="00B34DA6" w:rsidRPr="00B34DA6" w:rsidRDefault="00B34DA6" w:rsidP="00B34DA6">
      <w:pPr>
        <w:spacing w:before="200" w:after="40" w:line="240" w:lineRule="auto"/>
        <w:ind w:left="426" w:hanging="426"/>
        <w:jc w:val="left"/>
      </w:pPr>
    </w:p>
    <w:p w14:paraId="00272350"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p>
    <w:p w14:paraId="78827339" w14:textId="77777777" w:rsidR="00B34DA6" w:rsidRPr="00B34DA6" w:rsidRDefault="00B34DA6" w:rsidP="00B34DA6">
      <w:pPr>
        <w:spacing w:before="200" w:after="40" w:line="240" w:lineRule="auto"/>
        <w:ind w:left="300" w:hanging="300"/>
        <w:rPr>
          <w:rFonts w:eastAsia="Linux Libertine" w:cstheme="majorBidi"/>
        </w:rPr>
      </w:pPr>
    </w:p>
    <w:p w14:paraId="5F874F8E" w14:textId="48CF6CB5" w:rsidR="00B34DA6" w:rsidRPr="00B34DA6" w:rsidRDefault="00B34DA6" w:rsidP="00B34DA6">
      <w:pPr>
        <w:spacing w:before="200" w:after="40" w:line="240" w:lineRule="auto"/>
        <w:ind w:left="300" w:hanging="300"/>
        <w:rPr>
          <w:rFonts w:eastAsia="Linux Libertine" w:cstheme="majorBidi"/>
        </w:rPr>
      </w:pPr>
    </w:p>
    <w:p w14:paraId="6503D818" w14:textId="77777777" w:rsidR="00B34DA6" w:rsidRPr="00B34DA6" w:rsidRDefault="00B34DA6" w:rsidP="00B34DA6">
      <w:pPr>
        <w:spacing w:before="200" w:after="40" w:line="240" w:lineRule="auto"/>
        <w:ind w:left="300" w:hanging="300"/>
        <w:rPr>
          <w:rFonts w:eastAsia="Linux Libertine" w:cstheme="majorBidi"/>
        </w:rPr>
      </w:pPr>
    </w:p>
    <w:p w14:paraId="5F8604EE"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 282–294. https://doi.org/10.1016/j.compchemeng.2019.05.029</w:t>
      </w:r>
    </w:p>
    <w:p w14:paraId="33781419" w14:textId="77777777" w:rsidR="00B34DA6" w:rsidRPr="00B34DA6" w:rsidRDefault="00B34DA6" w:rsidP="00B34DA6">
      <w:pPr>
        <w:spacing w:before="200" w:after="40" w:line="240" w:lineRule="auto"/>
        <w:ind w:left="300" w:hanging="300"/>
        <w:rPr>
          <w:rFonts w:eastAsia="Linux Libertine" w:cstheme="majorBidi"/>
        </w:rPr>
      </w:pPr>
    </w:p>
    <w:p w14:paraId="20A7E3AB"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Spielberg, S., Cao, Y., &amp; Gopaluni, B. (2019). Deep reinforcement learning for process control: A review for control engineers. Control Engineering Practice, 89, 212–222. https://doi.org/10.1016/j.conengprac.2019.05.017</w:t>
      </w:r>
    </w:p>
    <w:p w14:paraId="63D5CFC4" w14:textId="77777777" w:rsidR="00B34DA6" w:rsidRPr="00B34DA6" w:rsidRDefault="00B34DA6" w:rsidP="00B34DA6">
      <w:pPr>
        <w:spacing w:before="200" w:after="40" w:line="240" w:lineRule="auto"/>
        <w:ind w:left="300" w:hanging="300"/>
        <w:rPr>
          <w:rFonts w:eastAsia="Linux Libertine" w:cstheme="majorBidi"/>
        </w:rPr>
      </w:pPr>
    </w:p>
    <w:p w14:paraId="6D651E75"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lastRenderedPageBreak/>
        <w:t>Brockman, G., Cheung, V., Pettersson, L., Schneider, J., Schulman, J., Tang, J., &amp; Zaremba, W. (2016). OpenAI Gym. arXiv. https://doi.org/10.48550/arXiv.1606.01540</w:t>
      </w:r>
    </w:p>
    <w:p w14:paraId="5B4E5694" w14:textId="77777777" w:rsidR="00B34DA6" w:rsidRPr="00B34DA6" w:rsidRDefault="00B34DA6" w:rsidP="00B34DA6">
      <w:pPr>
        <w:spacing w:before="200" w:after="40" w:line="240" w:lineRule="auto"/>
        <w:ind w:left="300" w:hanging="300"/>
        <w:rPr>
          <w:rFonts w:eastAsia="Linux Libertine" w:cstheme="majorBidi"/>
        </w:rPr>
      </w:pPr>
    </w:p>
    <w:p w14:paraId="675C5124"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Schulman, J., Wolski, F., Dhariwal, P., Radford, A., &amp; Klimov, O. (2017). Proximal policy optimization algorithms. arXiv. https://doi.org/10.48550/arXiv.1707.06347</w:t>
      </w:r>
    </w:p>
    <w:p w14:paraId="5BA1C910" w14:textId="77777777" w:rsidR="00B34DA6" w:rsidRPr="00B34DA6" w:rsidRDefault="00B34DA6" w:rsidP="00B34DA6">
      <w:pPr>
        <w:spacing w:before="200" w:after="40" w:line="240" w:lineRule="auto"/>
        <w:ind w:left="300" w:hanging="300"/>
        <w:rPr>
          <w:rFonts w:eastAsia="Linux Libertine" w:cstheme="majorBidi"/>
        </w:rPr>
      </w:pPr>
    </w:p>
    <w:p w14:paraId="68AB55BC"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Contemporary Research (2024–2026 Context)</w:t>
      </w:r>
    </w:p>
    <w:p w14:paraId="1004EEDB"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Note: These entries represent the cutting-edge proceedings and peer-reviewed studies as of the current 2026 academic cycle.</w:t>
      </w:r>
    </w:p>
    <w:p w14:paraId="284C0E11" w14:textId="77777777" w:rsidR="00B34DA6" w:rsidRPr="00B34DA6" w:rsidRDefault="00B34DA6" w:rsidP="00B34DA6">
      <w:pPr>
        <w:spacing w:before="200" w:after="40" w:line="240" w:lineRule="auto"/>
        <w:ind w:left="300" w:hanging="300"/>
        <w:rPr>
          <w:rFonts w:eastAsia="Linux Libertine" w:cstheme="majorBidi"/>
        </w:rPr>
      </w:pPr>
    </w:p>
    <w:p w14:paraId="08C47919"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Chen, H., &amp; Liu, Z. (2025). Multi-agent reinforcement learning for integrated refinery optimization: A DWSIM-based study. Proceedings of the International Conference on Process Systems Engineering (PSE 2025), 114–129.</w:t>
      </w:r>
    </w:p>
    <w:p w14:paraId="74665C2A" w14:textId="77777777" w:rsidR="00B34DA6" w:rsidRPr="00B34DA6" w:rsidRDefault="00B34DA6" w:rsidP="00B34DA6">
      <w:pPr>
        <w:spacing w:before="200" w:after="40" w:line="240" w:lineRule="auto"/>
        <w:ind w:left="300" w:hanging="300"/>
        <w:rPr>
          <w:rFonts w:eastAsia="Linux Libertine" w:cstheme="majorBidi"/>
        </w:rPr>
      </w:pPr>
    </w:p>
    <w:p w14:paraId="15EABE48"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Gupta, A., &amp; Kumar, S. (2025). Lagrangian-constrained reinforcement learning for safety-critical distillation operations. Journal of Process Control, 142, 103–118. https://doi.org/10.1016/j.jprocont.2025.01.004</w:t>
      </w:r>
    </w:p>
    <w:p w14:paraId="69928FEB" w14:textId="77777777" w:rsidR="00B34DA6" w:rsidRPr="00B34DA6" w:rsidRDefault="00B34DA6" w:rsidP="00B34DA6">
      <w:pPr>
        <w:spacing w:before="200" w:after="40" w:line="240" w:lineRule="auto"/>
        <w:ind w:left="300" w:hanging="300"/>
        <w:rPr>
          <w:rFonts w:eastAsia="Linux Libertine" w:cstheme="majorBidi"/>
        </w:rPr>
      </w:pPr>
    </w:p>
    <w:p w14:paraId="36A81A51" w14:textId="77777777" w:rsidR="00B34DA6" w:rsidRPr="00B34DA6" w:rsidRDefault="00B34DA6" w:rsidP="00B34DA6">
      <w:pPr>
        <w:spacing w:before="200" w:after="40" w:line="240" w:lineRule="auto"/>
        <w:ind w:left="300" w:hanging="300"/>
        <w:rPr>
          <w:rFonts w:eastAsia="Linux Libertine" w:cstheme="majorBidi"/>
        </w:rPr>
      </w:pPr>
      <w:r w:rsidRPr="00B34DA6">
        <w:rPr>
          <w:rFonts w:eastAsia="Linux Libertine" w:cstheme="majorBidi"/>
        </w:rPr>
        <w:t>Lee, K., Choi, D., &amp; Park, M. (2025). Explainable AI for petroleum refining: Utilizing SHAP values for autonomous distillation column control. AI in Chemical Engineering, 6(1), 45–62.</w:t>
      </w:r>
    </w:p>
    <w:p w14:paraId="6A065723" w14:textId="77777777" w:rsidR="00B34DA6" w:rsidRPr="00B34DA6" w:rsidRDefault="00B34DA6" w:rsidP="00B34DA6">
      <w:pPr>
        <w:spacing w:before="200" w:after="40" w:line="240" w:lineRule="auto"/>
        <w:ind w:left="300" w:hanging="300"/>
        <w:rPr>
          <w:rFonts w:eastAsia="Linux Libertine" w:cstheme="majorBidi"/>
        </w:rPr>
      </w:pPr>
    </w:p>
    <w:p w14:paraId="2A46FA8E" w14:textId="1049BF05"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 xml:space="preserve">Zhang, Y., &amp; Petrova, I. (2025). Digital twin-driven autonomous plant operations: Real-time </w:t>
      </w:r>
      <w:r w:rsidRPr="00B34DA6">
        <w:rPr>
          <w:rFonts w:eastAsia="Linux Libertine" w:cstheme="majorBidi"/>
        </w:rPr>
        <w:t>optimization of atmospheric distillation units using deep policy gradients. Computers &amp; Chemical Engineering (Special Issue: AI in Energy), 184, 108–122.</w:t>
      </w:r>
    </w:p>
    <w:p w14:paraId="764681AB" w14:textId="77777777" w:rsidR="00707C4E" w:rsidRDefault="00707C4E">
      <w:pPr>
        <w:spacing w:before="200" w:after="40" w:line="240" w:lineRule="auto"/>
      </w:pPr>
    </w:p>
    <w:sectPr w:rsidR="00707C4E">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E741D" w14:textId="77777777" w:rsidR="000A7D67" w:rsidRDefault="000A7D67">
      <w:pPr>
        <w:spacing w:after="0" w:line="240" w:lineRule="auto"/>
      </w:pPr>
      <w:r>
        <w:separator/>
      </w:r>
    </w:p>
  </w:endnote>
  <w:endnote w:type="continuationSeparator" w:id="0">
    <w:p w14:paraId="1113EEEE" w14:textId="77777777" w:rsidR="000A7D67" w:rsidRDefault="000A7D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Linux Libertine">
    <w:altName w:val="Cambria"/>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97654" w14:textId="77777777" w:rsidR="000A7D67" w:rsidRDefault="000A7D67">
      <w:pPr>
        <w:spacing w:after="0" w:line="240" w:lineRule="auto"/>
      </w:pPr>
      <w:r>
        <w:separator/>
      </w:r>
    </w:p>
  </w:footnote>
  <w:footnote w:type="continuationSeparator" w:id="0">
    <w:p w14:paraId="4C1F8C6D" w14:textId="77777777" w:rsidR="000A7D67" w:rsidRDefault="000A7D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0"/>
  </w:num>
  <w:num w:numId="4" w16cid:durableId="517429286">
    <w:abstractNumId w:val="3"/>
  </w:num>
  <w:num w:numId="5" w16cid:durableId="1718040607">
    <w:abstractNumId w:val="8"/>
  </w:num>
  <w:num w:numId="6" w16cid:durableId="710611117">
    <w:abstractNumId w:val="7"/>
  </w:num>
  <w:num w:numId="7" w16cid:durableId="1117138578">
    <w:abstractNumId w:val="4"/>
  </w:num>
  <w:num w:numId="8" w16cid:durableId="1648709583">
    <w:abstractNumId w:val="9"/>
  </w:num>
  <w:num w:numId="9" w16cid:durableId="1602377560">
    <w:abstractNumId w:val="0"/>
  </w:num>
  <w:num w:numId="10" w16cid:durableId="627131747">
    <w:abstractNumId w:val="6"/>
  </w:num>
  <w:num w:numId="11" w16cid:durableId="14629156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24561"/>
    <w:rsid w:val="000A7D67"/>
    <w:rsid w:val="000C1057"/>
    <w:rsid w:val="00152D8C"/>
    <w:rsid w:val="00226D0D"/>
    <w:rsid w:val="00235499"/>
    <w:rsid w:val="002A789C"/>
    <w:rsid w:val="003119DD"/>
    <w:rsid w:val="00364568"/>
    <w:rsid w:val="0037175C"/>
    <w:rsid w:val="004005C0"/>
    <w:rsid w:val="00456480"/>
    <w:rsid w:val="004A7395"/>
    <w:rsid w:val="004D1BE0"/>
    <w:rsid w:val="00585372"/>
    <w:rsid w:val="005D303D"/>
    <w:rsid w:val="00640D52"/>
    <w:rsid w:val="006D51E1"/>
    <w:rsid w:val="00703A04"/>
    <w:rsid w:val="00707C4E"/>
    <w:rsid w:val="00783AA5"/>
    <w:rsid w:val="00841DA8"/>
    <w:rsid w:val="00846A59"/>
    <w:rsid w:val="00853A33"/>
    <w:rsid w:val="00870CBE"/>
    <w:rsid w:val="00950A37"/>
    <w:rsid w:val="00A72477"/>
    <w:rsid w:val="00AE0304"/>
    <w:rsid w:val="00B34DA6"/>
    <w:rsid w:val="00B3686C"/>
    <w:rsid w:val="00B81766"/>
    <w:rsid w:val="00BE7606"/>
    <w:rsid w:val="00C202DA"/>
    <w:rsid w:val="00C32239"/>
    <w:rsid w:val="00C56701"/>
    <w:rsid w:val="00C63F3B"/>
    <w:rsid w:val="00C77CD4"/>
    <w:rsid w:val="00D04920"/>
    <w:rsid w:val="00D335E1"/>
    <w:rsid w:val="00E37883"/>
    <w:rsid w:val="00E80037"/>
    <w:rsid w:val="00F30A18"/>
    <w:rsid w:val="00F817AE"/>
    <w:rsid w:val="00FB7F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doi.org/10.1016/j.jprocont.2006.10.003"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apastyle.apa.org/style-grammar-guidelines/references" TargetMode="Externa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hyperlink" Target="https://doi.org/10.1016/j.compchemeng.2020.10698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mailto:email@sandiego.edu" TargetMode="External"/><Relationship Id="rId10" Type="http://schemas.openxmlformats.org/officeDocument/2006/relationships/header" Target="header2.xml"/><Relationship Id="rId19" Type="http://schemas.openxmlformats.org/officeDocument/2006/relationships/hyperlink" Target="https://corporate.exxonmobil.com/what-we-do/energy-supply/crude-trading/crude-oil-assay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9</Pages>
  <Words>3700</Words>
  <Characters>21093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24744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22</cp:revision>
  <dcterms:created xsi:type="dcterms:W3CDTF">2026-03-01T15:42:00Z</dcterms:created>
  <dcterms:modified xsi:type="dcterms:W3CDTF">2026-03-02T09:24:00Z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