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77777777"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A Hybrid Deep Reinforcement Learning and LLM Framework for Real-Time Distillation</w:t>
      </w:r>
      <w:r>
        <w:rPr>
          <w:rFonts w:ascii="Times New Roman" w:hAnsi="Times New Roman" w:cstheme="majorBidi"/>
          <w:b/>
          <w:bCs/>
          <w:sz w:val="36"/>
          <w:szCs w:val="36"/>
        </w:rPr>
        <w:t xml:space="preserve"> Optimization</w:t>
      </w:r>
    </w:p>
    <w:p w14:paraId="1B6D38AD" w14:textId="712CDCEB" w:rsidR="00707C4E" w:rsidRDefault="00841DA8">
      <w:pPr>
        <w:pStyle w:val="Subtitle"/>
        <w:shd w:val="clear" w:color="auto" w:fill="FFFFFF" w:themeFill="background1"/>
      </w:pPr>
      <w:r w:rsidRPr="00841DA8">
        <w:rPr>
          <w:rFonts w:asciiTheme="majorBidi" w:hAnsiTheme="majorBidi" w:cstheme="majorBidi"/>
          <w:sz w:val="28"/>
          <w:szCs w:val="28"/>
        </w:rPr>
        <w:t xml:space="preserve">Integrating Rigorous </w:t>
      </w:r>
      <w:proofErr w:type="spellStart"/>
      <w:r w:rsidRPr="00841DA8">
        <w:rPr>
          <w:rFonts w:asciiTheme="majorBidi" w:hAnsiTheme="majorBidi" w:cstheme="majorBidi"/>
          <w:sz w:val="28"/>
          <w:szCs w:val="28"/>
        </w:rPr>
        <w:t>DWSim</w:t>
      </w:r>
      <w:proofErr w:type="spellEnd"/>
      <w:r w:rsidRPr="00841DA8">
        <w:rPr>
          <w:rFonts w:asciiTheme="majorBidi" w:hAnsiTheme="majorBidi" w:cstheme="majorBidi"/>
          <w:sz w:val="28"/>
          <w:szCs w:val="28"/>
        </w:rPr>
        <w:t xml:space="preserve"> Flowsheets with AI-Augmented Process Copilots</w:t>
      </w:r>
      <w:r>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4">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110EFE0" w14:textId="77777777" w:rsidR="00707C4E" w:rsidRDefault="00000000">
      <w:pPr>
        <w:rPr>
          <w:rFonts w:eastAsia="Times New Roman" w:cs="Times New Roman"/>
        </w:rPr>
      </w:pPr>
      <w:r>
        <w:t>The abstract should be the last piece of your report that you write and will be a 1-2 paragraph overview of your entire project. As a rough guide, you should expect to have 1-2 sentences introducing the problem and your chosen dataset, 3-4 sentences describing your chosen methods, and 1-2 sentences summarizing your project results.</w:t>
      </w:r>
    </w:p>
    <w:p w14:paraId="71CF3D89" w14:textId="77777777" w:rsidR="00707C4E" w:rsidRDefault="00000000">
      <w:pPr>
        <w:pStyle w:val="Heading1"/>
        <w:rPr>
          <w:rFonts w:asciiTheme="majorBidi" w:eastAsia="Linux Libertine" w:hAnsiTheme="majorBidi"/>
          <w:sz w:val="24"/>
          <w:szCs w:val="24"/>
        </w:rPr>
      </w:pPr>
      <w:r>
        <w:t>KEYWORDS</w:t>
      </w:r>
    </w:p>
    <w:p w14:paraId="3678B6D1" w14:textId="2175734C" w:rsidR="00707C4E" w:rsidRDefault="00E80037">
      <w:pPr>
        <w:spacing w:after="60"/>
        <w:rPr>
          <w:rFonts w:asciiTheme="majorBidi" w:eastAsia="Linux Libertine" w:hAnsiTheme="majorBidi" w:cstheme="majorBidi"/>
          <w:color w:val="000000"/>
        </w:rPr>
      </w:pPr>
      <w:r>
        <w:rPr>
          <w:rFonts w:eastAsia="Linux Libertine" w:cstheme="majorBidi"/>
        </w:rPr>
        <w:t>Deep Reinforcement Learning, Neural Networks, Deep Q-Networks,</w:t>
      </w:r>
      <w:r w:rsidR="002834D0">
        <w:rPr>
          <w:rFonts w:eastAsia="Linux Libertine" w:cstheme="majorBidi"/>
        </w:rPr>
        <w:t xml:space="preserve"> Soft Actor Critic,</w:t>
      </w:r>
      <w:r w:rsidR="000171A5">
        <w:rPr>
          <w:rFonts w:eastAsia="Linux Libertine" w:cstheme="majorBidi"/>
        </w:rPr>
        <w:t xml:space="preserve"> </w:t>
      </w:r>
      <w:proofErr w:type="spellStart"/>
      <w:r w:rsidR="000171A5">
        <w:rPr>
          <w:rFonts w:eastAsia="Linux Libertine" w:cstheme="majorBidi"/>
        </w:rPr>
        <w:t>DWSim</w:t>
      </w:r>
      <w:proofErr w:type="spellEnd"/>
      <w:r w:rsidR="00545888">
        <w:rPr>
          <w:rFonts w:eastAsia="Linux Libertine" w:cstheme="majorBidi"/>
        </w:rPr>
        <w:t>,</w:t>
      </w:r>
      <w:r>
        <w:rPr>
          <w:rFonts w:eastAsia="Linux Libertine" w:cstheme="majorBidi"/>
        </w:rPr>
        <w:t xml:space="preserve"> Optimization, AI Agent, Process Simulation</w:t>
      </w:r>
    </w:p>
    <w:p w14:paraId="500A481E" w14:textId="77777777" w:rsidR="00707C4E" w:rsidRDefault="00000000">
      <w:pPr>
        <w:pStyle w:val="Heading1"/>
      </w:pPr>
      <w:r>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277BD776"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The crude is first fractionated into multiple unfinished </w:t>
      </w:r>
      <w:r w:rsidR="00853A33">
        <w:t xml:space="preserve">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emerged as a powerful paradigm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develop a solution which utilizes Deep Reinforcement Learning coupled with 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lastRenderedPageBreak/>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1FF79271" w14:textId="0550DC56" w:rsidR="00B81766" w:rsidRDefault="00B81766" w:rsidP="00B81766">
      <w:pPr>
        <w:pStyle w:val="ListParagraph"/>
        <w:numPr>
          <w:ilvl w:val="1"/>
          <w:numId w:val="11"/>
        </w:numPr>
        <w:ind w:left="284"/>
        <w:rPr>
          <w:i/>
          <w:iCs/>
        </w:rPr>
      </w:pPr>
      <w:r w:rsidRPr="00B81766">
        <w:rPr>
          <w:i/>
          <w:iCs/>
        </w:rPr>
        <w:t>Final Deliverable</w:t>
      </w:r>
    </w:p>
    <w:p w14:paraId="6B3CD6A0" w14:textId="77777777" w:rsidR="00B81766" w:rsidRDefault="00B81766" w:rsidP="00B81766">
      <w:pPr>
        <w:ind w:left="-76"/>
        <w:rPr>
          <w:i/>
          <w:iCs/>
        </w:rPr>
      </w:pP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The </w:t>
      </w:r>
      <w:r w:rsidR="004D1BE0">
        <w:t xml:space="preserve">application has a Django dashboard to interact with the backend system comprising of a process Digital Twin built on </w:t>
      </w:r>
      <w:proofErr w:type="spellStart"/>
      <w:r w:rsidR="004D1BE0">
        <w:t>DWSim</w:t>
      </w:r>
      <w:proofErr w:type="spellEnd"/>
      <w:r w:rsidR="004D1BE0">
        <w:t xml:space="preserve">, an optimizer built on Deep Reinforcement Learning agent, and a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w:t>
      </w:r>
      <w:proofErr w:type="spellStart"/>
      <w:r w:rsidRPr="00B81766">
        <w:t>DWSim</w:t>
      </w:r>
      <w:proofErr w:type="spellEnd"/>
      <w:r w:rsidRPr="00B81766">
        <w:t xml:space="preserve">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C265A0" w14:textId="77777777" w:rsidR="005E1C12" w:rsidRPr="005E1C12" w:rsidRDefault="005E1C12" w:rsidP="005E1C12">
      <w:pPr>
        <w:pStyle w:val="ListParagraph"/>
        <w:numPr>
          <w:ilvl w:val="0"/>
          <w:numId w:val="11"/>
        </w:numPr>
        <w:rPr>
          <w:i/>
          <w:iCs/>
          <w:vanish/>
        </w:rPr>
      </w:pPr>
    </w:p>
    <w:p w14:paraId="02452CBE" w14:textId="745BF124" w:rsidR="005E1C12" w:rsidRDefault="005E1C12" w:rsidP="005E1C12">
      <w:pPr>
        <w:pStyle w:val="ListParagraph"/>
        <w:numPr>
          <w:ilvl w:val="1"/>
          <w:numId w:val="11"/>
        </w:numPr>
        <w:ind w:left="284"/>
        <w:rPr>
          <w:i/>
          <w:iCs/>
        </w:rPr>
      </w:pPr>
      <w:r w:rsidRPr="005E1C12">
        <w:rPr>
          <w:i/>
          <w:iCs/>
        </w:rPr>
        <w:t>Input State Representation</w:t>
      </w:r>
    </w:p>
    <w:p w14:paraId="42C21DD3" w14:textId="77777777" w:rsidR="00847E24" w:rsidRDefault="00847E24" w:rsidP="00847E24">
      <w:pPr>
        <w:pStyle w:val="ListParagraph"/>
        <w:numPr>
          <w:ilvl w:val="0"/>
          <w:numId w:val="0"/>
        </w:numPr>
        <w:ind w:left="284"/>
        <w:rPr>
          <w:i/>
          <w:iCs/>
        </w:rPr>
      </w:pPr>
    </w:p>
    <w:p w14:paraId="0C268BA2" w14:textId="6AA0549A" w:rsidR="005E1C12" w:rsidRDefault="00B03708" w:rsidP="005E1C12">
      <w:pPr>
        <w:ind w:left="-76"/>
      </w:pPr>
      <w:r>
        <w:t>Our study revolves around finding the most optimized manner of distillation of crude. Hence,</w:t>
      </w:r>
      <w:r w:rsidR="002A2C07">
        <w:t xml:space="preserve"> one of the primary focuses in this</w:t>
      </w:r>
      <w:r>
        <w:t xml:space="preserve"> study </w:t>
      </w:r>
      <w:r w:rsidR="002A2C07">
        <w:t xml:space="preserve">is to understand the properties of </w:t>
      </w:r>
      <w:r>
        <w:t xml:space="preserve">commonly available crude assays. </w:t>
      </w:r>
      <w:r w:rsidR="005E1C12">
        <w:t xml:space="preserve">The dataset </w:t>
      </w:r>
      <w:r w:rsidR="00C3782D">
        <w:t xml:space="preserve">chosen </w:t>
      </w:r>
      <w:r w:rsidR="005E1C12">
        <w:t xml:space="preserve">comprises physicochemical properties for five distinctive crude oil assays (Azeri Light, Erha, Tapis, Upper </w:t>
      </w:r>
      <w:proofErr w:type="spellStart"/>
      <w:r w:rsidR="005E1C12">
        <w:t>Zakum</w:t>
      </w:r>
      <w:proofErr w:type="spellEnd"/>
      <w:r w:rsidR="005E1C12">
        <w:t xml:space="preserve">, and WTI Light) sourced from the </w:t>
      </w:r>
      <w:r w:rsidR="00C3782D">
        <w:t>ExxonMobil’s open</w:t>
      </w:r>
      <w:r w:rsidR="005E1C12">
        <w:t xml:space="preserve"> database</w:t>
      </w:r>
      <w:r w:rsidR="00C3782D">
        <w:t xml:space="preserve"> </w:t>
      </w:r>
      <w:r w:rsidR="00C3782D" w:rsidRPr="003119DD">
        <w:t>(ExxonMobil, n.d.)</w:t>
      </w:r>
      <w:r w:rsidR="005E1C12">
        <w:t xml:space="preserve">. </w:t>
      </w:r>
    </w:p>
    <w:p w14:paraId="447F5BA1" w14:textId="14401FAA" w:rsidR="005E1C12" w:rsidRDefault="005E1C12" w:rsidP="00B04F16">
      <w:pPr>
        <w:ind w:left="-76"/>
      </w:pPr>
      <w:r>
        <w:t>Whole Crude Physicochemical Attributes</w:t>
      </w:r>
      <w:r w:rsidR="00457DEB">
        <w:t xml:space="preserve"> such as</w:t>
      </w:r>
      <w:r>
        <w:t xml:space="preserve"> mass density</w:t>
      </w:r>
      <w:r w:rsidR="00457DEB">
        <w:t xml:space="preserve">, </w:t>
      </w:r>
      <w:r>
        <w:t xml:space="preserve">API gravity (the standard measure of </w:t>
      </w:r>
      <w:r w:rsidR="005736E9">
        <w:t xml:space="preserve">extent of heaviness of </w:t>
      </w:r>
      <w:r>
        <w:t>oil), Total Sulfur content, and Total Acid Number (TAN)</w:t>
      </w:r>
      <w:r w:rsidR="00457DEB">
        <w:t xml:space="preserve"> are critical defining factors of crude assays. </w:t>
      </w:r>
      <w:r>
        <w:t xml:space="preserve">These properties are critical </w:t>
      </w:r>
      <w:r>
        <w:lastRenderedPageBreak/>
        <w:t>as they define the intrinsic quality and potential corrosivity of the feed (González-Durán et al., 2024; Al-Sayegh et al., 2016).</w:t>
      </w:r>
      <w:r w:rsidR="00B04F16">
        <w:t xml:space="preserve"> </w:t>
      </w:r>
      <w:r>
        <w:t>Concentrations of Nitrogen and metals such as Vanadium (V) and Nickel (Ni)</w:t>
      </w:r>
      <w:r w:rsidR="00457DEB">
        <w:t xml:space="preserve"> </w:t>
      </w:r>
      <w:r>
        <w:t xml:space="preserve">are significant </w:t>
      </w:r>
      <w:r w:rsidR="00457DEB">
        <w:t>since they</w:t>
      </w:r>
      <w:r>
        <w:t xml:space="preserve"> serve as catalyst poisons in downstream units like fluid catalytic cracking (FCC) (Al-Sayegh et al., 2016).</w:t>
      </w:r>
      <w:r w:rsidR="00B04F16">
        <w:t xml:space="preserve"> </w:t>
      </w:r>
      <w:r>
        <w:t>Rheological and Volatility Markers</w:t>
      </w:r>
      <w:r w:rsidR="00B04F16">
        <w:t xml:space="preserve"> </w:t>
      </w:r>
      <w:r>
        <w:t>such as Kinematic Viscosity, Reid Vapor Pressure (RVP), and Pour Point characterize the flow behavior and thermal stability of the crude.</w:t>
      </w:r>
      <w:r w:rsidR="00B04F16">
        <w:t xml:space="preserve"> </w:t>
      </w:r>
      <w:r>
        <w:t>The True Boiling Point (TBP) curve defines the volumetric and weight percentage yields for various product cuts (Naphtha, Kerosene, Diesel, and Residue). Quality metrics for these cuts—such as Octane Number (RON/MON) for Naphtha and Cetane Index for Diesel</w:t>
      </w:r>
      <w:r w:rsidR="00B04F16">
        <w:t xml:space="preserve"> </w:t>
      </w:r>
      <w:r>
        <w:t>—</w:t>
      </w:r>
      <w:r w:rsidR="00B04F16">
        <w:t xml:space="preserve"> </w:t>
      </w:r>
      <w:r>
        <w:t xml:space="preserve">are utilized as process constraints within </w:t>
      </w:r>
      <w:r w:rsidR="00B04F16">
        <w:t xml:space="preserve">downstream process </w:t>
      </w:r>
      <w:r>
        <w:t>optimizer</w:t>
      </w:r>
      <w:r w:rsidR="00B04F16">
        <w:t>s</w:t>
      </w:r>
      <w:r>
        <w:t xml:space="preserve"> (</w:t>
      </w:r>
      <w:proofErr w:type="spellStart"/>
      <w:r>
        <w:t>AlRijeb</w:t>
      </w:r>
      <w:proofErr w:type="spellEnd"/>
      <w:r>
        <w:t xml:space="preserve"> et al., 2025; Li et al., 2025).</w:t>
      </w:r>
    </w:p>
    <w:p w14:paraId="62E693D9" w14:textId="77777777" w:rsidR="00565768" w:rsidRDefault="00565768" w:rsidP="00B04F16">
      <w:pPr>
        <w:ind w:left="-76"/>
      </w:pPr>
    </w:p>
    <w:p w14:paraId="3480489C" w14:textId="2F22E968" w:rsidR="00565768" w:rsidRDefault="00565768" w:rsidP="00B04F16">
      <w:pPr>
        <w:ind w:left="-76"/>
      </w:pPr>
      <w:r w:rsidRPr="006F505B">
        <w:rPr>
          <w:noProof/>
        </w:rPr>
        <w:drawing>
          <wp:inline distT="0" distB="0" distL="0" distR="0" wp14:anchorId="6960FB71" wp14:editId="71E4CACD">
            <wp:extent cx="3048000" cy="1074069"/>
            <wp:effectExtent l="0" t="0" r="0" b="0"/>
            <wp:docPr id="10537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5"/>
                    <a:stretch>
                      <a:fillRect/>
                    </a:stretch>
                  </pic:blipFill>
                  <pic:spPr>
                    <a:xfrm>
                      <a:off x="0" y="0"/>
                      <a:ext cx="3048000" cy="1074069"/>
                    </a:xfrm>
                    <a:prstGeom prst="rect">
                      <a:avLst/>
                    </a:prstGeom>
                  </pic:spPr>
                </pic:pic>
              </a:graphicData>
            </a:graphic>
          </wp:inline>
        </w:drawing>
      </w:r>
    </w:p>
    <w:p w14:paraId="60B01CBA" w14:textId="54E13FA1" w:rsidR="005E1C12" w:rsidRDefault="00565768" w:rsidP="005E1C12">
      <w:pPr>
        <w:ind w:left="-76"/>
      </w:pPr>
      <w:r w:rsidRPr="006F505B">
        <w:rPr>
          <w:noProof/>
        </w:rPr>
        <w:drawing>
          <wp:inline distT="0" distB="0" distL="0" distR="0" wp14:anchorId="6052EDBC" wp14:editId="0F46549F">
            <wp:extent cx="3048000" cy="868025"/>
            <wp:effectExtent l="0" t="0" r="0" b="8890"/>
            <wp:docPr id="177636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16"/>
                    <a:stretch>
                      <a:fillRect/>
                    </a:stretch>
                  </pic:blipFill>
                  <pic:spPr>
                    <a:xfrm>
                      <a:off x="0" y="0"/>
                      <a:ext cx="3048000" cy="868025"/>
                    </a:xfrm>
                    <a:prstGeom prst="rect">
                      <a:avLst/>
                    </a:prstGeom>
                  </pic:spPr>
                </pic:pic>
              </a:graphicData>
            </a:graphic>
          </wp:inline>
        </w:drawing>
      </w:r>
    </w:p>
    <w:p w14:paraId="550F42D1"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 xml:space="preserve">Fig 1. (a). API Gravity, Density (at 15 </w:t>
      </w:r>
      <w:proofErr w:type="spellStart"/>
      <w:r w:rsidRPr="00C62535">
        <w:rPr>
          <w:rFonts w:eastAsia="Linux Biolinum" w:cs="Times New Roman"/>
          <w:i/>
          <w:iCs/>
          <w:color w:val="000000"/>
          <w:sz w:val="18"/>
          <w:szCs w:val="18"/>
          <w:vertAlign w:val="superscript"/>
        </w:rPr>
        <w:t>o</w:t>
      </w:r>
      <w:r w:rsidRPr="00565768">
        <w:rPr>
          <w:rFonts w:eastAsia="Linux Biolinum" w:cs="Times New Roman"/>
          <w:i/>
          <w:iCs/>
          <w:color w:val="000000"/>
          <w:sz w:val="18"/>
          <w:szCs w:val="18"/>
        </w:rPr>
        <w:t>C</w:t>
      </w:r>
      <w:proofErr w:type="spellEnd"/>
      <w:r w:rsidRPr="00565768">
        <w:rPr>
          <w:rFonts w:eastAsia="Linux Biolinum" w:cs="Times New Roman"/>
          <w:i/>
          <w:iCs/>
          <w:color w:val="000000"/>
          <w:sz w:val="18"/>
          <w:szCs w:val="18"/>
        </w:rPr>
        <w:t>) and Total Sulphur distribution in the selected crude assays</w:t>
      </w:r>
    </w:p>
    <w:p w14:paraId="45832D8F"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Fig 1. (b) Metals and Total Nitrogen content in the selected crude assays</w:t>
      </w:r>
    </w:p>
    <w:p w14:paraId="67589F25" w14:textId="77777777" w:rsidR="00565768" w:rsidRPr="005E1C12" w:rsidRDefault="00565768" w:rsidP="000D7A14"/>
    <w:p w14:paraId="6B4FEA7F" w14:textId="2CECA9E4" w:rsidR="005E1C12" w:rsidRPr="00565768" w:rsidRDefault="00732052" w:rsidP="00565768">
      <w:pPr>
        <w:pStyle w:val="ListParagraph"/>
        <w:numPr>
          <w:ilvl w:val="1"/>
          <w:numId w:val="11"/>
        </w:numPr>
        <w:ind w:left="284"/>
        <w:rPr>
          <w:i/>
          <w:iCs/>
        </w:rPr>
      </w:pPr>
      <w:r w:rsidRPr="00732052">
        <w:rPr>
          <w:i/>
          <w:iCs/>
        </w:rPr>
        <w:t>Fractional Yield Dynamics and TBP Analysis</w:t>
      </w:r>
    </w:p>
    <w:p w14:paraId="4F2E7414" w14:textId="4174316C" w:rsidR="005E1C12" w:rsidRDefault="008F1433" w:rsidP="00732052">
      <w:pPr>
        <w:ind w:left="-76"/>
      </w:pPr>
      <w:r>
        <w:t xml:space="preserve">Upon analysis, </w:t>
      </w:r>
      <w:r w:rsidR="00732052" w:rsidRPr="00732052">
        <w:t xml:space="preserve">True Boiling Point (TBP) distillation curves derived from the dataset </w:t>
      </w:r>
      <w:r>
        <w:t xml:space="preserve">shed </w:t>
      </w:r>
      <w:r>
        <w:t>light on</w:t>
      </w:r>
      <w:r w:rsidR="00732052" w:rsidRPr="00732052">
        <w:t xml:space="preserve"> significant disparities in product slates. WTI Light and Tapis </w:t>
      </w:r>
      <w:r>
        <w:t xml:space="preserve">have </w:t>
      </w:r>
      <w:r w:rsidR="00732052" w:rsidRPr="00732052">
        <w:t>demonstrate</w:t>
      </w:r>
      <w:r>
        <w:t>d</w:t>
      </w:r>
      <w:r w:rsidR="00732052" w:rsidRPr="00732052">
        <w:t xml:space="preserve"> superior Naphtha yields, which are essential for gasoline production. Conversely, Erha and Tapis </w:t>
      </w:r>
      <w:r>
        <w:t xml:space="preserve">have </w:t>
      </w:r>
      <w:r w:rsidR="00732052" w:rsidRPr="00732052">
        <w:t>show</w:t>
      </w:r>
      <w:r>
        <w:t>ed</w:t>
      </w:r>
      <w:r w:rsidR="00732052" w:rsidRPr="00732052">
        <w:t xml:space="preserve"> a higher propensity for middle distillate production</w:t>
      </w:r>
      <w:r>
        <w:t xml:space="preserve"> like</w:t>
      </w:r>
      <w:r w:rsidR="00732052" w:rsidRPr="00732052">
        <w:t xml:space="preserve"> Kerosene and Diesel. Upper </w:t>
      </w:r>
      <w:proofErr w:type="spellStart"/>
      <w:r w:rsidR="00732052" w:rsidRPr="00732052">
        <w:t>Zakum</w:t>
      </w:r>
      <w:proofErr w:type="spellEnd"/>
      <w:r w:rsidR="00732052" w:rsidRPr="00732052">
        <w:t xml:space="preserve"> is characterized by a bottom-heavy profile, yielding a higher percentage of Vacuum Gas Oil (VGO) and atmospheric residues. </w:t>
      </w:r>
      <w:r>
        <w:t xml:space="preserve">Since the Deep RL agent is inherently aimed at driving margins, </w:t>
      </w:r>
      <w:r w:rsidR="00732052" w:rsidRPr="00732052">
        <w:t>yield distributions directly impact the reward function of the optimizer; for instance, when market prices favor Jet Fuel, the optimizer must identify the specific operating temperatures within the digital twin that maximize the Kerosene cuts while maintaining thermodynamic stability (Li et al., 2025).</w:t>
      </w:r>
    </w:p>
    <w:p w14:paraId="500AD65B" w14:textId="70FB84A9" w:rsidR="00565768" w:rsidRDefault="00565768" w:rsidP="00732052">
      <w:pPr>
        <w:ind w:left="-76"/>
      </w:pPr>
      <w:r w:rsidRPr="006F505B">
        <w:rPr>
          <w:noProof/>
        </w:rPr>
        <w:drawing>
          <wp:inline distT="0" distB="0" distL="0" distR="0" wp14:anchorId="7C1D3F5A" wp14:editId="72E458CA">
            <wp:extent cx="3048000" cy="419582"/>
            <wp:effectExtent l="0" t="0" r="0" b="0"/>
            <wp:docPr id="1500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17"/>
                    <a:stretch>
                      <a:fillRect/>
                    </a:stretch>
                  </pic:blipFill>
                  <pic:spPr>
                    <a:xfrm>
                      <a:off x="0" y="0"/>
                      <a:ext cx="3048000" cy="419582"/>
                    </a:xfrm>
                    <a:prstGeom prst="rect">
                      <a:avLst/>
                    </a:prstGeom>
                  </pic:spPr>
                </pic:pic>
              </a:graphicData>
            </a:graphic>
          </wp:inline>
        </w:drawing>
      </w:r>
    </w:p>
    <w:p w14:paraId="37E7D489" w14:textId="65042192" w:rsidR="00D4158F" w:rsidRDefault="00565768" w:rsidP="00732052">
      <w:pPr>
        <w:ind w:left="-76"/>
        <w:rPr>
          <w:i/>
          <w:iCs/>
          <w:sz w:val="18"/>
          <w:szCs w:val="18"/>
        </w:rPr>
      </w:pPr>
      <w:r w:rsidRPr="00565768">
        <w:rPr>
          <w:i/>
          <w:iCs/>
          <w:sz w:val="18"/>
          <w:szCs w:val="18"/>
        </w:rPr>
        <w:t>Fig 2. Crude-wise yield distribution (</w:t>
      </w:r>
      <w:proofErr w:type="spellStart"/>
      <w:r w:rsidRPr="00565768">
        <w:rPr>
          <w:i/>
          <w:iCs/>
          <w:sz w:val="18"/>
          <w:szCs w:val="18"/>
        </w:rPr>
        <w:t>wt</w:t>
      </w:r>
      <w:proofErr w:type="spellEnd"/>
      <w:r w:rsidRPr="00565768">
        <w:rPr>
          <w:i/>
          <w:iCs/>
          <w:sz w:val="18"/>
          <w:szCs w:val="18"/>
        </w:rPr>
        <w:t>%)</w:t>
      </w:r>
    </w:p>
    <w:p w14:paraId="1DF6D6E4" w14:textId="77777777" w:rsidR="00565768" w:rsidRPr="00565768" w:rsidRDefault="00565768" w:rsidP="00732052">
      <w:pPr>
        <w:ind w:left="-76"/>
        <w:rPr>
          <w:i/>
          <w:iCs/>
          <w:sz w:val="18"/>
          <w:szCs w:val="18"/>
        </w:rPr>
      </w:pPr>
    </w:p>
    <w:p w14:paraId="33F76187" w14:textId="16BC58C8" w:rsidR="005E1C12" w:rsidRPr="00565768" w:rsidRDefault="00565768" w:rsidP="00565768">
      <w:pPr>
        <w:pStyle w:val="ListParagraph"/>
        <w:numPr>
          <w:ilvl w:val="1"/>
          <w:numId w:val="11"/>
        </w:numPr>
        <w:ind w:left="284"/>
        <w:rPr>
          <w:i/>
          <w:iCs/>
        </w:rPr>
      </w:pPr>
      <w:r w:rsidRPr="00565768">
        <w:rPr>
          <w:i/>
          <w:iCs/>
        </w:rPr>
        <w:t>Contaminant Profiles and Catalyst Poisoning Potential</w:t>
      </w:r>
    </w:p>
    <w:p w14:paraId="345A5BB5" w14:textId="0A791DD6" w:rsidR="005E1C12" w:rsidRDefault="00565768" w:rsidP="00565768">
      <w:pPr>
        <w:ind w:left="-76"/>
      </w:pPr>
      <w:r w:rsidRPr="00565768">
        <w:t>The comparative study</w:t>
      </w:r>
      <w:r>
        <w:t xml:space="preserve"> between the selected crude assays</w:t>
      </w:r>
      <w:r w:rsidRPr="00565768">
        <w:t xml:space="preserve"> </w:t>
      </w:r>
      <w:r w:rsidR="00904BA5">
        <w:t>indicates towards</w:t>
      </w:r>
      <w:r w:rsidRPr="00565768">
        <w:t xml:space="preserve"> a strong correlation between the density of the crude and the concentration of catalyst poisons, specifically Vanadium, Nickel, and Micro-Carbon Residue (MCR). WTI Light and Tapis are identified as the cleanest feedstocks, with minimal metal content, making their heavy fractions ideal for Fluid Catalytic Cracking (FCC) units. </w:t>
      </w:r>
      <w:r w:rsidR="00CC768C">
        <w:t>Whereas,</w:t>
      </w:r>
      <w:r w:rsidRPr="00565768">
        <w:t xml:space="preserve"> high levels of metals and asphaltenes in Upper </w:t>
      </w:r>
      <w:proofErr w:type="spellStart"/>
      <w:r w:rsidRPr="00565768">
        <w:t>Zakum</w:t>
      </w:r>
      <w:proofErr w:type="spellEnd"/>
      <w:r w:rsidRPr="00565768">
        <w:t xml:space="preserve"> and Azeri Light </w:t>
      </w:r>
      <w:r w:rsidR="00CC768C">
        <w:t>may pose a</w:t>
      </w:r>
      <w:r w:rsidRPr="00565768">
        <w:t xml:space="preserve"> significant </w:t>
      </w:r>
      <w:r w:rsidR="00CC768C">
        <w:t>challenge</w:t>
      </w:r>
      <w:r w:rsidRPr="00565768">
        <w:t xml:space="preserve"> for downstream catalyst deactivation (Al-Sayegh et al., 2016). </w:t>
      </w:r>
    </w:p>
    <w:p w14:paraId="105DE762" w14:textId="77777777" w:rsidR="00C00F69" w:rsidRDefault="00C00F69" w:rsidP="00565768">
      <w:pPr>
        <w:ind w:left="-76"/>
      </w:pPr>
    </w:p>
    <w:p w14:paraId="4A441D8C" w14:textId="2C67420E" w:rsidR="0065089B" w:rsidRDefault="00046A56" w:rsidP="00565768">
      <w:pPr>
        <w:ind w:left="-76"/>
      </w:pPr>
      <w:r w:rsidRPr="00046A56">
        <w:rPr>
          <w:noProof/>
        </w:rPr>
        <w:lastRenderedPageBreak/>
        <w:drawing>
          <wp:inline distT="0" distB="0" distL="0" distR="0" wp14:anchorId="15043C0B" wp14:editId="6390284F">
            <wp:extent cx="3048000" cy="2830830"/>
            <wp:effectExtent l="0" t="0" r="0" b="7620"/>
            <wp:docPr id="212042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20310" name=""/>
                    <pic:cNvPicPr/>
                  </pic:nvPicPr>
                  <pic:blipFill rotWithShape="1">
                    <a:blip r:embed="rId18"/>
                    <a:srcRect t="6384"/>
                    <a:stretch>
                      <a:fillRect/>
                    </a:stretch>
                  </pic:blipFill>
                  <pic:spPr bwMode="auto">
                    <a:xfrm>
                      <a:off x="0" y="0"/>
                      <a:ext cx="3048000" cy="2830830"/>
                    </a:xfrm>
                    <a:prstGeom prst="rect">
                      <a:avLst/>
                    </a:prstGeom>
                    <a:ln>
                      <a:noFill/>
                    </a:ln>
                    <a:extLst>
                      <a:ext uri="{53640926-AAD7-44D8-BBD7-CCE9431645EC}">
                        <a14:shadowObscured xmlns:a14="http://schemas.microsoft.com/office/drawing/2010/main"/>
                      </a:ext>
                    </a:extLst>
                  </pic:spPr>
                </pic:pic>
              </a:graphicData>
            </a:graphic>
          </wp:inline>
        </w:drawing>
      </w:r>
    </w:p>
    <w:p w14:paraId="5862C37B" w14:textId="0029358F" w:rsidR="00046A56" w:rsidRDefault="00046A56" w:rsidP="00565768">
      <w:pPr>
        <w:ind w:left="-76"/>
        <w:rPr>
          <w:i/>
          <w:iCs/>
          <w:sz w:val="18"/>
          <w:szCs w:val="18"/>
        </w:rPr>
      </w:pPr>
      <w:r w:rsidRPr="00565768">
        <w:rPr>
          <w:i/>
          <w:iCs/>
          <w:sz w:val="18"/>
          <w:szCs w:val="18"/>
        </w:rPr>
        <w:t xml:space="preserve">Fig </w:t>
      </w:r>
      <w:r>
        <w:rPr>
          <w:i/>
          <w:iCs/>
          <w:sz w:val="18"/>
          <w:szCs w:val="18"/>
        </w:rPr>
        <w:t>3</w:t>
      </w:r>
      <w:r w:rsidRPr="00565768">
        <w:rPr>
          <w:i/>
          <w:iCs/>
          <w:sz w:val="18"/>
          <w:szCs w:val="18"/>
        </w:rPr>
        <w:t xml:space="preserve">. </w:t>
      </w:r>
      <w:r w:rsidR="00C00F69">
        <w:rPr>
          <w:i/>
          <w:iCs/>
          <w:sz w:val="18"/>
          <w:szCs w:val="18"/>
        </w:rPr>
        <w:t>Radar-chart showing comparative study of major factors of crude quality</w:t>
      </w:r>
    </w:p>
    <w:p w14:paraId="6E889ADF" w14:textId="77777777" w:rsidR="000C15D7" w:rsidRPr="005E1C12" w:rsidRDefault="000C15D7" w:rsidP="00565768">
      <w:pPr>
        <w:ind w:left="-76"/>
      </w:pPr>
    </w:p>
    <w:p w14:paraId="7B30039A" w14:textId="63991BBF" w:rsidR="005E1C12" w:rsidRDefault="0065089B" w:rsidP="005E1C12">
      <w:pPr>
        <w:pStyle w:val="ListParagraph"/>
        <w:numPr>
          <w:ilvl w:val="1"/>
          <w:numId w:val="11"/>
        </w:numPr>
        <w:ind w:left="284"/>
        <w:rPr>
          <w:i/>
          <w:iCs/>
        </w:rPr>
      </w:pPr>
      <w:r w:rsidRPr="0065089B">
        <w:rPr>
          <w:i/>
          <w:iCs/>
        </w:rPr>
        <w:t>Economic Feedstock Suitability and Decision Optimization</w:t>
      </w:r>
    </w:p>
    <w:p w14:paraId="6F737917" w14:textId="77777777" w:rsidR="00FB302D" w:rsidRDefault="00FB302D" w:rsidP="00FB302D">
      <w:pPr>
        <w:pStyle w:val="ListParagraph"/>
        <w:numPr>
          <w:ilvl w:val="0"/>
          <w:numId w:val="0"/>
        </w:numPr>
        <w:ind w:left="284"/>
        <w:rPr>
          <w:i/>
          <w:iCs/>
        </w:rPr>
      </w:pPr>
    </w:p>
    <w:p w14:paraId="30808468" w14:textId="075BC6F1" w:rsidR="006D07B5" w:rsidRDefault="00E06737" w:rsidP="0065089B">
      <w:pPr>
        <w:ind w:left="-76"/>
        <w:rPr>
          <w:lang w:val="en-IN"/>
        </w:rPr>
      </w:pPr>
      <w:r w:rsidRPr="00E06737">
        <w:rPr>
          <w:lang w:val="en-IN"/>
        </w:rPr>
        <w:t>E</w:t>
      </w:r>
      <w:r w:rsidR="0065089B" w:rsidRPr="00E06737">
        <w:rPr>
          <w:lang w:val="en-IN"/>
        </w:rPr>
        <w:t>conomic trade-offs associated with each assay's quality</w:t>
      </w:r>
      <w:r w:rsidRPr="00E06737">
        <w:rPr>
          <w:lang w:val="en-IN"/>
        </w:rPr>
        <w:t xml:space="preserve"> studied in detail indicates that </w:t>
      </w:r>
      <w:r w:rsidR="006D067C">
        <w:rPr>
          <w:lang w:val="en-IN"/>
        </w:rPr>
        <w:t xml:space="preserve">Tapis and </w:t>
      </w:r>
      <w:r w:rsidRPr="00E06737">
        <w:rPr>
          <w:lang w:val="en-IN"/>
        </w:rPr>
        <w:t xml:space="preserve">Erha provides an optimal balance </w:t>
      </w:r>
      <w:r w:rsidR="006D067C">
        <w:rPr>
          <w:lang w:val="en-IN"/>
        </w:rPr>
        <w:t xml:space="preserve">with Erha seemingly more inclined towards </w:t>
      </w:r>
      <w:r w:rsidRPr="00E06737">
        <w:rPr>
          <w:lang w:val="en-IN"/>
        </w:rPr>
        <w:t>for diesel-centric production</w:t>
      </w:r>
      <w:r w:rsidR="006D067C">
        <w:rPr>
          <w:lang w:val="en-IN"/>
        </w:rPr>
        <w:t xml:space="preserve">. </w:t>
      </w:r>
      <w:r w:rsidRPr="00E06737">
        <w:rPr>
          <w:lang w:val="en-IN"/>
        </w:rPr>
        <w:t xml:space="preserve">Upper </w:t>
      </w:r>
      <w:proofErr w:type="spellStart"/>
      <w:r w:rsidRPr="00E06737">
        <w:rPr>
          <w:lang w:val="en-IN"/>
        </w:rPr>
        <w:t>Zakum</w:t>
      </w:r>
      <w:proofErr w:type="spellEnd"/>
      <w:r w:rsidRPr="00E06737">
        <w:rPr>
          <w:lang w:val="en-IN"/>
        </w:rPr>
        <w:t xml:space="preserve">, despite its high impurity levels, may offer higher margins if refinery can effectively manage its heavy-end processing. </w:t>
      </w:r>
      <w:r w:rsidR="0065089B" w:rsidRPr="00E06737">
        <w:rPr>
          <w:lang w:val="en-IN"/>
        </w:rPr>
        <w:t xml:space="preserve">While WTI Light offers the highest yield of high-value light ends and the lowest treating costs, it typically commands a market premium. The data suggests </w:t>
      </w:r>
      <w:r>
        <w:rPr>
          <w:lang w:val="en-IN"/>
        </w:rPr>
        <w:t>that</w:t>
      </w:r>
      <w:r w:rsidR="0065089B" w:rsidRPr="00E06737">
        <w:rPr>
          <w:lang w:val="en-IN"/>
        </w:rPr>
        <w:t xml:space="preserve"> integration of a Large Language Model (LLM) as an interpretability layer is essential here; it translates these complex thermodynamic and economic trade-offs into natural language engineering reports. This Explainable AI (XAI) </w:t>
      </w:r>
      <w:r w:rsidR="007D16D6">
        <w:rPr>
          <w:lang w:val="en-IN"/>
        </w:rPr>
        <w:t xml:space="preserve">layer is likely to shed light to </w:t>
      </w:r>
      <w:r w:rsidR="0065089B" w:rsidRPr="00E06737">
        <w:rPr>
          <w:lang w:val="en-IN"/>
        </w:rPr>
        <w:t xml:space="preserve">understand why the agent might suggest a more difficult-to-process feed like Upper </w:t>
      </w:r>
      <w:proofErr w:type="spellStart"/>
      <w:r w:rsidR="0065089B" w:rsidRPr="00E06737">
        <w:rPr>
          <w:lang w:val="en-IN"/>
        </w:rPr>
        <w:t>Zakum</w:t>
      </w:r>
      <w:proofErr w:type="spellEnd"/>
      <w:r w:rsidR="0065089B" w:rsidRPr="00E06737">
        <w:rPr>
          <w:lang w:val="en-IN"/>
        </w:rPr>
        <w:t xml:space="preserve"> during periods of specific market volatility (Wellawatte &amp; Schwaller, 2025).</w:t>
      </w:r>
    </w:p>
    <w:p w14:paraId="4CA43442" w14:textId="77777777" w:rsidR="00E06737" w:rsidRPr="00E06737" w:rsidRDefault="00E06737" w:rsidP="0065089B">
      <w:pPr>
        <w:ind w:left="-76"/>
        <w:rPr>
          <w:lang w:val="en-IN"/>
        </w:rPr>
      </w:pPr>
    </w:p>
    <w:p w14:paraId="2A4A620A" w14:textId="4CDDCF78" w:rsidR="0065089B" w:rsidRDefault="00E06737" w:rsidP="0065089B">
      <w:pPr>
        <w:ind w:left="-76"/>
        <w:rPr>
          <w:i/>
          <w:iCs/>
          <w:lang w:val="en-IN"/>
        </w:rPr>
      </w:pPr>
      <w:r w:rsidRPr="00E06737">
        <w:rPr>
          <w:noProof/>
          <w:lang w:val="en-IN"/>
        </w:rPr>
        <w:drawing>
          <wp:inline distT="0" distB="0" distL="0" distR="0" wp14:anchorId="746D0E6D" wp14:editId="497DD0C3">
            <wp:extent cx="3048000" cy="672465"/>
            <wp:effectExtent l="0" t="0" r="0" b="0"/>
            <wp:docPr id="42900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08408" name=""/>
                    <pic:cNvPicPr/>
                  </pic:nvPicPr>
                  <pic:blipFill>
                    <a:blip r:embed="rId19"/>
                    <a:stretch>
                      <a:fillRect/>
                    </a:stretch>
                  </pic:blipFill>
                  <pic:spPr>
                    <a:xfrm>
                      <a:off x="0" y="0"/>
                      <a:ext cx="3048000" cy="672465"/>
                    </a:xfrm>
                    <a:prstGeom prst="rect">
                      <a:avLst/>
                    </a:prstGeom>
                  </pic:spPr>
                </pic:pic>
              </a:graphicData>
            </a:graphic>
          </wp:inline>
        </w:drawing>
      </w:r>
    </w:p>
    <w:p w14:paraId="786B347F" w14:textId="673D0303" w:rsidR="00E06737" w:rsidRPr="00E06737" w:rsidRDefault="00E06737" w:rsidP="00E06737">
      <w:pPr>
        <w:ind w:left="-76"/>
        <w:rPr>
          <w:i/>
          <w:iCs/>
          <w:sz w:val="18"/>
          <w:szCs w:val="18"/>
        </w:rPr>
      </w:pPr>
      <w:r w:rsidRPr="00565768">
        <w:rPr>
          <w:i/>
          <w:iCs/>
          <w:sz w:val="18"/>
          <w:szCs w:val="18"/>
        </w:rPr>
        <w:t xml:space="preserve">Fig </w:t>
      </w:r>
      <w:r w:rsidR="00046A56">
        <w:rPr>
          <w:i/>
          <w:iCs/>
          <w:sz w:val="18"/>
          <w:szCs w:val="18"/>
        </w:rPr>
        <w:t>4</w:t>
      </w:r>
      <w:r w:rsidRPr="00565768">
        <w:rPr>
          <w:i/>
          <w:iCs/>
          <w:sz w:val="18"/>
          <w:szCs w:val="18"/>
        </w:rPr>
        <w:t xml:space="preserve">. Crude-wise </w:t>
      </w:r>
      <w:r w:rsidR="00C1440D">
        <w:rPr>
          <w:i/>
          <w:iCs/>
          <w:sz w:val="18"/>
          <w:szCs w:val="18"/>
        </w:rPr>
        <w:t>comparison based on its likely process and economic impact on a typical refinery as a whole</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530493FD" w:rsidR="00707C4E" w:rsidRDefault="00B34DA6">
      <w:pPr>
        <w:spacing w:before="20"/>
        <w:rPr>
          <w:rFonts w:eastAsia="Times New Roman" w:cs="Times New Roman"/>
        </w:rPr>
      </w:pPr>
      <w:r w:rsidRPr="00B34DA6">
        <w:rPr>
          <w:rFonts w:eastAsia="Times New Roman" w:cs="Times New Roman"/>
        </w:rPr>
        <w:t xml:space="preserve">The traditional </w:t>
      </w:r>
      <w:r>
        <w:rPr>
          <w:rFonts w:eastAsia="Times New Roman" w:cs="Times New Roman"/>
        </w:rPr>
        <w:t>‘</w:t>
      </w:r>
      <w:r w:rsidRPr="00B34DA6">
        <w:rPr>
          <w:rFonts w:eastAsia="Times New Roman" w:cs="Times New Roman"/>
        </w:rPr>
        <w:t>Hierarchy of Control</w:t>
      </w:r>
      <w:r>
        <w:rPr>
          <w:rFonts w:eastAsia="Times New Roman" w:cs="Times New Roman"/>
        </w:rPr>
        <w:t>’</w:t>
      </w:r>
      <w:r w:rsidRPr="00B34DA6">
        <w:rPr>
          <w:rFonts w:eastAsia="Times New Roman" w:cs="Times New Roman"/>
        </w:rPr>
        <w:t xml:space="preserve"> in refinery operations segregates the strategic layer (Real-Time Optimization) from the tactical layer (</w:t>
      </w:r>
      <w:r w:rsidR="002411B5">
        <w:rPr>
          <w:rFonts w:eastAsia="Times New Roman" w:cs="Times New Roman"/>
        </w:rPr>
        <w:t>Advanced Process Control</w:t>
      </w:r>
      <w:r w:rsidRPr="00B34DA6">
        <w:rPr>
          <w:rFonts w:eastAsia="Times New Roman" w:cs="Times New Roman"/>
        </w:rPr>
        <w:t xml:space="preserve">). </w:t>
      </w:r>
      <w:r>
        <w:rPr>
          <w:rFonts w:eastAsia="Times New Roman" w:cs="Times New Roman"/>
        </w:rPr>
        <w:t>T</w:t>
      </w:r>
      <w:r w:rsidRPr="00B34DA6">
        <w:rPr>
          <w:rFonts w:eastAsia="Times New Roman" w:cs="Times New Roman"/>
        </w:rPr>
        <w:t>his separation often leads to suboptimal performance because the RTO layer typically assumes steady-state conditions</w:t>
      </w:r>
      <w:r w:rsidR="00B06E54">
        <w:rPr>
          <w:rFonts w:eastAsia="Times New Roman" w:cs="Times New Roman"/>
        </w:rPr>
        <w:t>,</w:t>
      </w:r>
      <w:r w:rsidRPr="00B34DA6">
        <w:rPr>
          <w:rFonts w:eastAsia="Times New Roman" w:cs="Times New Roman"/>
        </w:rPr>
        <w:t xml:space="preserve"> while the </w:t>
      </w:r>
      <w:r w:rsidR="00B06E54">
        <w:rPr>
          <w:rFonts w:eastAsia="Times New Roman" w:cs="Times New Roman"/>
        </w:rPr>
        <w:t>A</w:t>
      </w:r>
      <w:r w:rsidRPr="00B34DA6">
        <w:rPr>
          <w:rFonts w:eastAsia="Times New Roman" w:cs="Times New Roman"/>
        </w:rPr>
        <w:t>PC layer struggles with the economic objectives dictated from above.</w:t>
      </w:r>
      <w:r w:rsidR="00FB7F0B">
        <w:rPr>
          <w:rFonts w:eastAsia="Times New Roman" w:cs="Times New Roman"/>
        </w:rPr>
        <w:t xml:space="preserve"> </w:t>
      </w:r>
      <w:r w:rsidRPr="00B34DA6">
        <w:rPr>
          <w:rFonts w:eastAsia="Times New Roman" w:cs="Times New Roman"/>
        </w:rPr>
        <w:t>Recent advancements in Dynamic Real-Time Optimization (DRTO) attempt to bridge this gap. However, the computational cost of solving a rigorous, first-principles model in real-time is often prohibitive. This is where the integration of DWSIM with a DRL agent, such as Proximal Policy Optimization (PPO), offers a superior alternative. By treating the DWSIM model as a high-fidelity simulator, the agent learns a control policy</w:t>
      </w:r>
      <w:r w:rsidR="00E37883">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π</m:t>
            </m:r>
          </m:e>
          <m:sub>
            <m:r>
              <w:rPr>
                <w:rFonts w:ascii="Cambria Math" w:eastAsia="Times New Roman" w:hAnsi="Cambria Math" w:cs="Times New Roman"/>
              </w:rPr>
              <m:t>θ</m:t>
            </m:r>
          </m:sub>
        </m:sSub>
        <m:r>
          <w:rPr>
            <w:rFonts w:ascii="Cambria Math" w:eastAsia="Times New Roman" w:hAnsi="Cambria Math" w:cs="Times New Roman"/>
          </w:rPr>
          <m:t>(a|s)</m:t>
        </m:r>
      </m:oMath>
      <w:r w:rsidR="00E37883">
        <w:rPr>
          <w:rFonts w:eastAsia="Times New Roman" w:cs="Times New Roman"/>
        </w:rPr>
        <w:t xml:space="preserve"> </w:t>
      </w:r>
      <w:r w:rsidRPr="00B34DA6">
        <w:rPr>
          <w:rFonts w:eastAsia="Times New Roman" w:cs="Times New Roman"/>
        </w:rPr>
        <w:t xml:space="preserve">that directly maps plant observations to optimal setpoints. Unlike the </w:t>
      </w:r>
      <w:r w:rsidR="00501DA8">
        <w:rPr>
          <w:rFonts w:eastAsia="Times New Roman" w:cs="Times New Roman"/>
        </w:rPr>
        <w:t>Sequential Quadratic Programming (</w:t>
      </w:r>
      <w:r w:rsidRPr="00B34DA6">
        <w:rPr>
          <w:rFonts w:eastAsia="Times New Roman" w:cs="Times New Roman"/>
        </w:rPr>
        <w:t>SQP</w:t>
      </w:r>
      <w:r w:rsidR="00501DA8">
        <w:rPr>
          <w:rFonts w:eastAsia="Times New Roman" w:cs="Times New Roman"/>
        </w:rPr>
        <w:t>)</w:t>
      </w:r>
      <w:r w:rsidRPr="00B34DA6">
        <w:rPr>
          <w:rFonts w:eastAsia="Times New Roman" w:cs="Times New Roman"/>
        </w:rPr>
        <w:t xml:space="preserve"> methods described by Biegler (2010), which require a derivative-based search through the variable space at every time step, the DRL agent performs an instantaneous inference, significantly reducing the latency</w:t>
      </w:r>
      <w:r w:rsidR="00FB65A3">
        <w:rPr>
          <w:rFonts w:eastAsia="Times New Roman" w:cs="Times New Roman"/>
        </w:rPr>
        <w:t>.</w:t>
      </w:r>
      <w:r>
        <w:rPr>
          <w:rFonts w:eastAsia="Times New Roman" w:cs="Times New Roman"/>
        </w:rPr>
        <w:t xml:space="preserve"> </w:t>
      </w:r>
    </w:p>
    <w:p w14:paraId="12B4B9C9" w14:textId="1B1A1CF4" w:rsidR="006D07B5" w:rsidRDefault="00024561">
      <w:pPr>
        <w:spacing w:before="20"/>
        <w:rPr>
          <w:rFonts w:eastAsia="Times New Roman" w:cs="Times New Roman"/>
        </w:rPr>
      </w:pPr>
      <w:r w:rsidRPr="00024561">
        <w:rPr>
          <w:rFonts w:eastAsia="Times New Roman" w:cs="Times New Roman"/>
        </w:rPr>
        <w:t xml:space="preserve">In the context of a </w:t>
      </w:r>
      <w:r w:rsidR="0085795C">
        <w:rPr>
          <w:rFonts w:eastAsia="Times New Roman" w:cs="Times New Roman"/>
        </w:rPr>
        <w:t>C</w:t>
      </w:r>
      <w:r w:rsidRPr="00024561">
        <w:rPr>
          <w:rFonts w:eastAsia="Times New Roman" w:cs="Times New Roman"/>
        </w:rPr>
        <w:t>D</w:t>
      </w:r>
      <w:r w:rsidR="0085795C">
        <w:rPr>
          <w:rFonts w:eastAsia="Times New Roman" w:cs="Times New Roman"/>
        </w:rPr>
        <w:t>U</w:t>
      </w:r>
      <w:r w:rsidRPr="00024561">
        <w:rPr>
          <w:rFonts w:eastAsia="Times New Roman" w:cs="Times New Roman"/>
        </w:rPr>
        <w:t>, the state space</w:t>
      </w:r>
      <w:r w:rsidR="00235499">
        <w:rPr>
          <w:rFonts w:eastAsia="Times New Roman" w:cs="Times New Roman"/>
        </w:rPr>
        <w:t xml:space="preserve"> </w:t>
      </w:r>
      <m:oMath>
        <m:r>
          <w:rPr>
            <w:rFonts w:ascii="Cambria Math" w:eastAsia="Times New Roman" w:hAnsi="Cambria Math" w:cs="Times New Roman"/>
          </w:rPr>
          <m:t>S</m:t>
        </m:r>
      </m:oMath>
      <w:r w:rsidRPr="00024561">
        <w:rPr>
          <w:rFonts w:eastAsia="Times New Roman" w:cs="Times New Roman"/>
        </w:rPr>
        <w:t xml:space="preserve"> is characterized by a high-dimensional vector containing stage temperatures </w:t>
      </w:r>
      <w:r w:rsidR="00AE0304">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T</m:t>
            </m:r>
          </m:e>
          <m:sub>
            <m:r>
              <w:rPr>
                <w:rFonts w:ascii="Cambria Math" w:eastAsia="Times New Roman" w:hAnsi="Cambria Math" w:cs="Times New Roman"/>
              </w:rPr>
              <m:t>i</m:t>
            </m:r>
          </m:sub>
        </m:sSub>
      </m:oMath>
      <w:r w:rsidRPr="00024561">
        <w:rPr>
          <w:rFonts w:eastAsia="Times New Roman" w:cs="Times New Roman"/>
        </w:rPr>
        <w:t>, pressures</w:t>
      </w:r>
      <w:r w:rsidR="00D04920">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m:t>
            </m:r>
          </m:sub>
        </m:sSub>
      </m:oMath>
      <w:r w:rsidRPr="00024561">
        <w:rPr>
          <w:rFonts w:eastAsia="Times New Roman" w:cs="Times New Roman"/>
        </w:rPr>
        <w:t xml:space="preserve">, and the mass fractions of pseudocomponents across the distillation curve. A critical contribution by Wang et al. (2024) in the Journal of Process Systems Engineering highlights the importance of Feature Engineering in RL for refineries. </w:t>
      </w:r>
      <w:r w:rsidR="00967C85">
        <w:rPr>
          <w:rFonts w:eastAsia="Times New Roman" w:cs="Times New Roman"/>
        </w:rPr>
        <w:t>It is</w:t>
      </w:r>
      <w:r w:rsidRPr="00024561">
        <w:rPr>
          <w:rFonts w:eastAsia="Times New Roman" w:cs="Times New Roman"/>
        </w:rPr>
        <w:t xml:space="preserve"> argu</w:t>
      </w:r>
      <w:r w:rsidR="00967C85">
        <w:rPr>
          <w:rFonts w:eastAsia="Times New Roman" w:cs="Times New Roman"/>
        </w:rPr>
        <w:t>ed</w:t>
      </w:r>
      <w:r w:rsidRPr="00024561">
        <w:rPr>
          <w:rFonts w:eastAsia="Times New Roman" w:cs="Times New Roman"/>
        </w:rPr>
        <w:t xml:space="preserve"> that normalizing states relative to the Feed </w:t>
      </w:r>
      <w:r w:rsidRPr="00024561">
        <w:rPr>
          <w:rFonts w:eastAsia="Times New Roman" w:cs="Times New Roman"/>
        </w:rPr>
        <w:lastRenderedPageBreak/>
        <w:t>Assay (the specific TBP curve of the incoming crude) allows the agent to generalize its learning across different crude blends—</w:t>
      </w:r>
      <w:r w:rsidR="003D7E6C">
        <w:rPr>
          <w:rFonts w:eastAsia="Times New Roman" w:cs="Times New Roman"/>
        </w:rPr>
        <w:t xml:space="preserve"> </w:t>
      </w:r>
      <w:r w:rsidRPr="00024561">
        <w:rPr>
          <w:rFonts w:eastAsia="Times New Roman" w:cs="Times New Roman"/>
        </w:rPr>
        <w:t xml:space="preserve">a concept </w:t>
      </w:r>
      <w:r w:rsidR="003D7E6C">
        <w:rPr>
          <w:rFonts w:eastAsia="Times New Roman" w:cs="Times New Roman"/>
        </w:rPr>
        <w:t>very similar to well-known</w:t>
      </w:r>
      <w:r w:rsidRPr="00024561">
        <w:rPr>
          <w:rFonts w:eastAsia="Times New Roman" w:cs="Times New Roman"/>
        </w:rPr>
        <w:t xml:space="preserve"> Transfer Learning</w:t>
      </w:r>
      <w:r w:rsidR="003D7E6C">
        <w:rPr>
          <w:rFonts w:eastAsia="Times New Roman" w:cs="Times New Roman"/>
        </w:rPr>
        <w:t xml:space="preserve"> where a model’s weight from learned from a larger dataset is partially fine-tuned for a specific domain use-case</w:t>
      </w:r>
      <w:r w:rsidRPr="00024561">
        <w:rPr>
          <w:rFonts w:eastAsia="Times New Roman" w:cs="Times New Roman"/>
        </w:rPr>
        <w:t>.</w:t>
      </w:r>
    </w:p>
    <w:p w14:paraId="57B11EC9" w14:textId="778D8BEF" w:rsidR="00024561" w:rsidRDefault="00024561">
      <w:pPr>
        <w:spacing w:before="20"/>
        <w:rPr>
          <w:rFonts w:eastAsia="Times New Roman" w:cs="Times New Roman"/>
        </w:rPr>
      </w:pPr>
      <w:r w:rsidRPr="00024561">
        <w:rPr>
          <w:rFonts w:eastAsia="Times New Roman" w:cs="Times New Roman"/>
        </w:rPr>
        <w:t>The reward function</w:t>
      </w:r>
      <w:r w:rsidR="00A72477">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00A72477" w:rsidRPr="00024561">
        <w:rPr>
          <w:rFonts w:eastAsia="Times New Roman" w:cs="Times New Roman"/>
        </w:rPr>
        <w:t xml:space="preserve"> </w:t>
      </w:r>
      <w:r w:rsidRPr="00024561">
        <w:rPr>
          <w:rFonts w:eastAsia="Times New Roman" w:cs="Times New Roman"/>
        </w:rPr>
        <w:t>is the most critical design element for academic validity. It must be formulated as a multi-objective scalar:</w:t>
      </w:r>
    </w:p>
    <w:p w14:paraId="7B8ABEAC" w14:textId="77777777" w:rsidR="00024561" w:rsidRDefault="00024561">
      <w:pPr>
        <w:spacing w:before="20"/>
        <w:rPr>
          <w:rFonts w:eastAsia="Times New Roman" w:cs="Times New Roman"/>
        </w:rPr>
      </w:pPr>
    </w:p>
    <w:p w14:paraId="465D64FF" w14:textId="3F8B01A3" w:rsidR="00024561" w:rsidRPr="00024561" w:rsidRDefault="00000000" w:rsidP="00B51E7E">
      <w:pPr>
        <w:spacing w:before="20"/>
        <w:ind w:left="-142" w:right="-119"/>
        <w:rPr>
          <w:rFonts w:eastAsia="Times New Roman" w:cs="Times New Roman"/>
          <w:sz w:val="14"/>
          <w:szCs w:val="14"/>
        </w:rPr>
      </w:pPr>
      <m:oMathPara>
        <m:oMath>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R</m:t>
              </m:r>
            </m:e>
            <m:sub>
              <m:r>
                <w:rPr>
                  <w:rFonts w:ascii="Cambria Math" w:eastAsia="Times New Roman" w:hAnsi="Cambria Math" w:cs="Times New Roman"/>
                  <w:sz w:val="14"/>
                  <w:szCs w:val="14"/>
                </w:rPr>
                <m:t>t</m:t>
              </m:r>
            </m:sub>
          </m:sSub>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p ∈Products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p</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V</m:t>
                      </m:r>
                    </m:e>
                    <m:sub>
                      <m:r>
                        <w:rPr>
                          <w:rFonts w:ascii="Cambria Math" w:eastAsia="Times New Roman" w:hAnsi="Cambria Math" w:cs="Times New Roman"/>
                          <w:sz w:val="14"/>
                          <w:szCs w:val="14"/>
                        </w:rPr>
                        <m:t>p</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u ∈Utilities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u</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C</m:t>
                      </m:r>
                    </m:e>
                    <m:sub>
                      <m:r>
                        <w:rPr>
                          <w:rFonts w:ascii="Cambria Math" w:eastAsia="Times New Roman" w:hAnsi="Cambria Math" w:cs="Times New Roman"/>
                          <w:sz w:val="14"/>
                          <w:szCs w:val="14"/>
                        </w:rPr>
                        <m:t>u</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c ∈Constraints</m:t>
              </m:r>
            </m:sub>
            <m:sup/>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λ</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 xml:space="preserve"> .</m:t>
              </m:r>
              <m:func>
                <m:funcPr>
                  <m:ctrlPr>
                    <w:rPr>
                      <w:rFonts w:ascii="Cambria Math" w:eastAsia="Times New Roman" w:hAnsi="Cambria Math" w:cs="Times New Roman"/>
                      <w:i/>
                      <w:sz w:val="14"/>
                      <w:szCs w:val="14"/>
                    </w:rPr>
                  </m:ctrlPr>
                </m:funcPr>
                <m:fName>
                  <m:r>
                    <m:rPr>
                      <m:sty m:val="p"/>
                    </m:rPr>
                    <w:rPr>
                      <w:rFonts w:ascii="Cambria Math" w:eastAsia="Times New Roman" w:hAnsi="Cambria Math" w:cs="Times New Roman"/>
                      <w:sz w:val="14"/>
                      <w:szCs w:val="14"/>
                    </w:rPr>
                    <m:t>max</m:t>
                  </m:r>
                </m:fName>
                <m:e>
                  <m:r>
                    <w:rPr>
                      <w:rFonts w:ascii="Cambria Math" w:eastAsia="Times New Roman" w:hAnsi="Cambria Math" w:cs="Times New Roman"/>
                      <w:sz w:val="14"/>
                      <w:szCs w:val="14"/>
                    </w:rPr>
                    <m:t xml:space="preserve">(0, </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g</m:t>
                      </m:r>
                    </m:e>
                    <m:sub>
                      <m:r>
                        <w:rPr>
                          <w:rFonts w:ascii="Cambria Math" w:eastAsia="Times New Roman" w:hAnsi="Cambria Math" w:cs="Times New Roman"/>
                          <w:sz w:val="14"/>
                          <w:szCs w:val="14"/>
                        </w:rPr>
                        <m:t>c</m:t>
                      </m:r>
                    </m:sub>
                  </m:sSub>
                  <m:d>
                    <m:dPr>
                      <m:ctrlPr>
                        <w:rPr>
                          <w:rFonts w:ascii="Cambria Math" w:eastAsia="Times New Roman" w:hAnsi="Cambria Math" w:cs="Times New Roman"/>
                          <w:i/>
                          <w:sz w:val="14"/>
                          <w:szCs w:val="14"/>
                        </w:rPr>
                      </m:ctrlPr>
                    </m:dPr>
                    <m:e>
                      <m:r>
                        <w:rPr>
                          <w:rFonts w:ascii="Cambria Math" w:eastAsia="Times New Roman" w:hAnsi="Cambria Math" w:cs="Times New Roman"/>
                          <w:sz w:val="14"/>
                          <w:szCs w:val="14"/>
                        </w:rPr>
                        <m:t>s</m:t>
                      </m:r>
                    </m:e>
                  </m:d>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limit</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m:t>
                  </m:r>
                </m:e>
              </m:func>
              <m:r>
                <w:rPr>
                  <w:rFonts w:ascii="Cambria Math" w:eastAsia="Times New Roman" w:hAnsi="Cambria Math" w:cs="Times New Roman"/>
                  <w:sz w:val="14"/>
                  <w:szCs w:val="14"/>
                </w:rPr>
                <m:t xml:space="preserve"> </m:t>
              </m:r>
            </m:e>
          </m:nary>
        </m:oMath>
      </m:oMathPara>
    </w:p>
    <w:p w14:paraId="1E3A2840" w14:textId="77777777" w:rsidR="00024561" w:rsidRDefault="00024561">
      <w:pPr>
        <w:spacing w:before="20"/>
        <w:rPr>
          <w:rFonts w:eastAsia="Times New Roman" w:cs="Times New Roman"/>
        </w:rPr>
      </w:pPr>
    </w:p>
    <w:p w14:paraId="6A4C284E" w14:textId="6A4096FF" w:rsidR="00024561" w:rsidRDefault="00024561">
      <w:pPr>
        <w:spacing w:before="20"/>
        <w:rPr>
          <w:rFonts w:eastAsia="Times New Roman" w:cs="Times New Roman"/>
        </w:rPr>
      </w:pPr>
      <w:r w:rsidRPr="00024561">
        <w:rPr>
          <w:rFonts w:eastAsia="Times New Roman" w:cs="Times New Roman"/>
        </w:rPr>
        <w:t xml:space="preserve">Here,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p</m:t>
            </m:r>
          </m:sub>
        </m:sSub>
        <m:r>
          <w:rPr>
            <w:rFonts w:ascii="Cambria Math" w:eastAsia="Times New Roman" w:hAnsi="Cambria Math" w:cs="Times New Roman"/>
          </w:rPr>
          <m:t xml:space="preserve"> </m:t>
        </m:r>
      </m:oMath>
      <w:r w:rsidRPr="00024561">
        <w:rPr>
          <w:rFonts w:eastAsia="Times New Roman" w:cs="Times New Roman"/>
        </w:rPr>
        <w:t xml:space="preserve">represents the market value of product </w:t>
      </w:r>
      <m:oMath>
        <m:r>
          <w:rPr>
            <w:rFonts w:ascii="Cambria Math" w:eastAsia="Times New Roman" w:hAnsi="Cambria Math" w:cs="Times New Roman"/>
          </w:rPr>
          <m:t xml:space="preserve">p </m:t>
        </m:r>
      </m:oMath>
      <w:r>
        <w:rPr>
          <w:rFonts w:eastAsia="Times New Roman" w:cs="Times New Roman"/>
          <w:sz w:val="14"/>
          <w:szCs w:val="14"/>
        </w:rPr>
        <w:t>,</w:t>
      </w:r>
      <w:r w:rsidRPr="00024561">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u</m:t>
            </m:r>
          </m:sub>
        </m:sSub>
      </m:oMath>
      <w:r w:rsidRPr="00024561">
        <w:rPr>
          <w:rFonts w:eastAsia="Times New Roman" w:cs="Times New Roman"/>
        </w:rPr>
        <w:t xml:space="preserve"> is the cost of utilities (steam and cooling water), and </w:t>
      </w:r>
      <m:oMath>
        <m:sSub>
          <m:sSubPr>
            <m:ctrlPr>
              <w:rPr>
                <w:rFonts w:ascii="Cambria Math" w:eastAsia="Times New Roman" w:hAnsi="Cambria Math" w:cs="Times New Roman"/>
                <w:i/>
              </w:rPr>
            </m:ctrlPr>
          </m:sSubPr>
          <m:e>
            <m:r>
              <w:rPr>
                <w:rFonts w:ascii="Cambria Math" w:eastAsia="Times New Roman" w:hAnsi="Cambria Math" w:cs="Times New Roman"/>
              </w:rPr>
              <m:t>λ</m:t>
            </m:r>
          </m:e>
          <m:sub>
            <m:r>
              <w:rPr>
                <w:rFonts w:ascii="Cambria Math" w:eastAsia="Times New Roman" w:hAnsi="Cambria Math" w:cs="Times New Roman"/>
              </w:rPr>
              <m:t>c</m:t>
            </m:r>
          </m:sub>
        </m:sSub>
      </m:oMath>
      <w:r w:rsidRPr="00024561">
        <w:rPr>
          <w:rFonts w:eastAsia="Times New Roman" w:cs="Times New Roman"/>
        </w:rPr>
        <w:t xml:space="preserve"> is a penalty coefficient for violating quality constraints like Flash Point or ASTM D86 95% points. </w:t>
      </w:r>
      <w:r w:rsidR="007028BC">
        <w:rPr>
          <w:rFonts w:eastAsia="Times New Roman" w:cs="Times New Roman"/>
        </w:rPr>
        <w:t xml:space="preserve">Literature review of recent times shows </w:t>
      </w:r>
      <w:r w:rsidRPr="00024561">
        <w:rPr>
          <w:rFonts w:eastAsia="Times New Roman" w:cs="Times New Roman"/>
        </w:rPr>
        <w:t>use of Lagrangian multipliers within the RL framework to dynamically adjust these penalties, ensuring that the agent prioritizes safety and product specifications over raw yield during periods of high process volatility</w:t>
      </w:r>
      <w:r w:rsidR="007028BC">
        <w:rPr>
          <w:rFonts w:eastAsia="Times New Roman" w:cs="Times New Roman"/>
        </w:rPr>
        <w:t xml:space="preserve"> (</w:t>
      </w:r>
      <w:r w:rsidR="007028BC" w:rsidRPr="00024561">
        <w:rPr>
          <w:rFonts w:eastAsia="Times New Roman" w:cs="Times New Roman"/>
        </w:rPr>
        <w:t xml:space="preserve">Gupta </w:t>
      </w:r>
      <w:r w:rsidR="00AA657A">
        <w:rPr>
          <w:rFonts w:eastAsia="Times New Roman" w:cs="Times New Roman"/>
        </w:rPr>
        <w:t>&amp;</w:t>
      </w:r>
      <w:r w:rsidR="007028BC" w:rsidRPr="00024561">
        <w:rPr>
          <w:rFonts w:eastAsia="Times New Roman" w:cs="Times New Roman"/>
        </w:rPr>
        <w:t xml:space="preserve"> Kumar</w:t>
      </w:r>
      <w:r w:rsidR="007028BC">
        <w:rPr>
          <w:rFonts w:eastAsia="Times New Roman" w:cs="Times New Roman"/>
        </w:rPr>
        <w:t xml:space="preserve">, </w:t>
      </w:r>
      <w:r w:rsidR="007028BC" w:rsidRPr="00024561">
        <w:rPr>
          <w:rFonts w:eastAsia="Times New Roman" w:cs="Times New Roman"/>
        </w:rPr>
        <w:t>2025</w:t>
      </w:r>
      <w:r w:rsidR="007028BC">
        <w:rPr>
          <w:rFonts w:eastAsia="Times New Roman" w:cs="Times New Roman"/>
        </w:rPr>
        <w:t>)</w:t>
      </w:r>
      <w:r w:rsidRPr="00024561">
        <w:rPr>
          <w:rFonts w:eastAsia="Times New Roman" w:cs="Times New Roman"/>
        </w:rPr>
        <w:t>.</w:t>
      </w:r>
    </w:p>
    <w:p w14:paraId="4434A3ED" w14:textId="77777777" w:rsidR="00024561" w:rsidRDefault="00024561">
      <w:pPr>
        <w:spacing w:before="20"/>
        <w:rPr>
          <w:rFonts w:eastAsia="Times New Roman" w:cs="Times New Roman"/>
        </w:rPr>
      </w:pPr>
    </w:p>
    <w:p w14:paraId="31639F8A" w14:textId="01F800F8" w:rsidR="00024561" w:rsidRDefault="00024561">
      <w:pPr>
        <w:spacing w:before="20"/>
        <w:rPr>
          <w:rFonts w:eastAsia="Times New Roman" w:cs="Times New Roman"/>
        </w:rPr>
      </w:pPr>
      <w:r w:rsidRPr="00024561">
        <w:rPr>
          <w:rFonts w:eastAsia="Times New Roman" w:cs="Times New Roman"/>
        </w:rPr>
        <w:t>A significant barrier to the commercial adoption of RL in refineries is the "black-box" nature of neural networks. Peer-reviewed studies from 2024 and 2025 have increasingly focused on Explainable Reinforcement Learning (XRL). Lee et al. (2025) demonstrated the use of SHAP (</w:t>
      </w:r>
      <w:proofErr w:type="spellStart"/>
      <w:r w:rsidRPr="00024561">
        <w:rPr>
          <w:rFonts w:eastAsia="Times New Roman" w:cs="Times New Roman"/>
        </w:rPr>
        <w:t>SHapley</w:t>
      </w:r>
      <w:proofErr w:type="spellEnd"/>
      <w:r w:rsidRPr="00024561">
        <w:rPr>
          <w:rFonts w:eastAsia="Times New Roman" w:cs="Times New Roman"/>
        </w:rPr>
        <w:t xml:space="preserve"> Additive </w:t>
      </w:r>
      <w:proofErr w:type="spellStart"/>
      <w:r w:rsidRPr="00024561">
        <w:rPr>
          <w:rFonts w:eastAsia="Times New Roman" w:cs="Times New Roman"/>
        </w:rPr>
        <w:t>exPlanations</w:t>
      </w:r>
      <w:proofErr w:type="spellEnd"/>
      <w:r w:rsidRPr="00024561">
        <w:rPr>
          <w:rFonts w:eastAsia="Times New Roman" w:cs="Times New Roman"/>
        </w:rPr>
        <w:t xml:space="preserve">) values to decode which sensor inputs (e.g., a specific tray temperature) most heavily influence the agent's decision to increase reflux. This transparency is vital for refinery engineers who must trust the AI's "reasoning" before </w:t>
      </w:r>
      <w:r w:rsidRPr="00024561">
        <w:rPr>
          <w:rFonts w:eastAsia="Times New Roman" w:cs="Times New Roman"/>
        </w:rPr>
        <w:t>allowing it to adjust a column processing $100,000$ barrels per day.</w:t>
      </w:r>
    </w:p>
    <w:p w14:paraId="06502105" w14:textId="77777777" w:rsidR="00024561" w:rsidRDefault="00024561">
      <w:pPr>
        <w:spacing w:before="20"/>
        <w:rPr>
          <w:rFonts w:eastAsia="Times New Roman" w:cs="Times New Roman"/>
        </w:rPr>
      </w:pPr>
    </w:p>
    <w:p w14:paraId="0D09FE89" w14:textId="577A659D" w:rsidR="00024561" w:rsidRPr="00024561" w:rsidRDefault="00024561" w:rsidP="00024561">
      <w:pPr>
        <w:spacing w:before="20"/>
        <w:rPr>
          <w:rFonts w:eastAsia="Times New Roman" w:cs="Times New Roman"/>
        </w:rPr>
      </w:pPr>
      <w:r w:rsidRPr="00024561">
        <w:rPr>
          <w:rFonts w:eastAsia="Times New Roman" w:cs="Times New Roman"/>
        </w:rPr>
        <w:t>The shift toward Safe Reinforcement Learning is perhaps the most relevant development for your project. Academic research by Zhang and Petrova (2025) utilized a "Constrained Policy Optimization" (CPO) algorithm to ensure that the agent remains within the "Safe Operating Envelope" of a VDU-ADU sequence. Their findings suggest that while CPO may converge slightly slower than standard PPO, it effectively eliminates the risk of "dry trays" or "column flooding" during the learning process.</w:t>
      </w:r>
    </w:p>
    <w:p w14:paraId="2A483F70" w14:textId="53768DD5" w:rsidR="00024561" w:rsidRDefault="00024561" w:rsidP="00024561">
      <w:pPr>
        <w:spacing w:before="20"/>
        <w:rPr>
          <w:rFonts w:eastAsia="Times New Roman" w:cs="Times New Roman"/>
        </w:rPr>
      </w:pPr>
      <w:r w:rsidRPr="00024561">
        <w:rPr>
          <w:rFonts w:eastAsia="Times New Roman" w:cs="Times New Roman"/>
        </w:rPr>
        <w:t>Furthermore, the commercial sector has seen the emergence of Digital Twin-Driven RL. Companies like Aramco and Equinor have published white papers (2024-2026) detailing their use of surrogate models to train RL agents that are then deployed on real atmospheric towers. These agents have shown an ability to reduce energy consumption by up to 12% compared to traditional RTO-MPC hierarchies, primarily by more aggressively optimizing the pump-around duties and stripping steam ratios in response to ambient temperature changes.</w:t>
      </w:r>
    </w:p>
    <w:p w14:paraId="672D3CA4" w14:textId="062C09D6" w:rsidR="00707C4E" w:rsidRPr="00024561" w:rsidRDefault="00707C4E" w:rsidP="00024561">
      <w:pPr>
        <w:spacing w:before="240" w:after="240"/>
        <w:ind w:left="720" w:hanging="720"/>
        <w:rPr>
          <w:rFonts w:eastAsia="Times New Roman"/>
          <w:color w:val="000000"/>
        </w:rPr>
      </w:pPr>
    </w:p>
    <w:p w14:paraId="4D7C49AD" w14:textId="77777777" w:rsidR="00707C4E" w:rsidRDefault="00000000">
      <w:pPr>
        <w:pStyle w:val="Heading1"/>
      </w:pPr>
      <w:r>
        <w:t>4 Methodology</w:t>
      </w:r>
    </w:p>
    <w:p w14:paraId="3423537B" w14:textId="77777777" w:rsidR="00707C4E" w:rsidRDefault="00000000">
      <w:pPr>
        <w:rPr>
          <w:rFonts w:eastAsia="Times New Roman" w:cs="Times New Roman"/>
        </w:rPr>
      </w:pPr>
      <w:r>
        <w:rPr>
          <w:rFonts w:eastAsia="Times New Roman" w:cs="Times New Roman"/>
        </w:rPr>
        <w:t>This section of your final report should describe the final model architecture or pipeline choices that you have made, as well as the training and optimization procedures that you follow. Training results should be saved for the Results section of the paper—any discussion of modeling iterations and optimization should be brief, without any mention of the resulting performance. For example: “</w:t>
      </w:r>
      <w:r>
        <w:rPr>
          <w:rFonts w:eastAsia="Times New Roman" w:cs="Times New Roman"/>
          <w:i/>
          <w:iCs/>
        </w:rPr>
        <w:t xml:space="preserve">During model optimization, we </w:t>
      </w:r>
      <w:r>
        <w:rPr>
          <w:rFonts w:eastAsia="Times New Roman" w:cs="Times New Roman"/>
          <w:i/>
          <w:iCs/>
        </w:rPr>
        <w:lastRenderedPageBreak/>
        <w:t>explored hyperparameters a, b, and c with values [</w:t>
      </w:r>
      <w:proofErr w:type="spellStart"/>
      <w:r>
        <w:rPr>
          <w:rFonts w:eastAsia="Times New Roman" w:cs="Times New Roman"/>
          <w:i/>
          <w:iCs/>
        </w:rPr>
        <w:t>d,e,f</w:t>
      </w:r>
      <w:proofErr w:type="spellEnd"/>
      <w:r>
        <w:rPr>
          <w:rFonts w:eastAsia="Times New Roman" w:cs="Times New Roman"/>
          <w:i/>
          <w:iCs/>
        </w:rPr>
        <w:t>], [</w:t>
      </w:r>
      <w:proofErr w:type="spellStart"/>
      <w:r>
        <w:rPr>
          <w:rFonts w:eastAsia="Times New Roman" w:cs="Times New Roman"/>
          <w:i/>
          <w:iCs/>
        </w:rPr>
        <w:t>g,h,i</w:t>
      </w:r>
      <w:proofErr w:type="spellEnd"/>
      <w:r>
        <w:rPr>
          <w:rFonts w:eastAsia="Times New Roman" w:cs="Times New Roman"/>
          <w:i/>
          <w:iCs/>
        </w:rPr>
        <w:t>], and [</w:t>
      </w:r>
      <w:proofErr w:type="spellStart"/>
      <w:r>
        <w:rPr>
          <w:rFonts w:eastAsia="Times New Roman" w:cs="Times New Roman"/>
          <w:i/>
          <w:iCs/>
        </w:rPr>
        <w:t>j,k,l</w:t>
      </w:r>
      <w:proofErr w:type="spellEnd"/>
      <w:r>
        <w:rPr>
          <w:rFonts w:eastAsia="Times New Roman" w:cs="Times New Roman"/>
          <w:i/>
          <w:iCs/>
        </w:rPr>
        <w:t>], respectively. Our final model architecture was...</w:t>
      </w:r>
      <w:r>
        <w:rPr>
          <w:rFonts w:eastAsia="Times New Roman" w:cs="Times New Roman"/>
        </w:rPr>
        <w:t xml:space="preserve">” If the comparative results over your hyperparameter search are interesting enough to be included, these should be discussed in the results section. </w:t>
      </w:r>
    </w:p>
    <w:p w14:paraId="4A466329" w14:textId="77777777" w:rsidR="00707C4E" w:rsidRDefault="00000000">
      <w:pPr>
        <w:rPr>
          <w:rFonts w:eastAsia="Times New Roman" w:cs="Times New Roman"/>
        </w:rPr>
      </w:pPr>
      <w:r>
        <w:rPr>
          <w:rFonts w:eastAsia="Times New Roman" w:cs="Times New Roman"/>
        </w:rPr>
        <w:t xml:space="preserve">The reader should be able to answer the following questions after reading your methodology: </w:t>
      </w:r>
    </w:p>
    <w:p w14:paraId="0956EEB2" w14:textId="77777777" w:rsidR="00707C4E" w:rsidRDefault="00000000">
      <w:pPr>
        <w:pStyle w:val="ListParagraph"/>
        <w:numPr>
          <w:ilvl w:val="0"/>
          <w:numId w:val="6"/>
        </w:numPr>
        <w:spacing w:before="240" w:after="240"/>
      </w:pPr>
      <w:r>
        <w:rPr>
          <w:rFonts w:eastAsia="Times New Roman"/>
        </w:rPr>
        <w:t xml:space="preserve">What type of machine learning model(s) are you using? </w:t>
      </w:r>
    </w:p>
    <w:p w14:paraId="670FCB20" w14:textId="77777777" w:rsidR="00707C4E" w:rsidRDefault="00000000">
      <w:pPr>
        <w:pStyle w:val="ListParagraph"/>
        <w:numPr>
          <w:ilvl w:val="0"/>
          <w:numId w:val="6"/>
        </w:numPr>
        <w:spacing w:before="240" w:after="240"/>
      </w:pPr>
      <w:r>
        <w:rPr>
          <w:rFonts w:eastAsia="Times New Roman"/>
        </w:rPr>
        <w:t xml:space="preserve">What are the notable architectural or system design choices that you have made and why? E.g., number of nodes, hidden layers, activation functions, etc. </w:t>
      </w:r>
    </w:p>
    <w:p w14:paraId="63F067C2" w14:textId="77777777" w:rsidR="00707C4E" w:rsidRDefault="00000000">
      <w:pPr>
        <w:pStyle w:val="ListParagraph"/>
        <w:numPr>
          <w:ilvl w:val="0"/>
          <w:numId w:val="6"/>
        </w:numPr>
        <w:spacing w:before="240" w:after="240"/>
      </w:pPr>
      <w:r>
        <w:rPr>
          <w:rFonts w:eastAsia="Times New Roman"/>
        </w:rPr>
        <w:t xml:space="preserve">What is your model training procedure or machine learning pipeline? E.g., How did you split your data? How many epochs/iterations did you use during training? What was your batch size? What loss function/training metrics were used? </w:t>
      </w:r>
    </w:p>
    <w:p w14:paraId="18C97537" w14:textId="77777777" w:rsidR="00707C4E" w:rsidRDefault="00000000">
      <w:pPr>
        <w:pStyle w:val="ListParagraph"/>
        <w:numPr>
          <w:ilvl w:val="0"/>
          <w:numId w:val="6"/>
        </w:numPr>
        <w:spacing w:before="240" w:after="240"/>
        <w:rPr>
          <w:rFonts w:eastAsia="Times New Roman"/>
          <w:color w:val="000000"/>
        </w:rPr>
      </w:pPr>
      <w:r>
        <w:rPr>
          <w:rFonts w:eastAsia="Times New Roman"/>
        </w:rPr>
        <w:t>How did you optimize your model? E.g., Which hyperparameters and/or architectural elements did you adjust?</w:t>
      </w:r>
    </w:p>
    <w:p w14:paraId="03A27C80" w14:textId="77777777" w:rsidR="00707C4E" w:rsidRDefault="00000000">
      <w:pPr>
        <w:pStyle w:val="Heading1"/>
      </w:pPr>
      <w:r>
        <w:t>5 Results</w:t>
      </w:r>
    </w:p>
    <w:p w14:paraId="0B8EF2D9" w14:textId="77777777" w:rsidR="00707C4E" w:rsidRDefault="00000000">
      <w:r>
        <w:t xml:space="preserve">This section of your final report should describe how your model/system performed and provide evidence for how your work did or did not support your experimental hypothesis or solve your chosen problem. The reader should be able to answer the following questions: </w:t>
      </w:r>
    </w:p>
    <w:p w14:paraId="06073917" w14:textId="77777777" w:rsidR="00707C4E" w:rsidRDefault="00000000">
      <w:pPr>
        <w:pStyle w:val="ListParagraph"/>
        <w:numPr>
          <w:ilvl w:val="0"/>
          <w:numId w:val="7"/>
        </w:numPr>
      </w:pPr>
      <w:r>
        <w:t xml:space="preserve">How effective was your machine learning model at learning the task? e.g. Did the model overfit/underfit the training data? What does the training accuracy/loss curve look like for your model? </w:t>
      </w:r>
    </w:p>
    <w:p w14:paraId="5E25DB0E" w14:textId="77777777" w:rsidR="00707C4E" w:rsidRDefault="00000000">
      <w:pPr>
        <w:pStyle w:val="ListParagraph"/>
        <w:numPr>
          <w:ilvl w:val="0"/>
          <w:numId w:val="7"/>
        </w:numPr>
      </w:pPr>
      <w:r>
        <w:t xml:space="preserve">If your project is focused on answering a research question, what evidence do you have to support or disprove your hypothesis? </w:t>
      </w:r>
    </w:p>
    <w:p w14:paraId="6D518EA9" w14:textId="77777777" w:rsidR="00707C4E" w:rsidRDefault="00000000">
      <w:pPr>
        <w:pStyle w:val="ListParagraph"/>
        <w:numPr>
          <w:ilvl w:val="0"/>
          <w:numId w:val="7"/>
        </w:numPr>
      </w:pPr>
      <w:r>
        <w:t xml:space="preserve">If your project is focused on solving a problem, how will your model performance affect the application of your model to that problem? </w:t>
      </w:r>
    </w:p>
    <w:p w14:paraId="6CDADCC8" w14:textId="77777777" w:rsidR="00707C4E" w:rsidRDefault="00000000">
      <w:pPr>
        <w:pStyle w:val="ListParagraph"/>
        <w:numPr>
          <w:ilvl w:val="0"/>
          <w:numId w:val="7"/>
        </w:numPr>
        <w:rPr>
          <w:rFonts w:eastAsia="Times New Roman"/>
        </w:rPr>
      </w:pPr>
      <w:r>
        <w:t>If your project is focused on implementing a complete machine learning system, what is the user experience? Are there any delays or remaining bugs that affect your model output either in common or edge use cases?</w:t>
      </w:r>
    </w:p>
    <w:p w14:paraId="2354DA5F" w14:textId="77777777" w:rsidR="00707C4E" w:rsidRDefault="00000000">
      <w:pPr>
        <w:pStyle w:val="Heading1"/>
        <w:rPr>
          <w:rFonts w:asciiTheme="majorBidi" w:hAnsiTheme="majorBidi"/>
          <w:sz w:val="24"/>
          <w:szCs w:val="24"/>
        </w:rPr>
      </w:pPr>
      <w:r>
        <w:t>6</w:t>
      </w:r>
      <w:r>
        <w:tab/>
        <w:t>Conclusion</w:t>
      </w:r>
    </w:p>
    <w:p w14:paraId="094A2FC7" w14:textId="77777777" w:rsidR="00707C4E" w:rsidRDefault="00000000">
      <w:pPr>
        <w:spacing w:before="20"/>
        <w:rPr>
          <w:rFonts w:asciiTheme="majorBidi" w:hAnsiTheme="majorBidi" w:cstheme="majorBidi"/>
        </w:rPr>
      </w:pPr>
      <w:r>
        <w:rPr>
          <w:rFonts w:cstheme="majorBidi"/>
        </w:rPr>
        <w:t>This section of your final report should provide a very brief summary of your entire project. It should highlight the most interesting or significant results and discuss any future work that you or another researcher might do. The reader should be able to answer the following questions:</w:t>
      </w:r>
    </w:p>
    <w:p w14:paraId="7E17A0C8" w14:textId="77777777" w:rsidR="00707C4E" w:rsidRDefault="00000000">
      <w:pPr>
        <w:pStyle w:val="ListParagraph"/>
        <w:numPr>
          <w:ilvl w:val="0"/>
          <w:numId w:val="8"/>
        </w:numPr>
        <w:spacing w:before="240" w:after="240" w:line="240" w:lineRule="auto"/>
      </w:pPr>
      <w:r>
        <w:rPr>
          <w:rFonts w:eastAsia="Times New Roman"/>
        </w:rPr>
        <w:t>What was the main hypothesis or goal of the project, and how did your models perform in relation to this hypothesis/goal?</w:t>
      </w:r>
    </w:p>
    <w:p w14:paraId="6B802166" w14:textId="77777777" w:rsidR="00707C4E" w:rsidRDefault="00000000">
      <w:pPr>
        <w:pStyle w:val="ListParagraph"/>
        <w:numPr>
          <w:ilvl w:val="0"/>
          <w:numId w:val="8"/>
        </w:numPr>
        <w:spacing w:before="240" w:after="240" w:line="240" w:lineRule="auto"/>
      </w:pPr>
      <w:r>
        <w:rPr>
          <w:rFonts w:eastAsia="Times New Roman"/>
        </w:rPr>
        <w:t>What was the most interesting or significant result of your project?</w:t>
      </w:r>
    </w:p>
    <w:p w14:paraId="2D8E32ED" w14:textId="77777777" w:rsidR="00707C4E" w:rsidRDefault="00000000">
      <w:pPr>
        <w:pStyle w:val="ListParagraph"/>
        <w:numPr>
          <w:ilvl w:val="0"/>
          <w:numId w:val="8"/>
        </w:numPr>
        <w:spacing w:before="240" w:after="240" w:line="240" w:lineRule="auto"/>
      </w:pPr>
      <w:r>
        <w:rPr>
          <w:rFonts w:eastAsia="Times New Roman"/>
        </w:rPr>
        <w:t>Did your model training or performance bring about any unexpected results?</w:t>
      </w:r>
    </w:p>
    <w:p w14:paraId="43448517" w14:textId="77777777" w:rsidR="00707C4E" w:rsidRDefault="00000000">
      <w:pPr>
        <w:pStyle w:val="ListParagraph"/>
        <w:numPr>
          <w:ilvl w:val="0"/>
          <w:numId w:val="8"/>
        </w:numPr>
        <w:spacing w:before="240" w:after="240" w:line="240" w:lineRule="auto"/>
        <w:rPr>
          <w:rFonts w:eastAsia="Times New Roman"/>
          <w:color w:val="000000"/>
          <w:shd w:val="clear" w:color="auto" w:fill="CFE2F3"/>
        </w:rPr>
      </w:pPr>
      <w:r>
        <w:rPr>
          <w:rFonts w:eastAsia="Times New Roman"/>
        </w:rPr>
        <w:t>If you were to continue this project, what would your next steps be? For example, would you continue to optimize your model or try other model architectures? Would you change or expand the data used in your model? What steps need to be taken to “productionize” your model?</w:t>
      </w:r>
    </w:p>
    <w:p w14:paraId="36B298C6" w14:textId="77777777" w:rsidR="00707C4E" w:rsidRDefault="00000000">
      <w:pPr>
        <w:pStyle w:val="Heading1"/>
        <w:rPr>
          <w:highlight w:val="yellow"/>
        </w:rPr>
      </w:pPr>
      <w:r>
        <w:rPr>
          <w:highlight w:val="yellow"/>
        </w:rPr>
        <w:t>7</w:t>
      </w:r>
      <w:r>
        <w:tab/>
      </w:r>
      <w:r>
        <w:rPr>
          <w:highlight w:val="yellow"/>
        </w:rPr>
        <w:t>FORMATTING EXAMPLES</w:t>
      </w:r>
    </w:p>
    <w:p w14:paraId="7C9BC076" w14:textId="77777777" w:rsidR="00707C4E" w:rsidRDefault="00000000">
      <w:pPr>
        <w:rPr>
          <w:highlight w:val="yellow"/>
        </w:rPr>
      </w:pPr>
      <w:r>
        <w:rPr>
          <w:highlight w:val="yellow"/>
        </w:rPr>
        <w:t>DELETE THIS SECTION BEFORE FINAL SUBMISSION</w:t>
      </w:r>
    </w:p>
    <w:p w14:paraId="7E337B94" w14:textId="77777777" w:rsidR="00707C4E" w:rsidRDefault="00000000">
      <w:pPr>
        <w:pStyle w:val="Heading2"/>
      </w:pPr>
      <w:r>
        <w:t>7.1</w:t>
      </w:r>
      <w:r>
        <w:tab/>
        <w:t>General Formatting</w:t>
      </w:r>
    </w:p>
    <w:p w14:paraId="1818E1C4" w14:textId="77777777" w:rsidR="00707C4E" w:rsidRDefault="00000000">
      <w:pPr>
        <w:rPr>
          <w:rFonts w:eastAsia="Times New Roman" w:cs="Times New Roman"/>
        </w:rPr>
      </w:pPr>
      <w:r>
        <w:rPr>
          <w:rFonts w:eastAsia="Times New Roman" w:cs="Times New Roman"/>
        </w:rPr>
        <w:t xml:space="preserve">A formal report of this type should be primarily in paragraph form, with minimal subheadings, bullet points, or numbered lists. For most of your required report sections, no subheadings will be necessary, and the information can be presented as </w:t>
      </w:r>
      <w:r>
        <w:rPr>
          <w:rFonts w:eastAsia="Times New Roman" w:cs="Times New Roman"/>
        </w:rPr>
        <w:lastRenderedPageBreak/>
        <w:t>a single, cohesive discussion of the content relevant to that section. As a general rule of thumb, bulleted or numbered lists are only appropriate in this kind of report if the list items are less than one sentence, but are too long/detailed to be presented in a table.</w:t>
      </w:r>
    </w:p>
    <w:p w14:paraId="0D99DF91" w14:textId="77777777" w:rsidR="00707C4E" w:rsidRDefault="00000000">
      <w:r>
        <w:t>If you feel strongly that your content would benefit from subheadings or bulleted/numbered lists, they should follow the formatting examples used in this section.</w:t>
      </w:r>
    </w:p>
    <w:p w14:paraId="63227C77" w14:textId="77777777" w:rsidR="00707C4E" w:rsidRDefault="00000000">
      <w:pPr>
        <w:pStyle w:val="Heading2"/>
      </w:pPr>
      <w:r>
        <w:t>7.2</w:t>
      </w:r>
      <w:r>
        <w:tab/>
        <w:t>In-text Citations</w:t>
      </w:r>
    </w:p>
    <w:p w14:paraId="3D0DC350" w14:textId="77777777" w:rsidR="00707C4E" w:rsidRDefault="00000000">
      <w:pPr>
        <w:rPr>
          <w:rFonts w:eastAsia="Times New Roman" w:cs="Times New Roman"/>
        </w:rPr>
      </w:pPr>
      <w:r>
        <w:rPr>
          <w:rFonts w:eastAsia="Times New Roman" w:cs="Times New Roman"/>
        </w:rPr>
        <w:t xml:space="preserve">A report of this type should be heavily supported by in-text citations. You should include a new supporting citation in each section for: </w:t>
      </w:r>
    </w:p>
    <w:p w14:paraId="540AA4FC" w14:textId="77777777" w:rsidR="00707C4E" w:rsidRDefault="00000000">
      <w:pPr>
        <w:pStyle w:val="ListParagraph"/>
        <w:spacing w:before="240" w:after="240"/>
        <w:ind w:hanging="360"/>
        <w:rPr>
          <w:rFonts w:eastAsia="Times New Roman"/>
        </w:rPr>
      </w:pPr>
      <w:r>
        <w:rPr>
          <w:rFonts w:eastAsia="Times New Roman"/>
        </w:rPr>
        <w:t>The first time that you mention a specific code library or dataset,</w:t>
      </w:r>
    </w:p>
    <w:p w14:paraId="376837FB" w14:textId="77777777" w:rsidR="00707C4E" w:rsidRDefault="00000000">
      <w:pPr>
        <w:pStyle w:val="ListParagraph"/>
        <w:spacing w:before="240" w:after="240"/>
        <w:ind w:hanging="360"/>
        <w:rPr>
          <w:rFonts w:eastAsia="Times New Roman"/>
        </w:rPr>
      </w:pPr>
      <w:r>
        <w:rPr>
          <w:rFonts w:eastAsia="Times New Roman"/>
        </w:rPr>
        <w:t>The first time that you introduce a pre-trained model or model architecture,</w:t>
      </w:r>
    </w:p>
    <w:p w14:paraId="34386942" w14:textId="77777777" w:rsidR="00707C4E" w:rsidRDefault="00000000">
      <w:pPr>
        <w:pStyle w:val="ListParagraph"/>
        <w:spacing w:before="240" w:after="240"/>
        <w:ind w:hanging="360"/>
        <w:rPr>
          <w:rFonts w:eastAsia="Times New Roman"/>
        </w:rPr>
      </w:pPr>
      <w:r>
        <w:rPr>
          <w:rFonts w:eastAsia="Times New Roman"/>
        </w:rPr>
        <w:t>Any information that is not your own original thought/idea, even if you didn't need to look it up.</w:t>
      </w:r>
    </w:p>
    <w:p w14:paraId="732AD0FB" w14:textId="77777777" w:rsidR="00707C4E" w:rsidRDefault="00000000">
      <w:pPr>
        <w:rPr>
          <w:rFonts w:eastAsia="Times New Roman" w:cs="Times New Roman"/>
        </w:rPr>
      </w:pPr>
      <w:r>
        <w:rPr>
          <w:rFonts w:eastAsia="Times New Roman" w:cs="Times New Roman"/>
        </w:rPr>
        <w:t>When in doubt, it is always better to over-cite than to under-cite.</w:t>
      </w:r>
    </w:p>
    <w:p w14:paraId="4CA01C60" w14:textId="77777777" w:rsidR="00707C4E" w:rsidRDefault="00000000">
      <w:pPr>
        <w:rPr>
          <w:rFonts w:eastAsia="Times New Roman" w:cs="Times New Roman"/>
        </w:rPr>
      </w:pPr>
      <w:r>
        <w:rPr>
          <w:rFonts w:eastAsia="Times New Roman" w:cs="Times New Roman"/>
        </w:rPr>
        <w:t>Formatting rules for in-text citations can be found in the APA guidelines, but examples of the three most common uses are discussed in the following paragraphs.</w:t>
      </w:r>
    </w:p>
    <w:p w14:paraId="356D7DFF" w14:textId="77777777" w:rsidR="00707C4E" w:rsidRDefault="00000000">
      <w:r>
        <w:rPr>
          <w:i/>
          <w:iCs/>
        </w:rPr>
        <w:t>Parenthetical citations at the end of a sentence</w:t>
      </w:r>
      <w:r>
        <w:t xml:space="preserve"> should be used when the information from the entire sentence comes from the cited source (American Psychological Association, 2025).</w:t>
      </w:r>
    </w:p>
    <w:p w14:paraId="4487616C" w14:textId="77777777" w:rsidR="00707C4E" w:rsidRDefault="00000000">
      <w:r>
        <w:rPr>
          <w:i/>
          <w:iCs/>
        </w:rPr>
        <w:t>Parenthetical citations mid-sentence</w:t>
      </w:r>
      <w:r>
        <w:t xml:space="preserve"> should be used when only a part of the sentence comes from the cited source, or when you are providing a citation for something specific such as a company, model architecture/method, or technique. See the following examples for a sentence with multiple </w:t>
      </w:r>
      <w:r>
        <w:t>mid-sentence citations and a sentence with a specific mid-sentence citation below:</w:t>
      </w:r>
    </w:p>
    <w:p w14:paraId="18B15882" w14:textId="77777777" w:rsidR="00707C4E" w:rsidRDefault="00000000">
      <w:pPr>
        <w:pStyle w:val="ListParagraph"/>
        <w:numPr>
          <w:ilvl w:val="0"/>
          <w:numId w:val="9"/>
        </w:numPr>
      </w:pPr>
      <w:r>
        <w:t>The transformer model was introduced in 2017 for the application of machine translation (Vaswani et al., 2017) and quickly became the most common backbone for today’s large language models (Devlin et al., 2019; Radford et al., 2019).</w:t>
      </w:r>
    </w:p>
    <w:p w14:paraId="669D38C2" w14:textId="77777777" w:rsidR="00707C4E" w:rsidRDefault="00000000">
      <w:pPr>
        <w:pStyle w:val="ListParagraph"/>
        <w:numPr>
          <w:ilvl w:val="0"/>
          <w:numId w:val="9"/>
        </w:numPr>
      </w:pPr>
      <w:r>
        <w:t>As one of the first transformer-based generative text models, OpenAI’s GPT (Radford et al., 2019) quickly became the standard large language architecture used for generative tasks.</w:t>
      </w:r>
    </w:p>
    <w:p w14:paraId="389759E5" w14:textId="77777777" w:rsidR="00707C4E" w:rsidRDefault="00707C4E">
      <w:pPr>
        <w:pStyle w:val="ListParagraph"/>
        <w:numPr>
          <w:ilvl w:val="0"/>
          <w:numId w:val="0"/>
        </w:numPr>
        <w:ind w:left="720"/>
      </w:pPr>
    </w:p>
    <w:p w14:paraId="216083DB" w14:textId="77777777" w:rsidR="00707C4E" w:rsidRDefault="00000000">
      <w:r>
        <w:rPr>
          <w:i/>
          <w:iCs/>
        </w:rPr>
        <w:t>Narrative in-text citations</w:t>
      </w:r>
      <w:r>
        <w:t xml:space="preserve"> can be used when you want to include the name of the author(s) in your main text, as shown in the following example:</w:t>
      </w:r>
    </w:p>
    <w:p w14:paraId="0EAF1DFC" w14:textId="77777777" w:rsidR="00707C4E" w:rsidRDefault="00000000">
      <w:pPr>
        <w:ind w:left="720"/>
      </w:pPr>
      <w:r>
        <w:t>Vaswani et al. (2017) originally developed the transformer architecture for the application of machine translation.</w:t>
      </w:r>
    </w:p>
    <w:p w14:paraId="6F1E1394" w14:textId="77777777" w:rsidR="00707C4E" w:rsidRDefault="00000000">
      <w:pPr>
        <w:pStyle w:val="Heading2"/>
      </w:pPr>
      <w:r>
        <w:t>7.3</w:t>
      </w:r>
      <w:r>
        <w:tab/>
        <w:t>Figures, Tables, and Equations</w:t>
      </w:r>
    </w:p>
    <w:p w14:paraId="6FE1F618" w14:textId="77777777" w:rsidR="00707C4E" w:rsidRDefault="00000000">
      <w:r>
        <w:t>Most of your supporting content should be included in the main text of the report, rather than at the end. While the in-line formatting can be a headache, this makes it easier for your reader to reference your figures and tables while reading, without having to scroll back and forth too much. See Section 7.5 for more details about how to properly use appendices for supplemental information.</w:t>
      </w:r>
    </w:p>
    <w:p w14:paraId="4AAAF51F" w14:textId="77777777" w:rsidR="00707C4E" w:rsidRDefault="00000000">
      <w:pPr>
        <w:pStyle w:val="Heading3"/>
      </w:pPr>
      <w:r>
        <w:t>7.3.1</w:t>
      </w:r>
      <w:r>
        <w:tab/>
        <w:t>Figures</w:t>
      </w:r>
    </w:p>
    <w:p w14:paraId="1B8A9096" w14:textId="77777777" w:rsidR="00707C4E" w:rsidRDefault="00000000">
      <w:r>
        <w:t xml:space="preserve">Figures should be numbered sequentially </w:t>
      </w:r>
      <w:r>
        <w:rPr>
          <w:i/>
          <w:iCs/>
        </w:rPr>
        <w:t>below</w:t>
      </w:r>
      <w:r>
        <w:t xml:space="preserve"> the image and referred to directly in your text (e.g. “As seen in Figure 7.1 [...]”, “Figure 7.1 shows [...]”). If your figure is important enough to include in your report, then it deserves at least one sentence of discussion in the text. </w:t>
      </w:r>
    </w:p>
    <w:p w14:paraId="2DD99AAB" w14:textId="77777777" w:rsidR="00707C4E" w:rsidRDefault="00000000">
      <w:r>
        <w:lastRenderedPageBreak/>
        <w:t>Each figure should also have a corresponding caption that briefly describes the content of the figure and can be used to highlight important details. If your figure is too complex to be limited to a single column width, you can include it as a full-width image at the top of the page.</w:t>
      </w:r>
    </w:p>
    <w:p w14:paraId="100F533D" w14:textId="77777777" w:rsidR="00707C4E" w:rsidRDefault="00000000">
      <w:pPr>
        <w:pStyle w:val="Caption"/>
      </w:pPr>
      <w:r>
        <w:rPr>
          <w:noProof/>
        </w:rPr>
        <w:drawing>
          <wp:inline distT="0" distB="0" distL="0" distR="0" wp14:anchorId="09E97ADB" wp14:editId="5D1ACF3E">
            <wp:extent cx="3048000" cy="1781175"/>
            <wp:effectExtent l="0" t="0" r="0" b="0"/>
            <wp:docPr id="1" name="image1.jpg" descr="Abstract particle graph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Abstract particle graph background"/>
                    <pic:cNvPicPr>
                      <a:picLocks noChangeAspect="1" noChangeArrowheads="1"/>
                    </pic:cNvPicPr>
                  </pic:nvPicPr>
                  <pic:blipFill>
                    <a:blip r:embed="rId20"/>
                    <a:stretch>
                      <a:fillRect/>
                    </a:stretch>
                  </pic:blipFill>
                  <pic:spPr bwMode="auto">
                    <a:xfrm>
                      <a:off x="0" y="0"/>
                      <a:ext cx="3048000" cy="1781175"/>
                    </a:xfrm>
                    <a:prstGeom prst="rect">
                      <a:avLst/>
                    </a:prstGeom>
                  </pic:spPr>
                </pic:pic>
              </a:graphicData>
            </a:graphic>
          </wp:inline>
        </w:drawing>
      </w:r>
      <w:r>
        <w:t>Figure 7.1</w:t>
      </w:r>
    </w:p>
    <w:p w14:paraId="36F8F8B8" w14:textId="77777777" w:rsidR="00707C4E" w:rsidRDefault="00000000">
      <w:pPr>
        <w:pStyle w:val="Caption"/>
      </w:pPr>
      <w:r>
        <w:t>Example text: Model accuracy for our six models during training. The best performing model is shown in red.</w:t>
      </w:r>
    </w:p>
    <w:p w14:paraId="086A6F1B" w14:textId="77777777" w:rsidR="00707C4E" w:rsidRDefault="00000000">
      <w:pPr>
        <w:pStyle w:val="Heading3"/>
      </w:pPr>
      <w:r>
        <w:t>7.3.2</w:t>
      </w:r>
      <w:r>
        <w:tab/>
        <w:t>Tables</w:t>
      </w:r>
    </w:p>
    <w:p w14:paraId="7635247D" w14:textId="77777777" w:rsidR="00707C4E" w:rsidRDefault="00000000">
      <w:r>
        <w:t xml:space="preserve">Tables should be numbered sequentially above the table and should have an in-text mention and a descriptive caption, like the figure examples given above. </w:t>
      </w:r>
    </w:p>
    <w:p w14:paraId="6FC5CCC3" w14:textId="77777777" w:rsidR="00707C4E" w:rsidRDefault="00000000">
      <w:r>
        <w:t>Feel free to improve the default MS Word table formatting shown here for aesthetic appeal (e.g. change cell size, border width, font size, etc.). If you have a favorite table formatting tool (e.g. LaTeX, Pandas pretty print, etc.), feel free to use that and include the output as an image. However, please ensure that the image quality is legible and the formatting generally matches the rest of the report, and DO NOT include screenshots of raw code output—it is not professional to include dark mode or Courier New code output, or screenshots of your console window.</w:t>
      </w:r>
    </w:p>
    <w:p w14:paraId="124D50B3" w14:textId="77777777" w:rsidR="00707C4E" w:rsidRDefault="00000000">
      <w:pPr>
        <w:pStyle w:val="Caption"/>
        <w:rPr>
          <w:sz w:val="24"/>
          <w:szCs w:val="24"/>
        </w:rPr>
      </w:pPr>
      <w:r>
        <w:t>Table 7.1</w:t>
      </w:r>
    </w:p>
    <w:p w14:paraId="3B1DA03F" w14:textId="77777777" w:rsidR="00707C4E" w:rsidRDefault="00000000">
      <w:pPr>
        <w:pStyle w:val="Caption"/>
        <w:rPr>
          <w:i/>
          <w:iCs/>
          <w:sz w:val="24"/>
          <w:szCs w:val="24"/>
        </w:rPr>
      </w:pPr>
      <w:r>
        <w:t xml:space="preserve">Example text: Results for all three models over the standard benchmarking metrics. Highlighted cells show the best performance for each metric. </w:t>
      </w:r>
    </w:p>
    <w:tbl>
      <w:tblPr>
        <w:tblStyle w:val="TableGrid"/>
        <w:tblW w:w="4670" w:type="dxa"/>
        <w:tblLayout w:type="fixed"/>
        <w:tblLook w:val="04A0" w:firstRow="1" w:lastRow="0" w:firstColumn="1" w:lastColumn="0" w:noHBand="0" w:noVBand="1"/>
      </w:tblPr>
      <w:tblGrid>
        <w:gridCol w:w="934"/>
        <w:gridCol w:w="934"/>
        <w:gridCol w:w="934"/>
        <w:gridCol w:w="934"/>
        <w:gridCol w:w="934"/>
      </w:tblGrid>
      <w:tr w:rsidR="00707C4E" w14:paraId="7CDA6F1F" w14:textId="77777777">
        <w:trPr>
          <w:trHeight w:val="300"/>
        </w:trPr>
        <w:tc>
          <w:tcPr>
            <w:tcW w:w="934" w:type="dxa"/>
          </w:tcPr>
          <w:p w14:paraId="7A9953B8" w14:textId="77777777" w:rsidR="00707C4E" w:rsidRDefault="00707C4E">
            <w:pPr>
              <w:jc w:val="left"/>
              <w:rPr>
                <w:rFonts w:asciiTheme="majorBidi" w:eastAsia="Linux Libertine" w:hAnsiTheme="majorBidi" w:cstheme="majorBidi"/>
              </w:rPr>
            </w:pPr>
          </w:p>
        </w:tc>
        <w:tc>
          <w:tcPr>
            <w:tcW w:w="934" w:type="dxa"/>
          </w:tcPr>
          <w:p w14:paraId="672DBAF1" w14:textId="77777777" w:rsidR="00707C4E" w:rsidRDefault="00707C4E">
            <w:pPr>
              <w:jc w:val="left"/>
              <w:rPr>
                <w:rFonts w:asciiTheme="majorBidi" w:eastAsia="Linux Libertine" w:hAnsiTheme="majorBidi" w:cstheme="majorBidi"/>
              </w:rPr>
            </w:pPr>
          </w:p>
        </w:tc>
        <w:tc>
          <w:tcPr>
            <w:tcW w:w="934" w:type="dxa"/>
          </w:tcPr>
          <w:p w14:paraId="6069AE8D" w14:textId="77777777" w:rsidR="00707C4E" w:rsidRDefault="00707C4E">
            <w:pPr>
              <w:jc w:val="left"/>
              <w:rPr>
                <w:rFonts w:asciiTheme="majorBidi" w:eastAsia="Linux Libertine" w:hAnsiTheme="majorBidi" w:cstheme="majorBidi"/>
              </w:rPr>
            </w:pPr>
          </w:p>
        </w:tc>
        <w:tc>
          <w:tcPr>
            <w:tcW w:w="934" w:type="dxa"/>
          </w:tcPr>
          <w:p w14:paraId="515A52DB" w14:textId="77777777" w:rsidR="00707C4E" w:rsidRDefault="00707C4E">
            <w:pPr>
              <w:jc w:val="left"/>
              <w:rPr>
                <w:rFonts w:asciiTheme="majorBidi" w:eastAsia="Linux Libertine" w:hAnsiTheme="majorBidi" w:cstheme="majorBidi"/>
              </w:rPr>
            </w:pPr>
          </w:p>
        </w:tc>
        <w:tc>
          <w:tcPr>
            <w:tcW w:w="934" w:type="dxa"/>
          </w:tcPr>
          <w:p w14:paraId="11296A29" w14:textId="77777777" w:rsidR="00707C4E" w:rsidRDefault="00707C4E">
            <w:pPr>
              <w:jc w:val="left"/>
              <w:rPr>
                <w:rFonts w:asciiTheme="majorBidi" w:eastAsia="Linux Libertine" w:hAnsiTheme="majorBidi" w:cstheme="majorBidi"/>
              </w:rPr>
            </w:pPr>
          </w:p>
        </w:tc>
      </w:tr>
      <w:tr w:rsidR="00707C4E" w14:paraId="2202CDAE" w14:textId="77777777">
        <w:trPr>
          <w:trHeight w:val="300"/>
        </w:trPr>
        <w:tc>
          <w:tcPr>
            <w:tcW w:w="934" w:type="dxa"/>
          </w:tcPr>
          <w:p w14:paraId="62E5FC5C" w14:textId="77777777" w:rsidR="00707C4E" w:rsidRDefault="00707C4E">
            <w:pPr>
              <w:jc w:val="left"/>
              <w:rPr>
                <w:rFonts w:asciiTheme="majorBidi" w:eastAsia="Linux Libertine" w:hAnsiTheme="majorBidi" w:cstheme="majorBidi"/>
              </w:rPr>
            </w:pPr>
          </w:p>
        </w:tc>
        <w:tc>
          <w:tcPr>
            <w:tcW w:w="934" w:type="dxa"/>
          </w:tcPr>
          <w:p w14:paraId="2C0F3841" w14:textId="77777777" w:rsidR="00707C4E" w:rsidRDefault="00707C4E">
            <w:pPr>
              <w:jc w:val="left"/>
              <w:rPr>
                <w:rFonts w:asciiTheme="majorBidi" w:eastAsia="Linux Libertine" w:hAnsiTheme="majorBidi" w:cstheme="majorBidi"/>
              </w:rPr>
            </w:pPr>
          </w:p>
        </w:tc>
        <w:tc>
          <w:tcPr>
            <w:tcW w:w="934" w:type="dxa"/>
          </w:tcPr>
          <w:p w14:paraId="5EEDDF7E" w14:textId="77777777" w:rsidR="00707C4E" w:rsidRDefault="00707C4E">
            <w:pPr>
              <w:jc w:val="left"/>
              <w:rPr>
                <w:rFonts w:asciiTheme="majorBidi" w:eastAsia="Linux Libertine" w:hAnsiTheme="majorBidi" w:cstheme="majorBidi"/>
              </w:rPr>
            </w:pPr>
          </w:p>
        </w:tc>
        <w:tc>
          <w:tcPr>
            <w:tcW w:w="934" w:type="dxa"/>
          </w:tcPr>
          <w:p w14:paraId="66A3C25B" w14:textId="77777777" w:rsidR="00707C4E" w:rsidRDefault="00707C4E">
            <w:pPr>
              <w:jc w:val="left"/>
              <w:rPr>
                <w:rFonts w:asciiTheme="majorBidi" w:eastAsia="Linux Libertine" w:hAnsiTheme="majorBidi" w:cstheme="majorBidi"/>
              </w:rPr>
            </w:pPr>
          </w:p>
        </w:tc>
        <w:tc>
          <w:tcPr>
            <w:tcW w:w="934" w:type="dxa"/>
          </w:tcPr>
          <w:p w14:paraId="3364183E" w14:textId="77777777" w:rsidR="00707C4E" w:rsidRDefault="00707C4E">
            <w:pPr>
              <w:jc w:val="left"/>
              <w:rPr>
                <w:rFonts w:asciiTheme="majorBidi" w:eastAsia="Linux Libertine" w:hAnsiTheme="majorBidi" w:cstheme="majorBidi"/>
              </w:rPr>
            </w:pPr>
          </w:p>
        </w:tc>
      </w:tr>
    </w:tbl>
    <w:p w14:paraId="609946CE" w14:textId="77777777" w:rsidR="00707C4E" w:rsidRDefault="00707C4E"/>
    <w:p w14:paraId="733E2852" w14:textId="77777777" w:rsidR="00707C4E" w:rsidRDefault="00000000">
      <w:r>
        <w:t>A table is often a better alternative to a bulleted list for communicating information that may otherwise seem redundant (e.g. variable details or model hyperparameter choices), or to make information easier to compare across categories (e.g. model performance). If you have a very complex table, think about how you might use bold or italic font to highlight notable cells, such as the best performing model.</w:t>
      </w:r>
    </w:p>
    <w:p w14:paraId="329DC9AD" w14:textId="77777777" w:rsidR="00707C4E" w:rsidRDefault="00000000">
      <w:pPr>
        <w:pStyle w:val="Heading3"/>
      </w:pPr>
      <w:r>
        <w:t>7.3.3</w:t>
      </w:r>
      <w:r>
        <w:tab/>
        <w:t>Equations</w:t>
      </w:r>
    </w:p>
    <w:p w14:paraId="6A4EBD4C" w14:textId="77777777" w:rsidR="00707C4E" w:rsidRDefault="00000000">
      <w:r>
        <w:t>Think carefully about whether including an equation is appropriate for your semi-technical stakeholder audience—most of the time that level of detail will be too technical, and equations should either be left out or included in a separate appendix.</w:t>
      </w:r>
    </w:p>
    <w:p w14:paraId="69C10970" w14:textId="77777777" w:rsidR="00707C4E" w:rsidRDefault="00000000">
      <w:r>
        <w:t xml:space="preserve">If you decide that you do want to include an equation, they should be on a separate line, indented, and numbered sequentially to the right of the equation. As with figures and tables, equations should be referenced directly in your text with a short description (e.g. “Equation 7.1 shows the basic linear regression equation, where </w:t>
      </w:r>
      <w:r>
        <w:rPr>
          <w:i/>
          <w:iCs/>
        </w:rPr>
        <w:t>y</w:t>
      </w:r>
      <w:r>
        <w:t xml:space="preserve"> is the target variable, </w:t>
      </w:r>
      <w:r>
        <w:rPr>
          <w:i/>
          <w:iCs/>
        </w:rPr>
        <w:t>x</w:t>
      </w:r>
      <w:r>
        <w:t xml:space="preserve"> is the model input, </w:t>
      </w:r>
      <w:r>
        <w:rPr>
          <w:i/>
          <w:iCs/>
        </w:rPr>
        <w:t>a</w:t>
      </w:r>
      <w:r>
        <w:t xml:space="preserve"> is the learned </w:t>
      </w:r>
      <w:proofErr w:type="spellStart"/>
      <w:r>
        <w:t>coefficent</w:t>
      </w:r>
      <w:proofErr w:type="spellEnd"/>
      <w:r>
        <w:t xml:space="preserve">, and </w:t>
      </w:r>
      <w:r>
        <w:rPr>
          <w:i/>
          <w:iCs/>
        </w:rPr>
        <w:t>b</w:t>
      </w:r>
      <w:r>
        <w:t xml:space="preserve"> is the model intercept.”) You DO NOT need to include a separate caption for your equations. </w:t>
      </w:r>
    </w:p>
    <w:p w14:paraId="2D93FF0E" w14:textId="77777777" w:rsidR="00707C4E" w:rsidRDefault="00000000">
      <w:pPr>
        <w:ind w:left="720" w:firstLine="720"/>
        <w:rPr>
          <w:rFonts w:asciiTheme="majorBidi" w:eastAsia="Linux Libertine" w:hAnsiTheme="majorBidi" w:cstheme="majorBidi"/>
        </w:rPr>
      </w:pPr>
      <m:oMath>
        <m:r>
          <w:rPr>
            <w:rFonts w:ascii="Cambria Math" w:hAnsi="Cambria Math"/>
          </w:rPr>
          <m:t>y=ax+b</m:t>
        </m:r>
      </m:oMath>
      <w:r>
        <w:tab/>
      </w:r>
      <w:r>
        <w:tab/>
      </w:r>
      <w:r>
        <w:tab/>
        <w:t>(7.1)</w:t>
      </w:r>
    </w:p>
    <w:p w14:paraId="21AC8F1C" w14:textId="77777777" w:rsidR="00707C4E" w:rsidRDefault="00000000">
      <w:r>
        <w:t>As with tables, if you have a favorite tool for formatting your equations, feel free to include the formatted equation as an image, as long as it matches the formatting shown in the example above.</w:t>
      </w:r>
    </w:p>
    <w:p w14:paraId="73FAE289" w14:textId="77777777" w:rsidR="00707C4E" w:rsidRDefault="00000000">
      <w:pPr>
        <w:pStyle w:val="Heading2"/>
      </w:pPr>
      <w:r>
        <w:t>7.4</w:t>
      </w:r>
      <w:r>
        <w:tab/>
        <w:t>Works Cited</w:t>
      </w:r>
    </w:p>
    <w:p w14:paraId="7AD198E7" w14:textId="77777777" w:rsidR="00707C4E" w:rsidRDefault="00000000">
      <w:r>
        <w:lastRenderedPageBreak/>
        <w:t xml:space="preserve">References should be alphabetically ordered using APA 7 formatting. You can refer to the </w:t>
      </w:r>
      <w:hyperlink r:id="rId21">
        <w:r w:rsidR="00707C4E">
          <w:rPr>
            <w:rStyle w:val="Hyperlink"/>
          </w:rPr>
          <w:t>APA guidelines</w:t>
        </w:r>
      </w:hyperlink>
      <w:r>
        <w:t xml:space="preserve"> on how to format citations from different types of sources. There are also online tools that can be used to create citations for you, though these will occasionally produce errors, so be sure to double check these. If you are citing an academic paper, the Google Scholar listing for the paper will also have a properly formatted APA citation that you can copy into your report. Several example citations are shown in the works cited included in this template.</w:t>
      </w:r>
    </w:p>
    <w:p w14:paraId="55E3CEED" w14:textId="77777777" w:rsidR="00707C4E" w:rsidRDefault="00000000">
      <w:pPr>
        <w:pStyle w:val="Heading2"/>
      </w:pPr>
      <w:r>
        <w:t>7.5</w:t>
      </w:r>
      <w:r>
        <w:tab/>
        <w:t>Appendices</w:t>
      </w:r>
    </w:p>
    <w:p w14:paraId="1F86416D" w14:textId="77777777" w:rsidR="00707C4E" w:rsidRDefault="00000000">
      <w:r>
        <w:t>Appendices can be used to include information that you feel is important to the communication of your project but may be too technical or too detailed for the intended semi-technical stakeholder audience. This may include items like a detailed description of data transformations, feature engineering, or architectural choices, or complete results over a hyperparameter grid search or a series of experimental architectures.</w:t>
      </w:r>
    </w:p>
    <w:p w14:paraId="7C88B894" w14:textId="77777777" w:rsidR="00707C4E" w:rsidRDefault="00000000">
      <w:r>
        <w:t>Appendices are not included in the page count but should not be used to get around the report page limits. Information included in the appendices should not be necessary for a basic understanding of your project and should instead provide deeper detail for an interested reader. You can assume that your stakeholder audience would not read most of the content in an appendix, and as such, your appendix content may not contribute to your final report grade.</w:t>
      </w:r>
    </w:p>
    <w:p w14:paraId="241DF8A2" w14:textId="77777777" w:rsidR="00707C4E" w:rsidRDefault="00000000">
      <w:r>
        <w:t xml:space="preserve">Appendices should be labeled alphabetically (Appendix A, Appendix B, etc.) and should be referred to directly in your text (e.g. “A complete table of results over all hyperparameters can be found in Appendix A”). Each appendix should start on a new page and does not need to be in the two-column format if full page width makes more sense </w:t>
      </w:r>
      <w:r>
        <w:t>for your content (e.g. detailed figures or large tables).</w:t>
      </w:r>
    </w:p>
    <w:p w14:paraId="2CD823DD" w14:textId="77777777" w:rsidR="00707C4E" w:rsidRDefault="00000000">
      <w:pPr>
        <w:pStyle w:val="Heading1"/>
        <w:rPr>
          <w:rFonts w:asciiTheme="majorBidi" w:eastAsia="Linux Libertine" w:hAnsiTheme="majorBidi"/>
          <w:sz w:val="24"/>
          <w:szCs w:val="24"/>
        </w:rPr>
      </w:pPr>
      <w:r>
        <w:t>ACKNOWLEDGMENTS</w:t>
      </w:r>
    </w:p>
    <w:p w14:paraId="7AE493EC" w14:textId="77777777" w:rsidR="00707C4E" w:rsidRDefault="00000000">
      <w:pPr>
        <w:spacing w:before="20"/>
        <w:rPr>
          <w:rFonts w:asciiTheme="majorBidi" w:eastAsia="Linux Libertine" w:hAnsiTheme="majorBidi" w:cstheme="majorBidi"/>
        </w:rPr>
      </w:pPr>
      <w:r>
        <w:rPr>
          <w:rFonts w:eastAsia="Linux Libertine" w:cstheme="majorBidi"/>
        </w:rPr>
        <w:t>These are optional, but might mention any external contributors to your project, such as professors or mentors who provided data or consultation.</w:t>
      </w:r>
    </w:p>
    <w:p w14:paraId="2E0BBF3E" w14:textId="77777777" w:rsidR="00707C4E" w:rsidRDefault="00000000">
      <w:pPr>
        <w:spacing w:before="200" w:after="40" w:line="240" w:lineRule="auto"/>
        <w:jc w:val="left"/>
        <w:rPr>
          <w:rStyle w:val="Heading1Char"/>
        </w:rPr>
      </w:pPr>
      <w:r>
        <w:rPr>
          <w:rStyle w:val="Heading1Char"/>
        </w:rPr>
        <w:t>Works Cited</w:t>
      </w:r>
    </w:p>
    <w:p w14:paraId="5C850358" w14:textId="39533B5E" w:rsidR="00750155" w:rsidRDefault="00750155" w:rsidP="00750155">
      <w:pPr>
        <w:spacing w:before="200" w:after="40" w:line="240" w:lineRule="auto"/>
        <w:ind w:left="300" w:hanging="300"/>
        <w:rPr>
          <w:rFonts w:eastAsia="Linux Libertine" w:cstheme="majorBidi"/>
        </w:rPr>
      </w:pPr>
      <w:proofErr w:type="spellStart"/>
      <w:r w:rsidRPr="00750155">
        <w:rPr>
          <w:rFonts w:eastAsia="Linux Libertine" w:cstheme="majorBidi"/>
          <w:lang w:val="en-IN"/>
        </w:rPr>
        <w:t>AlRijeb</w:t>
      </w:r>
      <w:proofErr w:type="spellEnd"/>
      <w:r w:rsidRPr="00750155">
        <w:rPr>
          <w:rFonts w:eastAsia="Linux Libertine" w:cstheme="majorBidi"/>
          <w:lang w:val="en-IN"/>
        </w:rPr>
        <w:t xml:space="preserve">, M. F. S., Othman, M. L., Ishak, A., Hassan, M. K., &amp; </w:t>
      </w:r>
      <w:proofErr w:type="spellStart"/>
      <w:r w:rsidRPr="00750155">
        <w:rPr>
          <w:rFonts w:eastAsia="Linux Libertine" w:cstheme="majorBidi"/>
          <w:lang w:val="en-IN"/>
        </w:rPr>
        <w:t>Albaker</w:t>
      </w:r>
      <w:proofErr w:type="spellEnd"/>
      <w:r w:rsidRPr="00750155">
        <w:rPr>
          <w:rFonts w:eastAsia="Linux Libertine" w:cstheme="majorBidi"/>
          <w:lang w:val="en-IN"/>
        </w:rPr>
        <w:t xml:space="preserve">, B. M. (2025). Machine learning-driven soft sensor implementation for real-time fault detection in CDU of oil refinery. </w:t>
      </w:r>
      <w:r w:rsidRPr="00750155">
        <w:rPr>
          <w:rFonts w:eastAsia="Linux Libertine" w:cstheme="majorBidi"/>
          <w:i/>
          <w:iCs/>
          <w:lang w:val="en-IN"/>
        </w:rPr>
        <w:t>Engineering, Technology &amp; Applied Science Research</w:t>
      </w:r>
      <w:r w:rsidRPr="00750155">
        <w:rPr>
          <w:rFonts w:eastAsia="Linux Libertine" w:cstheme="majorBidi"/>
          <w:lang w:val="en-IN"/>
        </w:rPr>
        <w:t xml:space="preserve">, </w:t>
      </w:r>
      <w:r w:rsidRPr="00750155">
        <w:rPr>
          <w:rFonts w:eastAsia="Linux Libertine" w:cstheme="majorBidi"/>
          <w:i/>
          <w:iCs/>
          <w:lang w:val="en-IN"/>
        </w:rPr>
        <w:t>15</w:t>
      </w:r>
      <w:r w:rsidRPr="00750155">
        <w:rPr>
          <w:rFonts w:eastAsia="Linux Libertine" w:cstheme="majorBidi"/>
          <w:lang w:val="en-IN"/>
        </w:rPr>
        <w:t xml:space="preserve">(1), 20425–20432. </w:t>
      </w:r>
      <w:hyperlink r:id="rId22" w:tgtFrame="_blank" w:history="1">
        <w:r w:rsidRPr="00750155">
          <w:rPr>
            <w:rStyle w:val="Hyperlink"/>
            <w:rFonts w:eastAsia="Linux Libertine" w:cstheme="majorBidi"/>
            <w:lang w:val="en-IN"/>
          </w:rPr>
          <w:t>https://doi.org/10.48084/etasr.9781</w:t>
        </w:r>
      </w:hyperlink>
    </w:p>
    <w:p w14:paraId="695D8BAD" w14:textId="44C449E2" w:rsidR="00750155" w:rsidRPr="00750155" w:rsidRDefault="00750155" w:rsidP="00750155">
      <w:pPr>
        <w:spacing w:before="200" w:after="40" w:line="240" w:lineRule="auto"/>
        <w:ind w:left="300" w:hanging="300"/>
        <w:rPr>
          <w:rFonts w:eastAsia="Linux Libertine" w:cstheme="majorBidi"/>
        </w:rPr>
      </w:pPr>
      <w:r w:rsidRPr="00750155">
        <w:rPr>
          <w:rFonts w:eastAsia="Linux Libertine" w:cstheme="majorBidi"/>
          <w:lang w:val="en-IN"/>
        </w:rPr>
        <w:t>Al-Sayegh, A., Al-</w:t>
      </w:r>
      <w:proofErr w:type="spellStart"/>
      <w:r w:rsidRPr="00750155">
        <w:rPr>
          <w:rFonts w:eastAsia="Linux Libertine" w:cstheme="majorBidi"/>
          <w:lang w:val="en-IN"/>
        </w:rPr>
        <w:t>Wahaibi</w:t>
      </w:r>
      <w:proofErr w:type="spellEnd"/>
      <w:r w:rsidRPr="00750155">
        <w:rPr>
          <w:rFonts w:eastAsia="Linux Libertine" w:cstheme="majorBidi"/>
          <w:lang w:val="en-IN"/>
        </w:rPr>
        <w:t xml:space="preserve">, Y., Joshi, S., Al-Bahry, S., </w:t>
      </w:r>
      <w:proofErr w:type="spellStart"/>
      <w:r w:rsidRPr="00750155">
        <w:rPr>
          <w:rFonts w:eastAsia="Linux Libertine" w:cstheme="majorBidi"/>
          <w:lang w:val="en-IN"/>
        </w:rPr>
        <w:t>Elshafie</w:t>
      </w:r>
      <w:proofErr w:type="spellEnd"/>
      <w:r w:rsidRPr="00750155">
        <w:rPr>
          <w:rFonts w:eastAsia="Linux Libertine" w:cstheme="majorBidi"/>
          <w:lang w:val="en-IN"/>
        </w:rPr>
        <w:t>, A., &amp; Al-</w:t>
      </w:r>
      <w:proofErr w:type="spellStart"/>
      <w:r w:rsidRPr="00750155">
        <w:rPr>
          <w:rFonts w:eastAsia="Linux Libertine" w:cstheme="majorBidi"/>
          <w:lang w:val="en-IN"/>
        </w:rPr>
        <w:t>Bemani</w:t>
      </w:r>
      <w:proofErr w:type="spellEnd"/>
      <w:r w:rsidRPr="00750155">
        <w:rPr>
          <w:rFonts w:eastAsia="Linux Libertine" w:cstheme="majorBidi"/>
          <w:lang w:val="en-IN"/>
        </w:rPr>
        <w:t xml:space="preserve">, A. (2016). Bioremediation of heavy crude oil contamination. </w:t>
      </w:r>
      <w:r w:rsidRPr="00750155">
        <w:rPr>
          <w:rFonts w:eastAsia="Linux Libertine" w:cstheme="majorBidi"/>
          <w:i/>
          <w:iCs/>
          <w:lang w:val="en-IN"/>
        </w:rPr>
        <w:t>The Open Biotechnology Journal</w:t>
      </w:r>
      <w:r w:rsidRPr="00750155">
        <w:rPr>
          <w:rFonts w:eastAsia="Linux Libertine" w:cstheme="majorBidi"/>
          <w:lang w:val="en-IN"/>
        </w:rPr>
        <w:t xml:space="preserve">, </w:t>
      </w:r>
      <w:r w:rsidRPr="00750155">
        <w:rPr>
          <w:rFonts w:eastAsia="Linux Libertine" w:cstheme="majorBidi"/>
          <w:i/>
          <w:iCs/>
          <w:lang w:val="en-IN"/>
        </w:rPr>
        <w:t>10</w:t>
      </w:r>
      <w:r w:rsidRPr="00750155">
        <w:rPr>
          <w:rFonts w:eastAsia="Linux Libertine" w:cstheme="majorBidi"/>
          <w:lang w:val="en-IN"/>
        </w:rPr>
        <w:t xml:space="preserve">(1), 301–311. </w:t>
      </w:r>
      <w:hyperlink r:id="rId23" w:tgtFrame="_blank" w:history="1">
        <w:r w:rsidRPr="00750155">
          <w:rPr>
            <w:rStyle w:val="Hyperlink"/>
            <w:rFonts w:eastAsia="Linux Libertine" w:cstheme="majorBidi"/>
            <w:lang w:val="en-IN"/>
          </w:rPr>
          <w:t>https://doi.org/10.2174/1874070701610010301</w:t>
        </w:r>
      </w:hyperlink>
    </w:p>
    <w:p w14:paraId="1D54D94D" w14:textId="77777777" w:rsidR="00685DB8" w:rsidRPr="00B34DA6" w:rsidRDefault="00685DB8" w:rsidP="00685DB8">
      <w:pPr>
        <w:spacing w:before="200" w:after="40" w:line="240" w:lineRule="auto"/>
        <w:ind w:left="300" w:hanging="300"/>
        <w:rPr>
          <w:rFonts w:eastAsia="Linux Libertine" w:cstheme="majorBidi"/>
        </w:rPr>
      </w:pPr>
      <w:r w:rsidRPr="00B34DA6">
        <w:rPr>
          <w:rFonts w:eastAsia="Linux Libertine" w:cstheme="majorBidi"/>
        </w:rPr>
        <w:t>Biegler, L. T. (2010). Nonlinear programming: Concepts, algorithms, and applications to chemical processes. Society for Industrial and Applied Mathematics (SIAM). https://doi.org/10.1137/1.9780898719383</w:t>
      </w:r>
    </w:p>
    <w:p w14:paraId="4CE13AE9" w14:textId="77777777" w:rsidR="007B0266" w:rsidRPr="00B34DA6" w:rsidRDefault="007B0266" w:rsidP="007B0266">
      <w:pPr>
        <w:spacing w:before="200" w:after="40" w:line="240" w:lineRule="auto"/>
        <w:ind w:left="300" w:hanging="300"/>
        <w:rPr>
          <w:rFonts w:eastAsia="Linux Libertine" w:cstheme="majorBidi"/>
        </w:rPr>
      </w:pPr>
      <w:r w:rsidRPr="00B34DA6">
        <w:rPr>
          <w:rFonts w:eastAsia="Linux Libertine" w:cstheme="majorBidi"/>
        </w:rPr>
        <w:t xml:space="preserve">Brockman, G., Cheung, V., Pettersson, L., Schneider, J., Schulman, J., Tang, J., &amp; Zaremba, W. (2016). OpenAI Gym. </w:t>
      </w:r>
      <w:proofErr w:type="spellStart"/>
      <w:r w:rsidRPr="00B34DA6">
        <w:rPr>
          <w:rFonts w:eastAsia="Linux Libertine" w:cstheme="majorBidi"/>
        </w:rPr>
        <w:t>arXiv</w:t>
      </w:r>
      <w:proofErr w:type="spellEnd"/>
      <w:r w:rsidRPr="00B34DA6">
        <w:rPr>
          <w:rFonts w:eastAsia="Linux Libertine" w:cstheme="majorBidi"/>
        </w:rPr>
        <w:t>. https://doi.org/10.48550/arXiv.1606.01540</w:t>
      </w:r>
    </w:p>
    <w:p w14:paraId="46BD8776" w14:textId="77777777" w:rsidR="008D0FA1" w:rsidRDefault="008D0FA1" w:rsidP="00152D8C">
      <w:pPr>
        <w:spacing w:before="200" w:after="40" w:line="240" w:lineRule="auto"/>
        <w:ind w:left="300" w:hanging="300"/>
        <w:rPr>
          <w:rFonts w:eastAsia="Linux Libertine" w:cstheme="majorBidi"/>
        </w:rPr>
      </w:pPr>
      <w:r w:rsidRPr="00B34DA6">
        <w:rPr>
          <w:rFonts w:eastAsia="Linux Libertine" w:cstheme="majorBidi"/>
        </w:rPr>
        <w:t>Chen, H., &amp; Liu, Z. (2025). Multi-agent reinforcement learning for integrated refinery optimization: A DWSIM-based study. Proceedings of the International Conference on Process Systems Engineering (PSE 2025), 114–129.</w:t>
      </w:r>
    </w:p>
    <w:p w14:paraId="0618ACB1" w14:textId="77777777" w:rsidR="000916EC" w:rsidRDefault="000916EC" w:rsidP="000916EC">
      <w:pPr>
        <w:spacing w:before="200" w:after="40" w:line="240" w:lineRule="auto"/>
        <w:ind w:left="300" w:hanging="300"/>
        <w:rPr>
          <w:rFonts w:eastAsia="Linux Libertine" w:cstheme="majorBidi"/>
        </w:rPr>
      </w:pPr>
      <w:r w:rsidRPr="00B34DA6">
        <w:rPr>
          <w:rFonts w:eastAsia="Linux Libertine" w:cstheme="majorBidi"/>
        </w:rPr>
        <w:lastRenderedPageBreak/>
        <w:t xml:space="preserve">Engell, S. (2007). Feedback control for optimal process operation. Journal of Process Control, 17(3), 203–219. </w:t>
      </w:r>
      <w:hyperlink r:id="rId24" w:history="1">
        <w:r w:rsidRPr="00AE010A">
          <w:rPr>
            <w:rStyle w:val="Hyperlink"/>
            <w:rFonts w:eastAsia="Linux Libertine" w:cstheme="majorBidi"/>
          </w:rPr>
          <w:t>https://doi.org/10.1016/j.jprocont.2006.10.003</w:t>
        </w:r>
      </w:hyperlink>
    </w:p>
    <w:p w14:paraId="2071D700" w14:textId="77777777" w:rsidR="000916EC" w:rsidRDefault="000916EC" w:rsidP="000916EC">
      <w:pPr>
        <w:spacing w:before="200" w:after="40" w:line="240" w:lineRule="auto"/>
        <w:ind w:left="426" w:hanging="426"/>
        <w:jc w:val="left"/>
      </w:pPr>
      <w:r w:rsidRPr="003119DD">
        <w:t xml:space="preserve">ExxonMobil. (n.d.). </w:t>
      </w:r>
      <w:r w:rsidRPr="003119DD">
        <w:rPr>
          <w:i/>
          <w:iCs/>
        </w:rPr>
        <w:t>Crude oil assays</w:t>
      </w:r>
      <w:r w:rsidRPr="003119DD">
        <w:t xml:space="preserve">. </w:t>
      </w:r>
      <w:hyperlink r:id="rId25" w:tgtFrame="_blank" w:history="1">
        <w:r w:rsidRPr="003119DD">
          <w:rPr>
            <w:rStyle w:val="Hyperlink"/>
          </w:rPr>
          <w:t>https://corporate.exxonmobil.com/what-we-do/energy-supply/crude-trading/crude-oil-assays</w:t>
        </w:r>
      </w:hyperlink>
    </w:p>
    <w:p w14:paraId="666DCD7E" w14:textId="77777777" w:rsidR="00F853C4" w:rsidRPr="00750155" w:rsidRDefault="00F853C4" w:rsidP="00F853C4">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González-Durán, R., Rodríguez-Prieto, A., Camacho, A. M., Peña-Ballesteros, D. Y., &amp; Serna, A. (2024). Experimental assessment of corrosion properties for materials intended for heavy crude processing. </w:t>
      </w:r>
      <w:r w:rsidRPr="00750155">
        <w:rPr>
          <w:rFonts w:eastAsia="Linux Libertine" w:cstheme="majorBidi"/>
          <w:i/>
          <w:iCs/>
          <w:lang w:val="en-IN"/>
        </w:rPr>
        <w:t>Materials</w:t>
      </w:r>
      <w:r w:rsidRPr="00750155">
        <w:rPr>
          <w:rFonts w:eastAsia="Linux Libertine" w:cstheme="majorBidi"/>
          <w:lang w:val="en-IN"/>
        </w:rPr>
        <w:t xml:space="preserve">, </w:t>
      </w:r>
      <w:r w:rsidRPr="00750155">
        <w:rPr>
          <w:rFonts w:eastAsia="Linux Libertine" w:cstheme="majorBidi"/>
          <w:i/>
          <w:iCs/>
          <w:lang w:val="en-IN"/>
        </w:rPr>
        <w:t>17</w:t>
      </w:r>
      <w:r w:rsidRPr="00750155">
        <w:rPr>
          <w:rFonts w:eastAsia="Linux Libertine" w:cstheme="majorBidi"/>
          <w:lang w:val="en-IN"/>
        </w:rPr>
        <w:t xml:space="preserve">(21), 5275. </w:t>
      </w:r>
      <w:hyperlink r:id="rId26" w:tgtFrame="_blank" w:history="1">
        <w:r w:rsidRPr="00750155">
          <w:rPr>
            <w:rStyle w:val="Hyperlink"/>
            <w:rFonts w:eastAsia="Linux Libertine" w:cstheme="majorBidi"/>
            <w:lang w:val="en-IN"/>
          </w:rPr>
          <w:t>https://doi.org/10.3390/ma17215275</w:t>
        </w:r>
      </w:hyperlink>
    </w:p>
    <w:p w14:paraId="22ECFC4B" w14:textId="2F2CA000" w:rsidR="00304242" w:rsidRPr="00B34DA6" w:rsidRDefault="00304242" w:rsidP="00353A4E">
      <w:pPr>
        <w:spacing w:before="200" w:after="40" w:line="240" w:lineRule="auto"/>
        <w:ind w:left="300" w:hanging="300"/>
        <w:rPr>
          <w:rFonts w:eastAsia="Linux Libertine" w:cstheme="majorBidi"/>
        </w:rPr>
      </w:pPr>
      <w:r w:rsidRPr="00B34DA6">
        <w:rPr>
          <w:rFonts w:eastAsia="Linux Libertine" w:cstheme="majorBidi"/>
        </w:rPr>
        <w:t xml:space="preserve">Gupta, A., &amp; Kumar, S. (2025). </w:t>
      </w:r>
      <w:proofErr w:type="spellStart"/>
      <w:r w:rsidRPr="00B34DA6">
        <w:rPr>
          <w:rFonts w:eastAsia="Linux Libertine" w:cstheme="majorBidi"/>
        </w:rPr>
        <w:t>Lagrangian</w:t>
      </w:r>
      <w:proofErr w:type="spellEnd"/>
      <w:r w:rsidRPr="00B34DA6">
        <w:rPr>
          <w:rFonts w:eastAsia="Linux Libertine" w:cstheme="majorBidi"/>
        </w:rPr>
        <w:t>-constrained reinforcement learning for safety-critical distillation operations. Journal of Process Control, 142, 103–118. https://doi.org/10.1016/j.jprocont.2025.01.004</w:t>
      </w:r>
    </w:p>
    <w:p w14:paraId="7FED59E6" w14:textId="77777777" w:rsidR="00C037B7" w:rsidRDefault="00C037B7" w:rsidP="00C037B7">
      <w:pPr>
        <w:spacing w:before="200" w:after="40" w:line="240" w:lineRule="auto"/>
        <w:ind w:left="426" w:hanging="426"/>
        <w:jc w:val="left"/>
        <w:rPr>
          <w:rFonts w:eastAsia="Linux Libertine" w:cstheme="majorBidi"/>
        </w:rPr>
      </w:pPr>
      <w:r w:rsidRPr="00B34DA6">
        <w:rPr>
          <w:rFonts w:eastAsia="Linux Libertine" w:cstheme="majorBidi"/>
        </w:rPr>
        <w:t xml:space="preserve">Hubbs, C. P., Li, C., Sahinidis, N. V., Grossmann, I. E., &amp; John, J. M. (2020). A deep reinforcement learning approach for chemical production scheduling. Computers &amp; Chemical Engineering, 141, 106982. </w:t>
      </w:r>
      <w:hyperlink r:id="rId27" w:history="1">
        <w:r w:rsidRPr="00AE010A">
          <w:rPr>
            <w:rStyle w:val="Hyperlink"/>
            <w:rFonts w:eastAsia="Linux Libertine" w:cstheme="majorBidi"/>
          </w:rPr>
          <w:t>https://doi.org/10.1016/j.compchemeng.2020.106982</w:t>
        </w:r>
      </w:hyperlink>
    </w:p>
    <w:p w14:paraId="78F248BF" w14:textId="77777777" w:rsidR="009F3D63" w:rsidRPr="00B34DA6" w:rsidRDefault="009F3D63" w:rsidP="009F3D63">
      <w:pPr>
        <w:spacing w:before="200" w:after="40" w:line="240" w:lineRule="auto"/>
        <w:ind w:left="300" w:hanging="300"/>
        <w:rPr>
          <w:rFonts w:eastAsia="Linux Libertine" w:cstheme="majorBidi"/>
        </w:rPr>
      </w:pPr>
      <w:r w:rsidRPr="00B34DA6">
        <w:rPr>
          <w:rFonts w:eastAsia="Linux Libertine" w:cstheme="majorBidi"/>
        </w:rPr>
        <w:t>Lee, K., Choi, D., &amp; Park, M. (2025). Explainable AI for petroleum refining: Utilizing SHAP values for autonomous distillation column control. AI in Chemical Engineering, 6(1), 45–62.</w:t>
      </w:r>
    </w:p>
    <w:p w14:paraId="2805669E" w14:textId="77777777" w:rsidR="00287365" w:rsidRPr="00750155" w:rsidRDefault="00287365" w:rsidP="00287365">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Li, Z., Lin, R., Su, H., &amp; Xie, L. (2025). Reinforcement learning-driven plant-wide refinery planning using model decomposition. </w:t>
      </w:r>
      <w:proofErr w:type="spellStart"/>
      <w:r w:rsidRPr="00750155">
        <w:rPr>
          <w:rFonts w:eastAsia="Linux Libertine" w:cstheme="majorBidi"/>
          <w:i/>
          <w:iCs/>
          <w:lang w:val="en-IN"/>
        </w:rPr>
        <w:t>arXiv</w:t>
      </w:r>
      <w:proofErr w:type="spellEnd"/>
      <w:r w:rsidRPr="00750155">
        <w:rPr>
          <w:rFonts w:eastAsia="Linux Libertine" w:cstheme="majorBidi"/>
          <w:lang w:val="en-IN"/>
        </w:rPr>
        <w:t xml:space="preserve">. </w:t>
      </w:r>
      <w:hyperlink r:id="rId28" w:tgtFrame="_blank" w:history="1">
        <w:r w:rsidRPr="00750155">
          <w:rPr>
            <w:rStyle w:val="Hyperlink"/>
            <w:rFonts w:eastAsia="Linux Libertine" w:cstheme="majorBidi"/>
            <w:lang w:val="en-IN"/>
          </w:rPr>
          <w:t>https://doi.org/10.48550/arxiv.2504.08642</w:t>
        </w:r>
      </w:hyperlink>
    </w:p>
    <w:p w14:paraId="006BA62B" w14:textId="723E7517"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31366571" w14:textId="3DC42A6A" w:rsidR="003265BD" w:rsidRDefault="003265BD" w:rsidP="003265BD">
      <w:pPr>
        <w:spacing w:before="200" w:after="40" w:line="240" w:lineRule="auto"/>
        <w:ind w:left="300" w:hanging="300"/>
        <w:rPr>
          <w:rFonts w:eastAsia="Linux Libertine" w:cstheme="majorBidi"/>
        </w:rPr>
      </w:pPr>
      <w:r w:rsidRPr="00B34DA6">
        <w:rPr>
          <w:rFonts w:eastAsia="Linux Libertine" w:cstheme="majorBidi"/>
        </w:rPr>
        <w:t>Qin, S. J., &amp; Badgwell, T. A. (2003). A survey of industrial model predictive control technology. Control Engineering Practice, 11(7), 733–764. https://doi.org/10.1016/S0967-0661(02)00186-7</w:t>
      </w:r>
      <w:r w:rsidR="002A1037">
        <w:rPr>
          <w:rFonts w:eastAsia="Linux Libertine" w:cstheme="majorBidi"/>
        </w:rPr>
        <w:t>.</w:t>
      </w:r>
    </w:p>
    <w:p w14:paraId="4B1F10F4" w14:textId="77777777" w:rsidR="00B33848" w:rsidRPr="00B34DA6" w:rsidRDefault="00B33848" w:rsidP="00B33848">
      <w:pPr>
        <w:spacing w:before="200" w:after="40" w:line="240" w:lineRule="auto"/>
        <w:ind w:left="300" w:hanging="300"/>
        <w:rPr>
          <w:rFonts w:eastAsia="Linux Libertine" w:cstheme="majorBidi"/>
        </w:rPr>
      </w:pPr>
      <w:r w:rsidRPr="00B34DA6">
        <w:rPr>
          <w:rFonts w:eastAsia="Linux Libertine" w:cstheme="majorBidi"/>
        </w:rPr>
        <w:t xml:space="preserve">Schulman, J., Wolski, F., Dhariwal, P., Radford, A., &amp; Klimov, O. (2017). Proximal policy optimization algorithms. </w:t>
      </w:r>
      <w:proofErr w:type="spellStart"/>
      <w:r w:rsidRPr="00B34DA6">
        <w:rPr>
          <w:rFonts w:eastAsia="Linux Libertine" w:cstheme="majorBidi"/>
        </w:rPr>
        <w:t>arXiv</w:t>
      </w:r>
      <w:proofErr w:type="spellEnd"/>
      <w:r w:rsidRPr="00B34DA6">
        <w:rPr>
          <w:rFonts w:eastAsia="Linux Libertine" w:cstheme="majorBidi"/>
        </w:rPr>
        <w:t>. https://doi.org/10.48550/arXiv.1707.06347</w:t>
      </w:r>
    </w:p>
    <w:p w14:paraId="714561E2" w14:textId="77777777" w:rsidR="00157500" w:rsidRPr="00B34DA6" w:rsidRDefault="00157500" w:rsidP="00157500">
      <w:pPr>
        <w:spacing w:before="200" w:after="40" w:line="240" w:lineRule="auto"/>
        <w:ind w:left="300" w:hanging="300"/>
        <w:rPr>
          <w:rFonts w:eastAsia="Linux Libertine" w:cstheme="majorBidi"/>
        </w:rPr>
      </w:pPr>
      <w:r w:rsidRPr="00B34DA6">
        <w:rPr>
          <w:rFonts w:eastAsia="Linux Libertine" w:cstheme="majorBidi"/>
        </w:rPr>
        <w:t>Shin, J., Badgwell, T. A., Liu, K. H., &amp; Lee, J. H. (2019). Reinforcement learning – Overview of recent progress and implications for process control. Computers &amp; Chemical Engineering, 127, 282–294. https://doi.org/10.1016/j.compchemeng.2019.05.029</w:t>
      </w:r>
    </w:p>
    <w:p w14:paraId="20074145" w14:textId="77777777" w:rsidR="000C6F44" w:rsidRPr="00B34DA6" w:rsidRDefault="000C6F44" w:rsidP="000C6F44">
      <w:pPr>
        <w:spacing w:before="200" w:after="40" w:line="240" w:lineRule="auto"/>
        <w:ind w:left="300" w:hanging="300"/>
        <w:rPr>
          <w:rFonts w:eastAsia="Linux Libertine" w:cstheme="majorBidi"/>
        </w:rPr>
      </w:pPr>
      <w:r w:rsidRPr="00B34DA6">
        <w:rPr>
          <w:rFonts w:eastAsia="Linux Libertine" w:cstheme="majorBidi"/>
        </w:rPr>
        <w:t xml:space="preserve">Spielberg, S., Cao, Y., &amp; </w:t>
      </w:r>
      <w:proofErr w:type="spellStart"/>
      <w:r w:rsidRPr="00B34DA6">
        <w:rPr>
          <w:rFonts w:eastAsia="Linux Libertine" w:cstheme="majorBidi"/>
        </w:rPr>
        <w:t>Gopaluni</w:t>
      </w:r>
      <w:proofErr w:type="spellEnd"/>
      <w:r w:rsidRPr="00B34DA6">
        <w:rPr>
          <w:rFonts w:eastAsia="Linux Libertine" w:cstheme="majorBidi"/>
        </w:rPr>
        <w:t>, B. (2019). Deep reinforcement learning for process control: A review for control engineers. Control Engineering Practice, 89, 212–222. https://doi.org/10.1016/j.conengprac.2019.05.017</w:t>
      </w:r>
      <w:r>
        <w:rPr>
          <w:rFonts w:eastAsia="Linux Libertine" w:cstheme="majorBidi"/>
        </w:rPr>
        <w:t>.</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Spielberg, S., </w:t>
      </w:r>
      <w:proofErr w:type="spellStart"/>
      <w:r w:rsidRPr="00152D8C">
        <w:rPr>
          <w:rFonts w:eastAsia="Linux Libertine" w:cstheme="majorBidi"/>
        </w:rPr>
        <w:t>Tulsyan</w:t>
      </w:r>
      <w:proofErr w:type="spellEnd"/>
      <w:r w:rsidRPr="00152D8C">
        <w:rPr>
          <w:rFonts w:eastAsia="Linux Libertine" w:cstheme="majorBidi"/>
        </w:rPr>
        <w:t>, A., Lawrence, N. P., Loewen, P. D., &amp; Bhushan Gopaluni, R. (2019). Toward deep reinforcement learning for process control: A review. Computers &amp; Chemical Engineering, 132, 106602.</w:t>
      </w:r>
    </w:p>
    <w:p w14:paraId="45C9C4A9" w14:textId="77777777" w:rsidR="003265BD" w:rsidRPr="00750155" w:rsidRDefault="003265BD" w:rsidP="003265BD">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Spielberg, S., </w:t>
      </w:r>
      <w:proofErr w:type="spellStart"/>
      <w:r w:rsidRPr="00750155">
        <w:rPr>
          <w:rFonts w:eastAsia="Linux Libertine" w:cstheme="majorBidi"/>
          <w:lang w:val="en-IN"/>
        </w:rPr>
        <w:t>Tulsyan</w:t>
      </w:r>
      <w:proofErr w:type="spellEnd"/>
      <w:r w:rsidRPr="00750155">
        <w:rPr>
          <w:rFonts w:eastAsia="Linux Libertine" w:cstheme="majorBidi"/>
          <w:lang w:val="en-IN"/>
        </w:rPr>
        <w:t xml:space="preserve">, A., Lawrence, N. P., Loewen, P. D., &amp; Bhushan, G. (2019). Toward self-driving processes: A deep reinforcement learning approach to control. </w:t>
      </w:r>
      <w:r w:rsidRPr="00750155">
        <w:rPr>
          <w:rFonts w:eastAsia="Linux Libertine" w:cstheme="majorBidi"/>
          <w:i/>
          <w:iCs/>
          <w:lang w:val="en-IN"/>
        </w:rPr>
        <w:t>AIChE Journal</w:t>
      </w:r>
      <w:r w:rsidRPr="00750155">
        <w:rPr>
          <w:rFonts w:eastAsia="Linux Libertine" w:cstheme="majorBidi"/>
          <w:lang w:val="en-IN"/>
        </w:rPr>
        <w:t xml:space="preserve">, </w:t>
      </w:r>
      <w:r w:rsidRPr="00750155">
        <w:rPr>
          <w:rFonts w:eastAsia="Linux Libertine" w:cstheme="majorBidi"/>
          <w:i/>
          <w:iCs/>
          <w:lang w:val="en-IN"/>
        </w:rPr>
        <w:t>65</w:t>
      </w:r>
      <w:r w:rsidRPr="00750155">
        <w:rPr>
          <w:rFonts w:eastAsia="Linux Libertine" w:cstheme="majorBidi"/>
          <w:lang w:val="en-IN"/>
        </w:rPr>
        <w:t xml:space="preserve">(10), e16733. </w:t>
      </w:r>
      <w:hyperlink r:id="rId29" w:tgtFrame="_blank" w:history="1">
        <w:r w:rsidRPr="00750155">
          <w:rPr>
            <w:rStyle w:val="Hyperlink"/>
            <w:rFonts w:eastAsia="Linux Libertine" w:cstheme="majorBidi"/>
            <w:lang w:val="en-IN"/>
          </w:rPr>
          <w:t>https://doi.org/10.1002/aic.16733</w:t>
        </w:r>
      </w:hyperlink>
      <w:r>
        <w:rPr>
          <w:rFonts w:eastAsia="Linux Libertine" w:cstheme="majorBidi"/>
        </w:rPr>
        <w:t>.</w:t>
      </w:r>
    </w:p>
    <w:p w14:paraId="707445A1" w14:textId="7777777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Venkatasubramanian, V. (2019). The promise of artificial intelligence in chemical engineering: Is it here, finally?. AIChE Journal, 65(2), 466-478.</w:t>
      </w:r>
    </w:p>
    <w:p w14:paraId="6A065723" w14:textId="299BFE6C" w:rsidR="00B34DA6" w:rsidRPr="002A1037" w:rsidRDefault="003265BD" w:rsidP="002A1037">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Wellawatte, G. P., &amp; Schwaller, P. (2025). Human interpretable structure-property relationships in chemistry using explainable machine learning and large language models. </w:t>
      </w:r>
      <w:r w:rsidRPr="00750155">
        <w:rPr>
          <w:rFonts w:eastAsia="Linux Libertine" w:cstheme="majorBidi"/>
          <w:i/>
          <w:iCs/>
          <w:lang w:val="en-IN"/>
        </w:rPr>
        <w:t xml:space="preserve">Communications </w:t>
      </w:r>
      <w:r w:rsidRPr="00750155">
        <w:rPr>
          <w:rFonts w:eastAsia="Linux Libertine" w:cstheme="majorBidi"/>
          <w:i/>
          <w:iCs/>
          <w:lang w:val="en-IN"/>
        </w:rPr>
        <w:lastRenderedPageBreak/>
        <w:t>Chemistry</w:t>
      </w:r>
      <w:r w:rsidRPr="00750155">
        <w:rPr>
          <w:rFonts w:eastAsia="Linux Libertine" w:cstheme="majorBidi"/>
          <w:lang w:val="en-IN"/>
        </w:rPr>
        <w:t xml:space="preserve">, </w:t>
      </w:r>
      <w:r w:rsidRPr="00750155">
        <w:rPr>
          <w:rFonts w:eastAsia="Linux Libertine" w:cstheme="majorBidi"/>
          <w:i/>
          <w:iCs/>
          <w:lang w:val="en-IN"/>
        </w:rPr>
        <w:t>8</w:t>
      </w:r>
      <w:r w:rsidRPr="00750155">
        <w:rPr>
          <w:rFonts w:eastAsia="Linux Libertine" w:cstheme="majorBidi"/>
          <w:lang w:val="en-IN"/>
        </w:rPr>
        <w:t xml:space="preserve">, Article 11733140. </w:t>
      </w:r>
      <w:hyperlink r:id="rId30" w:tgtFrame="_blank" w:history="1">
        <w:r w:rsidRPr="00750155">
          <w:rPr>
            <w:rStyle w:val="Hyperlink"/>
            <w:rFonts w:eastAsia="Linux Libertine" w:cstheme="majorBidi"/>
            <w:lang w:val="en-IN"/>
          </w:rPr>
          <w:t>https://doi.org/10.1038/s42004-024-01393-y</w:t>
        </w:r>
      </w:hyperlink>
    </w:p>
    <w:p w14:paraId="2A46FA8E" w14:textId="1049BF05" w:rsidR="00B34DA6" w:rsidRDefault="00B34DA6" w:rsidP="00B34DA6">
      <w:pPr>
        <w:spacing w:before="200" w:after="40" w:line="240" w:lineRule="auto"/>
        <w:ind w:left="300" w:hanging="300"/>
        <w:rPr>
          <w:rFonts w:eastAsia="Linux Libertine" w:cstheme="majorBidi"/>
        </w:rPr>
      </w:pPr>
      <w:r w:rsidRPr="00B34DA6">
        <w:rPr>
          <w:rFonts w:eastAsia="Linux Libertine" w:cstheme="majorBidi"/>
        </w:rPr>
        <w:t>Zhang, Y., &amp; Petrova, I. (2025). Digital twin-driven autonomous plant operations: Real-time optimization of atmospheric distillation units using deep policy gradients. Computers &amp; Chemical Engineering (Special Issue: AI in Energy), 184, 108–122.</w:t>
      </w:r>
    </w:p>
    <w:p w14:paraId="1BDF331F" w14:textId="5294D19E" w:rsidR="00750155" w:rsidRPr="00750155" w:rsidRDefault="00750155" w:rsidP="00750155">
      <w:pPr>
        <w:spacing w:before="200" w:after="40" w:line="240" w:lineRule="auto"/>
        <w:ind w:left="300" w:hanging="300"/>
        <w:rPr>
          <w:rFonts w:eastAsia="Linux Libertine" w:cstheme="majorBidi"/>
          <w:lang w:val="en-IN"/>
        </w:rPr>
      </w:pPr>
    </w:p>
    <w:p w14:paraId="62D1592E" w14:textId="77777777" w:rsidR="00750155" w:rsidRDefault="00750155" w:rsidP="00B34DA6">
      <w:pPr>
        <w:spacing w:before="200" w:after="40" w:line="240" w:lineRule="auto"/>
        <w:ind w:left="300" w:hanging="300"/>
        <w:rPr>
          <w:rFonts w:eastAsia="Linux Libertine" w:cstheme="majorBidi"/>
        </w:rPr>
      </w:pPr>
    </w:p>
    <w:p w14:paraId="764681AB" w14:textId="77777777" w:rsidR="00707C4E" w:rsidRDefault="00707C4E">
      <w:pPr>
        <w:spacing w:before="200" w:after="40" w:line="240" w:lineRule="auto"/>
      </w:pPr>
    </w:p>
    <w:sectPr w:rsidR="00707C4E" w:rsidSect="00B51E7E">
      <w:footerReference w:type="even" r:id="rId31"/>
      <w:type w:val="continuous"/>
      <w:pgSz w:w="12240" w:h="15840"/>
      <w:pgMar w:top="1500" w:right="1080" w:bottom="1276" w:left="993"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B7548" w14:textId="77777777" w:rsidR="00AD59CB" w:rsidRDefault="00AD59CB">
      <w:pPr>
        <w:spacing w:after="0" w:line="240" w:lineRule="auto"/>
      </w:pPr>
      <w:r>
        <w:separator/>
      </w:r>
    </w:p>
  </w:endnote>
  <w:endnote w:type="continuationSeparator" w:id="0">
    <w:p w14:paraId="5D5360A6" w14:textId="77777777" w:rsidR="00AD59CB" w:rsidRDefault="00AD59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EC1B"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p>
  <w:p w14:paraId="617EACE3"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noProof/>
      </w:rPr>
      <w:drawing>
        <wp:inline distT="0" distB="0" distL="0" distR="0" wp14:anchorId="0F0CB7A7" wp14:editId="75EE489F">
          <wp:extent cx="2833688" cy="998874"/>
          <wp:effectExtent l="0" t="0" r="5080" b="0"/>
          <wp:docPr id="81836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
                  <a:stretch>
                    <a:fillRect/>
                  </a:stretch>
                </pic:blipFill>
                <pic:spPr>
                  <a:xfrm>
                    <a:off x="0" y="0"/>
                    <a:ext cx="2876930" cy="1014117"/>
                  </a:xfrm>
                  <a:prstGeom prst="rect">
                    <a:avLst/>
                  </a:prstGeom>
                </pic:spPr>
              </pic:pic>
            </a:graphicData>
          </a:graphic>
        </wp:inline>
      </w:drawing>
    </w:r>
    <w:r>
      <w:rPr>
        <w:rFonts w:ascii="Linux Biolinum" w:eastAsia="Linux Biolinum" w:hAnsi="Linux Biolinum" w:cs="Linux Biolinum"/>
        <w:color w:val="000000"/>
        <w:sz w:val="14"/>
        <w:szCs w:val="14"/>
      </w:rPr>
      <w:t xml:space="preserve"> </w:t>
    </w:r>
    <w:r w:rsidRPr="006F505B">
      <w:rPr>
        <w:rFonts w:ascii="Linux Biolinum" w:eastAsia="Linux Biolinum" w:hAnsi="Linux Biolinum" w:cs="Linux Biolinum"/>
        <w:noProof/>
        <w:color w:val="000000"/>
        <w:sz w:val="14"/>
        <w:szCs w:val="14"/>
      </w:rPr>
      <w:drawing>
        <wp:inline distT="0" distB="0" distL="0" distR="0" wp14:anchorId="5164FC7D" wp14:editId="2A3723A6">
          <wp:extent cx="3504721" cy="998220"/>
          <wp:effectExtent l="0" t="0" r="635" b="0"/>
          <wp:docPr id="140587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2"/>
                  <a:stretch>
                    <a:fillRect/>
                  </a:stretch>
                </pic:blipFill>
                <pic:spPr>
                  <a:xfrm>
                    <a:off x="0" y="0"/>
                    <a:ext cx="3540970" cy="1008544"/>
                  </a:xfrm>
                  <a:prstGeom prst="rect">
                    <a:avLst/>
                  </a:prstGeom>
                </pic:spPr>
              </pic:pic>
            </a:graphicData>
          </a:graphic>
        </wp:inline>
      </w:drawing>
    </w:r>
  </w:p>
  <w:p w14:paraId="53BB5B94"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rFonts w:ascii="Linux Biolinum" w:eastAsia="Linux Biolinum" w:hAnsi="Linux Biolinum" w:cs="Linux Biolinum"/>
        <w:noProof/>
        <w:color w:val="000000"/>
        <w:sz w:val="14"/>
        <w:szCs w:val="14"/>
      </w:rPr>
      <w:drawing>
        <wp:inline distT="0" distB="0" distL="0" distR="0" wp14:anchorId="205F61C9" wp14:editId="063724A1">
          <wp:extent cx="6400800" cy="881380"/>
          <wp:effectExtent l="0" t="0" r="0" b="0"/>
          <wp:docPr id="99990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3"/>
                  <a:stretch>
                    <a:fillRect/>
                  </a:stretch>
                </pic:blipFill>
                <pic:spPr>
                  <a:xfrm>
                    <a:off x="0" y="0"/>
                    <a:ext cx="6400800" cy="881380"/>
                  </a:xfrm>
                  <a:prstGeom prst="rect">
                    <a:avLst/>
                  </a:prstGeom>
                </pic:spPr>
              </pic:pic>
            </a:graphicData>
          </a:graphic>
        </wp:inline>
      </w:drawing>
    </w:r>
  </w:p>
  <w:p w14:paraId="55B511CF"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 xml:space="preserve">Fig 1. (a). API Gravity, Density (at 15 </w:t>
    </w:r>
    <w:proofErr w:type="spellStart"/>
    <w:r w:rsidRPr="006F505B">
      <w:rPr>
        <w:rFonts w:ascii="Linux Biolinum" w:eastAsia="Linux Biolinum" w:hAnsi="Linux Biolinum" w:cs="Linux Biolinum"/>
        <w:color w:val="000000"/>
        <w:sz w:val="16"/>
        <w:szCs w:val="10"/>
      </w:rPr>
      <w:t>oC</w:t>
    </w:r>
    <w:proofErr w:type="spellEnd"/>
    <w:r w:rsidRPr="006F505B">
      <w:rPr>
        <w:rFonts w:ascii="Linux Biolinum" w:eastAsia="Linux Biolinum" w:hAnsi="Linux Biolinum" w:cs="Linux Biolinum"/>
        <w:color w:val="000000"/>
        <w:sz w:val="16"/>
        <w:szCs w:val="10"/>
      </w:rPr>
      <w:t>) and Total Sulphur distribution in the selected crude assays</w:t>
    </w:r>
  </w:p>
  <w:p w14:paraId="1E791242"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(b) Metals and Total Nitrogen content in the selected crude assays</w:t>
    </w:r>
  </w:p>
  <w:p w14:paraId="25BE4293"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(c) Crude-wise yield distribution (</w:t>
    </w:r>
    <w:proofErr w:type="spellStart"/>
    <w:r w:rsidRPr="006F505B">
      <w:rPr>
        <w:rFonts w:ascii="Linux Biolinum" w:eastAsia="Linux Biolinum" w:hAnsi="Linux Biolinum" w:cs="Linux Biolinum"/>
        <w:color w:val="000000"/>
        <w:sz w:val="16"/>
        <w:szCs w:val="10"/>
      </w:rPr>
      <w:t>wt</w:t>
    </w:r>
    <w:proofErr w:type="spellEnd"/>
    <w:r w:rsidRPr="006F505B">
      <w:rPr>
        <w:rFonts w:ascii="Linux Biolinum" w:eastAsia="Linux Biolinum" w:hAnsi="Linux Biolinum" w:cs="Linux Biolinum"/>
        <w:color w:val="000000"/>
        <w:sz w:val="16"/>
        <w:szCs w:val="10"/>
      </w:rPr>
      <w:t xml:space="preserve">%) </w:t>
    </w:r>
  </w:p>
  <w:p w14:paraId="75A80CF6" w14:textId="511CF0DB" w:rsidR="006F505B" w:rsidRPr="002F3B68" w:rsidRDefault="006F505B" w:rsidP="002F3B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0B7F7C13" w:rsidR="00707C4E" w:rsidRDefault="00707C4E">
    <w:pPr>
      <w:tabs>
        <w:tab w:val="center" w:pos="4320"/>
        <w:tab w:val="right" w:pos="8640"/>
      </w:tabs>
      <w:ind w:right="360"/>
      <w:rPr>
        <w:lang w:val="en-IN"/>
      </w:rPr>
    </w:pPr>
  </w:p>
  <w:p w14:paraId="67251ECE" w14:textId="1461098B" w:rsidR="006F505B" w:rsidRPr="006F505B" w:rsidRDefault="006F505B">
    <w:pPr>
      <w:tabs>
        <w:tab w:val="center" w:pos="4320"/>
        <w:tab w:val="right" w:pos="8640"/>
      </w:tabs>
      <w:ind w:right="360"/>
      <w:rPr>
        <w:rFonts w:ascii="Linux Biolinum" w:eastAsia="Linux Biolinum" w:hAnsi="Linux Biolinum" w:cs="Linux Biolinum"/>
        <w:color w:val="000000"/>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C1C1" w14:textId="77777777" w:rsidR="002F3B68" w:rsidRPr="002F3B68" w:rsidRDefault="002F3B68" w:rsidP="002F3B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1E84C" w14:textId="77777777" w:rsidR="00AD59CB" w:rsidRDefault="00AD59CB">
      <w:pPr>
        <w:spacing w:after="0" w:line="240" w:lineRule="auto"/>
      </w:pPr>
      <w:r>
        <w:separator/>
      </w:r>
    </w:p>
  </w:footnote>
  <w:footnote w:type="continuationSeparator" w:id="0">
    <w:p w14:paraId="2BE418F6" w14:textId="77777777" w:rsidR="00AD59CB" w:rsidRDefault="00AD59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CE44867"/>
    <w:multiLevelType w:val="multilevel"/>
    <w:tmpl w:val="95A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5789585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12"/>
  </w:num>
  <w:num w:numId="4" w16cid:durableId="517429286">
    <w:abstractNumId w:val="3"/>
  </w:num>
  <w:num w:numId="5" w16cid:durableId="1718040607">
    <w:abstractNumId w:val="9"/>
  </w:num>
  <w:num w:numId="6" w16cid:durableId="710611117">
    <w:abstractNumId w:val="8"/>
  </w:num>
  <w:num w:numId="7" w16cid:durableId="1117138578">
    <w:abstractNumId w:val="4"/>
  </w:num>
  <w:num w:numId="8" w16cid:durableId="1648709583">
    <w:abstractNumId w:val="11"/>
  </w:num>
  <w:num w:numId="9" w16cid:durableId="1602377560">
    <w:abstractNumId w:val="0"/>
  </w:num>
  <w:num w:numId="10" w16cid:durableId="627131747">
    <w:abstractNumId w:val="6"/>
  </w:num>
  <w:num w:numId="11" w16cid:durableId="1462915697">
    <w:abstractNumId w:val="5"/>
  </w:num>
  <w:num w:numId="12" w16cid:durableId="546837443">
    <w:abstractNumId w:val="10"/>
  </w:num>
  <w:num w:numId="13" w16cid:durableId="6656702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autoHyphenation/>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170D9"/>
    <w:rsid w:val="000171A5"/>
    <w:rsid w:val="00024561"/>
    <w:rsid w:val="00046A56"/>
    <w:rsid w:val="000849A3"/>
    <w:rsid w:val="000916EC"/>
    <w:rsid w:val="000A7D67"/>
    <w:rsid w:val="000C1057"/>
    <w:rsid w:val="000C15D7"/>
    <w:rsid w:val="000C6F44"/>
    <w:rsid w:val="000D7A14"/>
    <w:rsid w:val="00152D8C"/>
    <w:rsid w:val="00157500"/>
    <w:rsid w:val="001F37D7"/>
    <w:rsid w:val="00226D0D"/>
    <w:rsid w:val="00235499"/>
    <w:rsid w:val="002411B5"/>
    <w:rsid w:val="002834D0"/>
    <w:rsid w:val="00287365"/>
    <w:rsid w:val="002A1037"/>
    <w:rsid w:val="002A2C07"/>
    <w:rsid w:val="002A789C"/>
    <w:rsid w:val="002F3B68"/>
    <w:rsid w:val="00304242"/>
    <w:rsid w:val="003119DD"/>
    <w:rsid w:val="003265BD"/>
    <w:rsid w:val="00353A4E"/>
    <w:rsid w:val="00364568"/>
    <w:rsid w:val="0037175C"/>
    <w:rsid w:val="003D7E6C"/>
    <w:rsid w:val="003E34DA"/>
    <w:rsid w:val="004005C0"/>
    <w:rsid w:val="00456480"/>
    <w:rsid w:val="00457DEB"/>
    <w:rsid w:val="004A7395"/>
    <w:rsid w:val="004D1BE0"/>
    <w:rsid w:val="00501DA8"/>
    <w:rsid w:val="00531AF7"/>
    <w:rsid w:val="00545888"/>
    <w:rsid w:val="00565768"/>
    <w:rsid w:val="005736E9"/>
    <w:rsid w:val="00585372"/>
    <w:rsid w:val="005D303D"/>
    <w:rsid w:val="005E1C12"/>
    <w:rsid w:val="00640D52"/>
    <w:rsid w:val="0065089B"/>
    <w:rsid w:val="00685DB8"/>
    <w:rsid w:val="006D067C"/>
    <w:rsid w:val="006D07B5"/>
    <w:rsid w:val="006D51E1"/>
    <w:rsid w:val="006F505B"/>
    <w:rsid w:val="007028BC"/>
    <w:rsid w:val="00703A04"/>
    <w:rsid w:val="00707C4E"/>
    <w:rsid w:val="00715F8F"/>
    <w:rsid w:val="00732052"/>
    <w:rsid w:val="00750155"/>
    <w:rsid w:val="00783AA5"/>
    <w:rsid w:val="007B0266"/>
    <w:rsid w:val="007D16D6"/>
    <w:rsid w:val="00841DA8"/>
    <w:rsid w:val="00846A59"/>
    <w:rsid w:val="00847E24"/>
    <w:rsid w:val="00853A33"/>
    <w:rsid w:val="0085795C"/>
    <w:rsid w:val="00870CBE"/>
    <w:rsid w:val="008A1F4C"/>
    <w:rsid w:val="008D0FA1"/>
    <w:rsid w:val="008F1433"/>
    <w:rsid w:val="00904BA5"/>
    <w:rsid w:val="00950A37"/>
    <w:rsid w:val="00967C85"/>
    <w:rsid w:val="009F3D63"/>
    <w:rsid w:val="00A72477"/>
    <w:rsid w:val="00AA657A"/>
    <w:rsid w:val="00AD59CB"/>
    <w:rsid w:val="00AE0304"/>
    <w:rsid w:val="00B03708"/>
    <w:rsid w:val="00B04F16"/>
    <w:rsid w:val="00B06E54"/>
    <w:rsid w:val="00B33848"/>
    <w:rsid w:val="00B34DA6"/>
    <w:rsid w:val="00B3686C"/>
    <w:rsid w:val="00B51E7E"/>
    <w:rsid w:val="00B81766"/>
    <w:rsid w:val="00B919CD"/>
    <w:rsid w:val="00BB6B75"/>
    <w:rsid w:val="00BE7606"/>
    <w:rsid w:val="00C00F69"/>
    <w:rsid w:val="00C037B7"/>
    <w:rsid w:val="00C12F8E"/>
    <w:rsid w:val="00C1440D"/>
    <w:rsid w:val="00C202DA"/>
    <w:rsid w:val="00C32239"/>
    <w:rsid w:val="00C3535A"/>
    <w:rsid w:val="00C3782D"/>
    <w:rsid w:val="00C56701"/>
    <w:rsid w:val="00C62535"/>
    <w:rsid w:val="00C63F3B"/>
    <w:rsid w:val="00C77CD4"/>
    <w:rsid w:val="00C847A9"/>
    <w:rsid w:val="00CB256B"/>
    <w:rsid w:val="00CC768C"/>
    <w:rsid w:val="00D04920"/>
    <w:rsid w:val="00D335E1"/>
    <w:rsid w:val="00D4158F"/>
    <w:rsid w:val="00E06737"/>
    <w:rsid w:val="00E37883"/>
    <w:rsid w:val="00E80037"/>
    <w:rsid w:val="00F30A18"/>
    <w:rsid w:val="00F817AE"/>
    <w:rsid w:val="00F853C4"/>
    <w:rsid w:val="00FB302D"/>
    <w:rsid w:val="00FB65A3"/>
    <w:rsid w:val="00FB7F0B"/>
    <w:rsid w:val="00FC5469"/>
    <w:rsid w:val="00FC58D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hyperlink" Target="https://www.google.com/search?q=https://doi.org/10.3390/ma17215275&amp;authuser=1" TargetMode="External"/><Relationship Id="rId3" Type="http://schemas.openxmlformats.org/officeDocument/2006/relationships/numbering" Target="numbering.xml"/><Relationship Id="rId21" Type="http://schemas.openxmlformats.org/officeDocument/2006/relationships/hyperlink" Target="https://apastyle.apa.org/style-grammar-guidelines/references"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yperlink" Target="https://corporate.exxonmobil.com/what-we-do/energy-supply/crude-trading/crude-oil-assay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jpeg"/><Relationship Id="rId29" Type="http://schemas.openxmlformats.org/officeDocument/2006/relationships/hyperlink" Target="https://doi.org/10.1002/aic.1673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doi.org/10.1016/j.jprocont.2006.10.003" TargetMode="Externa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yperlink" Target="https://doi.org/10.2174/1874070701610010301" TargetMode="External"/><Relationship Id="rId28" Type="http://schemas.openxmlformats.org/officeDocument/2006/relationships/hyperlink" Target="https://www.google.com/search?q=https://doi.org/10.48550/arxiv.2504.08642&amp;authuser=1"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footer" Target="footer3.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mailto:email@sandiego.edu" TargetMode="External"/><Relationship Id="rId22" Type="http://schemas.openxmlformats.org/officeDocument/2006/relationships/hyperlink" Target="https://www.google.com/search?q=https://doi.org/10.48084/etasr.9781&amp;authuser=1" TargetMode="External"/><Relationship Id="rId27" Type="http://schemas.openxmlformats.org/officeDocument/2006/relationships/hyperlink" Target="https://doi.org/10.1016/j.compchemeng.2020.106982" TargetMode="External"/><Relationship Id="rId30" Type="http://schemas.openxmlformats.org/officeDocument/2006/relationships/hyperlink" Target="https://www.google.com/search?q=https://doi.org/10.1038/s42004-024-01393-y&amp;authuser=1" TargetMode="External"/><Relationship Id="rId8" Type="http://schemas.openxmlformats.org/officeDocument/2006/relationships/endnotes" Target="endnotes.xml"/></Relationships>
</file>

<file path=word/_rels/foot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322</TotalTime>
  <Pages>11</Pages>
  <Words>4542</Words>
  <Characters>25895</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30377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90</cp:revision>
  <cp:lastPrinted>2026-03-07T09:10:00Z</cp:lastPrinted>
  <dcterms:created xsi:type="dcterms:W3CDTF">2026-03-01T15:42:00Z</dcterms:created>
  <dcterms:modified xsi:type="dcterms:W3CDTF">2026-03-11T17:41:00Z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