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w:t>
      </w:r>
      <w:proofErr w:type="gramStart"/>
      <w:r w:rsidR="004D1BE0">
        <w:t>a</w:t>
      </w:r>
      <w:proofErr w:type="gramEnd"/>
      <w:r w:rsidR="004D1BE0">
        <w:t xml:space="preserve">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w:t>
      </w:r>
      <w:proofErr w:type="gramStart"/>
      <w:r w:rsidR="002A2C07">
        <w:t>primary</w:t>
      </w:r>
      <w:proofErr w:type="gramEnd"/>
      <w:r w:rsidR="002A2C07">
        <w:t xml:space="preserve">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as they define the intrinsic quality and potential corrosivity of the feed (González-Durán et al., </w:t>
      </w:r>
      <w:r>
        <w:lastRenderedPageBreak/>
        <w:t>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w:t>
      </w:r>
      <w:r w:rsidR="00732052" w:rsidRPr="00732052">
        <w:t xml:space="preserve">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w:t>
      </w:r>
      <w:proofErr w:type="spellStart"/>
      <w:r w:rsidRPr="00E06737">
        <w:rPr>
          <w:lang w:val="en-IN"/>
        </w:rPr>
        <w:t>Zakum</w:t>
      </w:r>
      <w:proofErr w:type="spellEnd"/>
      <w:r w:rsidRPr="00E06737">
        <w:rPr>
          <w:lang w:val="en-IN"/>
        </w:rPr>
        <w:t xml:space="preserve">,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 xml:space="preserve">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The predominant paradigm in industrial Real-Time Optimization (RTO) has historically relied on Non-Linear Programming (NLP) and Successive Quadratic Programming (SQP) to solve steady-</w:t>
      </w:r>
      <w:r w:rsidRPr="00CA2BB6">
        <w:rPr>
          <w:rFonts w:eastAsia="Times New Roman" w:cs="Times New Roman"/>
        </w:rPr>
        <w:lastRenderedPageBreak/>
        <w:t xml:space="preserve">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xml:space="preserve">, as highlighted by the emergence of the Constrained Policy Optimization (CPO) and </w:t>
      </w:r>
      <w:proofErr w:type="spellStart"/>
      <w:r w:rsidRPr="00AE7D92">
        <w:rPr>
          <w:rFonts w:eastAsia="Times New Roman" w:cs="Times New Roman"/>
        </w:rPr>
        <w:t>Lagrangian</w:t>
      </w:r>
      <w:proofErr w:type="spellEnd"/>
      <w:r w:rsidRPr="00AE7D92">
        <w:rPr>
          <w:rFonts w:eastAsia="Times New Roman" w:cs="Times New Roman"/>
        </w:rPr>
        <w:t xml:space="preserve"> RL frameworks</w:t>
      </w:r>
      <w:r>
        <w:rPr>
          <w:rFonts w:eastAsia="Times New Roman" w:cs="Times New Roman"/>
        </w:rPr>
        <w:t xml:space="preserve"> (</w:t>
      </w:r>
      <w:proofErr w:type="spellStart"/>
      <w:r>
        <w:rPr>
          <w:rFonts w:eastAsia="Times New Roman" w:cs="Times New Roman"/>
        </w:rPr>
        <w:t>Achiam</w:t>
      </w:r>
      <w:proofErr w:type="spellEnd"/>
      <w:r>
        <w:rPr>
          <w:rFonts w:eastAsia="Times New Roman" w:cs="Times New Roman"/>
        </w:rPr>
        <w:t xml:space="preserve">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w:t>
      </w:r>
      <w:proofErr w:type="gramStart"/>
      <w:r w:rsidRPr="009B279F">
        <w:rPr>
          <w:rFonts w:eastAsia="Times New Roman" w:cs="Times New Roman"/>
        </w:rPr>
        <w:t>Principle</w:t>
      </w:r>
      <w:proofErr w:type="gramEnd"/>
      <w:r w:rsidRPr="009B279F">
        <w:rPr>
          <w:rFonts w:eastAsia="Times New Roman" w:cs="Times New Roman"/>
        </w:rPr>
        <w:t xml:space="preserv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 xml:space="preserve">use of </w:t>
      </w:r>
      <w:proofErr w:type="spellStart"/>
      <w:r w:rsidRPr="00024561">
        <w:rPr>
          <w:rFonts w:eastAsia="Times New Roman" w:cs="Times New Roman"/>
        </w:rPr>
        <w:t>Lagrangian</w:t>
      </w:r>
      <w:proofErr w:type="spellEnd"/>
      <w:r w:rsidRPr="00024561">
        <w:rPr>
          <w:rFonts w:eastAsia="Times New Roman" w:cs="Times New Roman"/>
        </w:rPr>
        <w:t xml:space="preserve">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proofErr w:type="spellStart"/>
      <w:r w:rsidR="00667EAF">
        <w:rPr>
          <w:rFonts w:eastAsia="Times New Roman" w:cs="Times New Roman"/>
        </w:rPr>
        <w:t>Stooke</w:t>
      </w:r>
      <w:proofErr w:type="spellEnd"/>
      <w:r w:rsidR="00667EAF">
        <w:rPr>
          <w:rFonts w:eastAsia="Times New Roman" w:cs="Times New Roman"/>
        </w:rPr>
        <w:t xml:space="preserv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 xml:space="preserve">to ensure that the agent remains within the Safe Operating Envelope of a VDU-ADU sequence. Their findings suggest that while CPO may converge slightly slower than standard PPO, it effectively eliminates the risk of dry trays or </w:t>
      </w:r>
      <w:r w:rsidRPr="00024561">
        <w:rPr>
          <w:rFonts w:eastAsia="Times New Roman" w:cs="Times New Roman"/>
        </w:rPr>
        <w:lastRenderedPageBreak/>
        <w:t>column flooding during the learning process</w:t>
      </w:r>
      <w:r w:rsidR="00B925DF">
        <w:rPr>
          <w:rFonts w:eastAsia="Times New Roman" w:cs="Times New Roman"/>
        </w:rPr>
        <w:t xml:space="preserve"> (</w:t>
      </w:r>
      <w:proofErr w:type="spellStart"/>
      <w:r w:rsidR="00B925DF">
        <w:rPr>
          <w:rFonts w:eastAsia="Times New Roman" w:cs="Times New Roman"/>
        </w:rPr>
        <w:t>Achiam</w:t>
      </w:r>
      <w:proofErr w:type="spellEnd"/>
      <w:r w:rsidR="00B925DF">
        <w:rPr>
          <w:rFonts w:eastAsia="Times New Roman" w:cs="Times New Roman"/>
        </w:rPr>
        <w:t xml:space="preserve"> L., et al., 2017)</w:t>
      </w:r>
      <w:r w:rsidRPr="00024561">
        <w:rPr>
          <w:rFonts w:eastAsia="Times New Roman" w:cs="Times New Roman"/>
        </w:rPr>
        <w:t>.</w:t>
      </w:r>
    </w:p>
    <w:p w14:paraId="672D3CA4" w14:textId="693C872A" w:rsidR="00707C4E" w:rsidRPr="002A5569"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1F3F0F3F" w:rsidR="00E04847" w:rsidRDefault="00E04847" w:rsidP="005A3045">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w:t>
      </w:r>
      <w:proofErr w:type="spellStart"/>
      <w:r w:rsidR="00262BF4">
        <w:t>Unstabilized</w:t>
      </w:r>
      <w:proofErr w:type="spellEnd"/>
      <w:r w:rsidR="00262BF4">
        <w:t xml:space="preserve">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w:t>
      </w:r>
      <w:proofErr w:type="spellStart"/>
      <w:r w:rsidR="005168D0">
        <w:t>Unstabilized</w:t>
      </w:r>
      <w:proofErr w:type="spellEnd"/>
      <w:r w:rsidR="005168D0">
        <w:t xml:space="preserve"> Naphtha</w:t>
      </w:r>
      <w:r w:rsidRPr="00E04847">
        <w:t xml:space="preserve"> into stabilizer off-gas, LPG, and stabilized run naphtha (SRN), while the VDU yields vacuum off-gas, vacuum diesel, </w:t>
      </w:r>
      <w:r w:rsidR="00EA637C">
        <w:t>V</w:t>
      </w:r>
      <w:r w:rsidRPr="00E04847">
        <w:t xml:space="preserve">acuum gas oil (VGO), </w:t>
      </w:r>
      <w:proofErr w:type="spellStart"/>
      <w:r w:rsidR="00F27178">
        <w:t>H</w:t>
      </w:r>
      <w:r w:rsidRPr="00E04847">
        <w:t>otwell</w:t>
      </w:r>
      <w:proofErr w:type="spellEnd"/>
      <w:r w:rsidRPr="00E04847">
        <w:t xml:space="preserve">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r w:rsidR="005A3045">
        <w:t>The flowsheets developed are shown in Fig 4.</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proofErr w:type="spellStart"/>
      <w:r>
        <w:t>upto</w:t>
      </w:r>
      <w:proofErr w:type="spellEnd"/>
      <w:r>
        <w:t xml:space="preserve"> 360 </w:t>
      </w:r>
      <w:proofErr w:type="spellStart"/>
      <w:r w:rsidRPr="00422514">
        <w:rPr>
          <w:vertAlign w:val="superscript"/>
        </w:rPr>
        <w:t>o</w:t>
      </w:r>
      <w:r>
        <w:t>C</w:t>
      </w:r>
      <w:proofErr w:type="spellEnd"/>
      <w:r>
        <w:t xml:space="preserve"> where 56% of the crude turns in </w:t>
      </w:r>
      <w:proofErr w:type="spellStart"/>
      <w:r>
        <w:t>vapour</w:t>
      </w:r>
      <w:proofErr w:type="spellEnd"/>
      <w:r>
        <w:t xml:space="preserve"> phase.</w:t>
      </w:r>
    </w:p>
    <w:p w14:paraId="785CF269" w14:textId="6342FCD9"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proofErr w:type="spellStart"/>
      <w:r w:rsidR="00C012AC" w:rsidRPr="00C012AC">
        <w:rPr>
          <w:vertAlign w:val="superscript"/>
        </w:rPr>
        <w:t>o</w:t>
      </w:r>
      <w:r w:rsidR="00C012AC">
        <w:t>C.</w:t>
      </w:r>
      <w:proofErr w:type="spellEnd"/>
      <w:r w:rsidR="00A22124">
        <w:t xml:space="preserve"> The overhead liquid stream, </w:t>
      </w:r>
      <w:proofErr w:type="spellStart"/>
      <w:r w:rsidR="00A22124">
        <w:t>Unstabilized</w:t>
      </w:r>
      <w:proofErr w:type="spellEnd"/>
      <w:r w:rsidR="00A22124">
        <w:t xml:space="preserve"> Naphtha is drawn and fed to Naphtha Stabilizer to separate LPG from Straight-run Naphtha.</w:t>
      </w:r>
      <w:r w:rsidR="009B41B1">
        <w:t xml:space="preserve"> The bottom, Reduced Crude Oil (RCO), </w:t>
      </w:r>
      <w:r w:rsidR="008F1559">
        <w:t>is fed to Vacuum Distillation Unit for further refinement</w:t>
      </w:r>
      <w:r w:rsidR="006D01BE">
        <w:t xml:space="preserve">, after heating </w:t>
      </w:r>
      <w:proofErr w:type="spellStart"/>
      <w:r w:rsidR="006D01BE">
        <w:t>upto</w:t>
      </w:r>
      <w:proofErr w:type="spellEnd"/>
      <w:r w:rsidR="006D01BE">
        <w:t xml:space="preserve"> 405 </w:t>
      </w:r>
      <w:proofErr w:type="spellStart"/>
      <w:r w:rsidR="006D01BE" w:rsidRPr="006D01BE">
        <w:rPr>
          <w:vertAlign w:val="superscript"/>
        </w:rPr>
        <w:t>o</w:t>
      </w:r>
      <w:r w:rsidR="006D01BE">
        <w:t>C</w:t>
      </w:r>
      <w:proofErr w:type="spellEnd"/>
      <w:r w:rsidR="006D01BE">
        <w:t xml:space="preserve"> which vaporizes 52% of the feed</w:t>
      </w:r>
      <w:r w:rsidR="008F1559">
        <w: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proofErr w:type="spellStart"/>
      <w:r w:rsidR="00A313FA" w:rsidRPr="00A313FA">
        <w:rPr>
          <w:vertAlign w:val="superscript"/>
        </w:rPr>
        <w:t>o</w:t>
      </w:r>
      <w:r w:rsidR="00A313FA">
        <w:t>C.</w:t>
      </w:r>
      <w:proofErr w:type="spellEnd"/>
      <w:r w:rsidR="005B71D6">
        <w:t xml:space="preserve"> </w:t>
      </w:r>
    </w:p>
    <w:p w14:paraId="4AC62021" w14:textId="5CF86803" w:rsidR="009B41B1" w:rsidRDefault="00544D86" w:rsidP="00667508">
      <w:pPr>
        <w:ind w:left="-6"/>
      </w:pPr>
      <w:r>
        <w:t xml:space="preserve">Vacuum Distillation Unit (VDU) is configured with 20 stages. The top pressure is set at 0.2 bar to resemble a near-vacuum environment, while the column pressure drop is configured at 0.5 bar. A partial condenser is configured with a pressure drop of 0.1 bar and a reflux ratio of 5. </w:t>
      </w:r>
      <w:r w:rsidR="001531FD">
        <w:t xml:space="preserve">The bottom temperature is set at 360 </w:t>
      </w:r>
      <w:proofErr w:type="spellStart"/>
      <w:r w:rsidR="001531FD" w:rsidRPr="001531FD">
        <w:rPr>
          <w:vertAlign w:val="superscript"/>
        </w:rPr>
        <w:t>o</w:t>
      </w:r>
      <w:r w:rsidR="001531FD">
        <w:t>C.</w:t>
      </w:r>
      <w:proofErr w:type="spellEnd"/>
    </w:p>
    <w:p w14:paraId="6DA7ED2D" w14:textId="5F4A590C" w:rsidR="00554B23" w:rsidRDefault="00C8333E" w:rsidP="00554B23">
      <w:pPr>
        <w:ind w:left="-6"/>
      </w:pPr>
      <w:r w:rsidRPr="00C8333E">
        <w:rPr>
          <w:noProof/>
        </w:rPr>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rPr>
          <w:noProof/>
        </w:rPr>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rPr>
          <w:noProof/>
        </w:rPr>
        <w:lastRenderedPageBreak/>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Pr="00F27178"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5368D178" w14:textId="2744CB16" w:rsidR="00667508" w:rsidRDefault="00667508" w:rsidP="00667508">
      <w:pPr>
        <w:pStyle w:val="ListParagraph"/>
        <w:numPr>
          <w:ilvl w:val="1"/>
          <w:numId w:val="15"/>
        </w:numPr>
        <w:ind w:left="426"/>
        <w:rPr>
          <w:i/>
          <w:iCs/>
        </w:rPr>
      </w:pPr>
      <w:r w:rsidRPr="00D440F0">
        <w:rPr>
          <w:i/>
          <w:iCs/>
        </w:rPr>
        <w:t>Reinforcement Learning Architectures</w:t>
      </w:r>
    </w:p>
    <w:p w14:paraId="765060B8" w14:textId="77777777" w:rsidR="000624DC" w:rsidRPr="00D440F0" w:rsidRDefault="000624DC" w:rsidP="000624DC">
      <w:pPr>
        <w:pStyle w:val="ListParagraph"/>
        <w:numPr>
          <w:ilvl w:val="0"/>
          <w:numId w:val="0"/>
        </w:numPr>
        <w:ind w:left="426"/>
        <w:rPr>
          <w:i/>
          <w:iCs/>
        </w:rPr>
      </w:pPr>
    </w:p>
    <w:p w14:paraId="7974B9CE" w14:textId="3D894310" w:rsidR="00D440F0" w:rsidRDefault="00D440F0" w:rsidP="00D440F0">
      <w:pPr>
        <w:pStyle w:val="ListParagraph"/>
        <w:numPr>
          <w:ilvl w:val="2"/>
          <w:numId w:val="15"/>
        </w:numPr>
        <w:ind w:left="426"/>
        <w:rPr>
          <w:i/>
          <w:iCs/>
          <w:sz w:val="20"/>
          <w:szCs w:val="20"/>
        </w:rPr>
      </w:pPr>
      <w:r w:rsidRPr="00E241F1">
        <w:rPr>
          <w:i/>
          <w:iCs/>
          <w:sz w:val="20"/>
          <w:szCs w:val="20"/>
        </w:rPr>
        <w:t>Justification for RL-based Optimization</w:t>
      </w:r>
    </w:p>
    <w:p w14:paraId="11445C55" w14:textId="77777777" w:rsidR="005222DD" w:rsidRDefault="00D317A8" w:rsidP="00D317A8">
      <w:pPr>
        <w:pStyle w:val="ListParagraph"/>
        <w:numPr>
          <w:ilvl w:val="0"/>
          <w:numId w:val="0"/>
        </w:numPr>
        <w:spacing w:before="20"/>
        <w:ind w:left="-142" w:right="-119"/>
      </w:pPr>
      <w:r w:rsidRPr="005F7ACA">
        <w:t xml:space="preserve">The primary driver for implementing a Reinforcement Learning (RL) agent in a distillation context—specifically for the ADU, NSU, and VDU units—is the high sensitivity of process economics to volatile market conditions. Traditional Advanced Process Control (APC) and Model Predictive Control (MPC) systems often focus on maintaining setpoints or optimizing within a fixed linear regime. However, distillation units are the most energy-intensive components of a refinery, and their profitability is defined by the Crude Spread—the difference between the variable cost of feedstocks and the market value of products like Naphtha, Gasoil, and Residue (Sutton &amp; Barto, 2018). An RL agent is uniquely capable of dynamic optimization because it can incorporate a reward function that explicitly represents the instantaneous economic potential: </w:t>
      </w:r>
    </w:p>
    <w:p w14:paraId="19C572FD" w14:textId="54D1D77B" w:rsidR="00D317A8" w:rsidRPr="00D317A8" w:rsidRDefault="00D317A8" w:rsidP="00D317A8">
      <w:pPr>
        <w:pStyle w:val="ListParagraph"/>
        <w:numPr>
          <w:ilvl w:val="0"/>
          <w:numId w:val="0"/>
        </w:numPr>
        <w:spacing w:before="20"/>
        <w:ind w:left="-142" w:right="-119"/>
        <w:rPr>
          <w:rFonts w:eastAsia="Times New Roman"/>
          <w:sz w:val="14"/>
          <w:szCs w:val="14"/>
        </w:rPr>
      </w:pPr>
      <w:r w:rsidRPr="00D317A8">
        <w:rPr>
          <w:rFonts w:ascii="Cambria Math" w:eastAsia="Times New Roman" w:hAnsi="Cambria Math"/>
          <w:i/>
          <w:sz w:val="14"/>
          <w:szCs w:val="14"/>
        </w:rPr>
        <w:br/>
      </w:r>
      <m:oMathPara>
        <m:oMath>
          <m:sSub>
            <m:sSubPr>
              <m:ctrlPr>
                <w:rPr>
                  <w:rFonts w:ascii="Cambria Math" w:eastAsia="Times New Roman" w:hAnsi="Cambria Math"/>
                  <w:i/>
                  <w:sz w:val="14"/>
                  <w:szCs w:val="14"/>
                </w:rPr>
              </m:ctrlPr>
            </m:sSubPr>
            <m:e>
              <m:r>
                <w:rPr>
                  <w:rFonts w:ascii="Cambria Math" w:eastAsia="Times New Roman" w:hAnsi="Cambria Math"/>
                  <w:sz w:val="14"/>
                  <w:szCs w:val="14"/>
                </w:rPr>
                <m:t>R</m:t>
              </m:r>
            </m:e>
            <m:sub>
              <m:r>
                <w:rPr>
                  <w:rFonts w:ascii="Cambria Math" w:eastAsia="Times New Roman" w:hAnsi="Cambria Math"/>
                  <w:sz w:val="14"/>
                  <w:szCs w:val="14"/>
                </w:rPr>
                <m:t>t</m:t>
              </m:r>
            </m:sub>
          </m:sSub>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p ∈Products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p</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V</m:t>
                      </m:r>
                    </m:e>
                    <m:sub>
                      <m:r>
                        <w:rPr>
                          <w:rFonts w:ascii="Cambria Math" w:eastAsia="Times New Roman" w:hAnsi="Cambria Math"/>
                          <w:sz w:val="14"/>
                          <w:szCs w:val="14"/>
                        </w:rPr>
                        <m:t>p</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u ∈Utilities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u</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C</m:t>
                      </m:r>
                    </m:e>
                    <m:sub>
                      <m:r>
                        <w:rPr>
                          <w:rFonts w:ascii="Cambria Math" w:eastAsia="Times New Roman" w:hAnsi="Cambria Math"/>
                          <w:sz w:val="14"/>
                          <w:szCs w:val="14"/>
                        </w:rPr>
                        <m:t>u</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c ∈Constraints</m:t>
              </m:r>
            </m:sub>
            <m:sup/>
            <m:e>
              <m:sSub>
                <m:sSubPr>
                  <m:ctrlPr>
                    <w:rPr>
                      <w:rFonts w:ascii="Cambria Math" w:eastAsia="Times New Roman" w:hAnsi="Cambria Math"/>
                      <w:i/>
                      <w:sz w:val="14"/>
                      <w:szCs w:val="14"/>
                    </w:rPr>
                  </m:ctrlPr>
                </m:sSubPr>
                <m:e>
                  <m:r>
                    <w:rPr>
                      <w:rFonts w:ascii="Cambria Math" w:eastAsia="Times New Roman" w:hAnsi="Cambria Math"/>
                      <w:sz w:val="14"/>
                      <w:szCs w:val="14"/>
                    </w:rPr>
                    <m:t>λ</m:t>
                  </m:r>
                </m:e>
                <m:sub>
                  <m:r>
                    <w:rPr>
                      <w:rFonts w:ascii="Cambria Math" w:eastAsia="Times New Roman" w:hAnsi="Cambria Math"/>
                      <w:sz w:val="14"/>
                      <w:szCs w:val="14"/>
                    </w:rPr>
                    <m:t>c</m:t>
                  </m:r>
                </m:sub>
              </m:sSub>
              <m:r>
                <w:rPr>
                  <w:rFonts w:ascii="Cambria Math" w:eastAsia="Times New Roman" w:hAnsi="Cambria Math"/>
                  <w:sz w:val="14"/>
                  <w:szCs w:val="14"/>
                </w:rPr>
                <m:t xml:space="preserve"> .</m:t>
              </m:r>
              <m:func>
                <m:funcPr>
                  <m:ctrlPr>
                    <w:rPr>
                      <w:rFonts w:ascii="Cambria Math" w:eastAsia="Times New Roman" w:hAnsi="Cambria Math"/>
                      <w:i/>
                      <w:sz w:val="14"/>
                      <w:szCs w:val="14"/>
                    </w:rPr>
                  </m:ctrlPr>
                </m:funcPr>
                <m:fName>
                  <m:r>
                    <m:rPr>
                      <m:sty m:val="p"/>
                    </m:rPr>
                    <w:rPr>
                      <w:rFonts w:ascii="Cambria Math" w:eastAsia="Times New Roman" w:hAnsi="Cambria Math"/>
                      <w:sz w:val="14"/>
                      <w:szCs w:val="14"/>
                    </w:rPr>
                    <m:t>max</m:t>
                  </m:r>
                </m:fName>
                <m:e>
                  <m:r>
                    <w:rPr>
                      <w:rFonts w:ascii="Cambria Math" w:eastAsia="Times New Roman" w:hAnsi="Cambria Math"/>
                      <w:sz w:val="14"/>
                      <w:szCs w:val="14"/>
                    </w:rPr>
                    <m:t xml:space="preserve">(0, </m:t>
                  </m:r>
                  <m:sSub>
                    <m:sSubPr>
                      <m:ctrlPr>
                        <w:rPr>
                          <w:rFonts w:ascii="Cambria Math" w:eastAsia="Times New Roman" w:hAnsi="Cambria Math"/>
                          <w:i/>
                          <w:sz w:val="14"/>
                          <w:szCs w:val="14"/>
                        </w:rPr>
                      </m:ctrlPr>
                    </m:sSubPr>
                    <m:e>
                      <m:r>
                        <w:rPr>
                          <w:rFonts w:ascii="Cambria Math" w:eastAsia="Times New Roman" w:hAnsi="Cambria Math"/>
                          <w:sz w:val="14"/>
                          <w:szCs w:val="14"/>
                        </w:rPr>
                        <m:t>g</m:t>
                      </m:r>
                    </m:e>
                    <m:sub>
                      <m:r>
                        <w:rPr>
                          <w:rFonts w:ascii="Cambria Math" w:eastAsia="Times New Roman" w:hAnsi="Cambria Math"/>
                          <w:sz w:val="14"/>
                          <w:szCs w:val="14"/>
                        </w:rPr>
                        <m:t>c</m:t>
                      </m:r>
                    </m:sub>
                  </m:sSub>
                  <m:d>
                    <m:dPr>
                      <m:ctrlPr>
                        <w:rPr>
                          <w:rFonts w:ascii="Cambria Math" w:eastAsia="Times New Roman" w:hAnsi="Cambria Math"/>
                          <w:i/>
                          <w:sz w:val="14"/>
                          <w:szCs w:val="14"/>
                        </w:rPr>
                      </m:ctrlPr>
                    </m:dPr>
                    <m:e>
                      <m:r>
                        <w:rPr>
                          <w:rFonts w:ascii="Cambria Math" w:eastAsia="Times New Roman" w:hAnsi="Cambria Math"/>
                          <w:sz w:val="14"/>
                          <w:szCs w:val="14"/>
                        </w:rPr>
                        <m:t>s</m:t>
                      </m:r>
                    </m:e>
                  </m:d>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limit</m:t>
                      </m:r>
                    </m:e>
                    <m:sub>
                      <m:r>
                        <w:rPr>
                          <w:rFonts w:ascii="Cambria Math" w:eastAsia="Times New Roman" w:hAnsi="Cambria Math"/>
                          <w:sz w:val="14"/>
                          <w:szCs w:val="14"/>
                        </w:rPr>
                        <m:t>c</m:t>
                      </m:r>
                    </m:sub>
                  </m:sSub>
                  <m:r>
                    <w:rPr>
                      <w:rFonts w:ascii="Cambria Math" w:eastAsia="Times New Roman" w:hAnsi="Cambria Math"/>
                      <w:sz w:val="14"/>
                      <w:szCs w:val="14"/>
                    </w:rPr>
                    <m:t>)</m:t>
                  </m:r>
                </m:e>
              </m:func>
              <m:r>
                <w:rPr>
                  <w:rFonts w:ascii="Cambria Math" w:eastAsia="Times New Roman" w:hAnsi="Cambria Math"/>
                  <w:sz w:val="14"/>
                  <w:szCs w:val="14"/>
                </w:rPr>
                <m:t xml:space="preserve"> </m:t>
              </m:r>
            </m:e>
          </m:nary>
        </m:oMath>
      </m:oMathPara>
    </w:p>
    <w:p w14:paraId="3AC28E17" w14:textId="77777777" w:rsidR="005222DD" w:rsidRDefault="005222DD" w:rsidP="00D317A8">
      <w:pPr>
        <w:pStyle w:val="ListParagraph"/>
        <w:numPr>
          <w:ilvl w:val="0"/>
          <w:numId w:val="0"/>
        </w:numPr>
        <w:ind w:left="-142"/>
      </w:pPr>
    </w:p>
    <w:p w14:paraId="38A1BAB9" w14:textId="362EC183" w:rsidR="00D317A8" w:rsidRDefault="00D317A8" w:rsidP="00D317A8">
      <w:pPr>
        <w:pStyle w:val="ListParagraph"/>
        <w:numPr>
          <w:ilvl w:val="0"/>
          <w:numId w:val="0"/>
        </w:numPr>
        <w:ind w:left="-142"/>
      </w:pPr>
      <w:r w:rsidRPr="005F7ACA">
        <w:t>By training in a high-fidelity environment like DWSIM, the agent learns to shift cut points and adjust reflux ratios in real-time as market prices fluctuate, capturing lost profit that static controllers miss during transition states or shifts in crude composition (Shin et al., 2019).</w:t>
      </w:r>
    </w:p>
    <w:p w14:paraId="5C8599C2" w14:textId="77777777" w:rsidR="00D317A8" w:rsidRDefault="00D317A8" w:rsidP="00D317A8">
      <w:pPr>
        <w:pStyle w:val="ListParagraph"/>
        <w:numPr>
          <w:ilvl w:val="0"/>
          <w:numId w:val="0"/>
        </w:numPr>
        <w:ind w:left="-142"/>
      </w:pPr>
    </w:p>
    <w:p w14:paraId="229176F1" w14:textId="77777777" w:rsidR="00D317A8" w:rsidRDefault="00D317A8" w:rsidP="00D317A8">
      <w:pPr>
        <w:pStyle w:val="ListParagraph"/>
        <w:numPr>
          <w:ilvl w:val="0"/>
          <w:numId w:val="0"/>
        </w:numPr>
        <w:ind w:left="-142"/>
      </w:pPr>
    </w:p>
    <w:p w14:paraId="4F9BD4C3" w14:textId="77777777" w:rsidR="00D317A8" w:rsidRPr="00D317A8" w:rsidRDefault="00D317A8" w:rsidP="00D317A8">
      <w:pPr>
        <w:pStyle w:val="ListParagraph"/>
        <w:numPr>
          <w:ilvl w:val="0"/>
          <w:numId w:val="0"/>
        </w:numPr>
        <w:ind w:left="-142"/>
        <w:rPr>
          <w:sz w:val="20"/>
          <w:szCs w:val="20"/>
        </w:rPr>
      </w:pPr>
    </w:p>
    <w:p w14:paraId="64E5DE8B" w14:textId="09419846" w:rsidR="00AB64BA" w:rsidRPr="00554621" w:rsidRDefault="00D317A8" w:rsidP="00554621">
      <w:pPr>
        <w:pStyle w:val="ListParagraph"/>
        <w:numPr>
          <w:ilvl w:val="2"/>
          <w:numId w:val="15"/>
        </w:numPr>
        <w:ind w:left="426"/>
        <w:rPr>
          <w:i/>
          <w:iCs/>
          <w:sz w:val="20"/>
          <w:szCs w:val="20"/>
        </w:rPr>
      </w:pPr>
      <w:r w:rsidRPr="00D317A8">
        <w:rPr>
          <w:i/>
          <w:iCs/>
          <w:sz w:val="20"/>
          <w:szCs w:val="20"/>
        </w:rPr>
        <w:t>Problem Formulation</w:t>
      </w:r>
    </w:p>
    <w:p w14:paraId="111BCE78" w14:textId="43AB3E68" w:rsidR="00AB64BA" w:rsidRPr="00AB64BA" w:rsidRDefault="00A32D6D" w:rsidP="00AB64BA">
      <w:pPr>
        <w:ind w:left="-78"/>
        <w:rPr>
          <w:sz w:val="20"/>
          <w:szCs w:val="20"/>
        </w:rPr>
      </w:pPr>
      <w:r w:rsidRPr="005F7ACA">
        <w:rPr>
          <w:lang w:val="en-IN"/>
        </w:rPr>
        <w:t>The optimization of a distillation sequence is formulated as a Model-Free Reinforcement Learning problem, specifically categorized as a Continuous State-Action Markov Decision Process (MDP). In this framework, the state space</w:t>
      </w:r>
      <w:r w:rsidR="00D16E00">
        <w:rPr>
          <w:lang w:val="en-IN"/>
        </w:rPr>
        <w:t xml:space="preserve"> </w:t>
      </w:r>
      <m:oMath>
        <m:r>
          <w:rPr>
            <w:rFonts w:ascii="Cambria Math" w:hAnsi="Cambria Math"/>
            <w:lang w:val="en-IN"/>
          </w:rPr>
          <m:t>S</m:t>
        </m:r>
      </m:oMath>
      <w:r w:rsidRPr="005F7ACA">
        <w:rPr>
          <w:lang w:val="en-IN"/>
        </w:rPr>
        <w:t xml:space="preserve"> is defined by high-dimensional process variables, including stage temperatures, pressures, and molar fractions across the 40-stage columns. The action space</w:t>
      </w:r>
      <w:r w:rsidR="009F5311">
        <w:rPr>
          <w:lang w:val="en-IN"/>
        </w:rPr>
        <w:t xml:space="preserve"> </w:t>
      </w:r>
      <m:oMath>
        <m:r>
          <w:rPr>
            <w:rFonts w:ascii="Cambria Math" w:hAnsi="Cambria Math"/>
            <w:lang w:val="en-IN"/>
          </w:rPr>
          <m:t>A</m:t>
        </m:r>
      </m:oMath>
      <w:r w:rsidR="009F5311">
        <w:rPr>
          <w:lang w:val="en-IN"/>
        </w:rPr>
        <w:t xml:space="preserve"> </w:t>
      </w:r>
      <w:r w:rsidRPr="005F7ACA">
        <w:rPr>
          <w:lang w:val="en-IN"/>
        </w:rPr>
        <w:t>is continuous, consisting of setpoint adjustments for reflux ratios, reboiler duties, and pump-around flow rates. This problem is particularly challenging due to the non-linear dynamics and the delayed feedback inherent in chemical processes; an action taken at time</w:t>
      </w:r>
      <w:r w:rsidR="00E739DC">
        <w:rPr>
          <w:lang w:val="en-IN"/>
        </w:rPr>
        <w:t xml:space="preserve"> </w:t>
      </w:r>
      <m:oMath>
        <m:r>
          <w:rPr>
            <w:rFonts w:ascii="Cambria Math" w:hAnsi="Cambria Math"/>
            <w:lang w:val="en-IN"/>
          </w:rPr>
          <m:t>t</m:t>
        </m:r>
      </m:oMath>
      <w:r w:rsidRPr="005F7ACA">
        <w:rPr>
          <w:lang w:val="en-IN"/>
        </w:rPr>
        <w:t xml:space="preserve"> may not manifest its full effect on product purity until</w:t>
      </w:r>
      <w:r w:rsidR="00BD5737">
        <w:rPr>
          <w:lang w:val="en-IN"/>
        </w:rPr>
        <w:t xml:space="preserve"> </w:t>
      </w:r>
      <m:oMath>
        <m:r>
          <w:rPr>
            <w:rFonts w:ascii="Cambria Math" w:hAnsi="Cambria Math"/>
            <w:lang w:val="en-IN"/>
          </w:rPr>
          <m:t>t+n</m:t>
        </m:r>
      </m:oMath>
      <w:r w:rsidRPr="005F7ACA">
        <w:rPr>
          <w:lang w:val="en-IN"/>
        </w:rPr>
        <w:t>. Because the underlying transition dynamics</w:t>
      </w:r>
      <w:r w:rsidR="00881516">
        <w:rPr>
          <w:lang w:val="en-IN"/>
        </w:rPr>
        <w:t xml:space="preserve"> </w:t>
      </w:r>
      <m:oMath>
        <m:r>
          <w:rPr>
            <w:rFonts w:ascii="Cambria Math" w:hAnsi="Cambria Math"/>
            <w:lang w:val="en-IN"/>
          </w:rPr>
          <m:t>P (</m:t>
        </m:r>
        <m:sSup>
          <m:sSupPr>
            <m:ctrlPr>
              <w:rPr>
                <w:rFonts w:ascii="Cambria Math" w:hAnsi="Cambria Math"/>
                <w:i/>
                <w:lang w:val="en-IN"/>
              </w:rPr>
            </m:ctrlPr>
          </m:sSupPr>
          <m:e>
            <m:r>
              <w:rPr>
                <w:rFonts w:ascii="Cambria Math" w:hAnsi="Cambria Math"/>
                <w:lang w:val="en-IN"/>
              </w:rPr>
              <m:t>s</m:t>
            </m:r>
          </m:e>
          <m:sup>
            <m:r>
              <w:rPr>
                <w:rFonts w:ascii="Cambria Math" w:hAnsi="Cambria Math"/>
                <w:lang w:val="en-IN"/>
              </w:rPr>
              <m:t>'</m:t>
            </m:r>
          </m:sup>
        </m:sSup>
        <m:r>
          <w:rPr>
            <w:rFonts w:ascii="Cambria Math" w:hAnsi="Cambria Math"/>
            <w:lang w:val="en-IN"/>
          </w:rPr>
          <m:t>|s, a)</m:t>
        </m:r>
      </m:oMath>
      <w:r w:rsidRPr="005F7ACA">
        <w:rPr>
          <w:lang w:val="en-IN"/>
        </w:rPr>
        <w:t xml:space="preserve"> of a CDU are governed by complex thermodynamics (such as the Peng-Robinson or NRTL models), they are difficult to model analytically for control. Thus, model-free RL is employed to learn the optimal policy </w:t>
      </w:r>
      <m:oMath>
        <m:r>
          <w:rPr>
            <w:rFonts w:ascii="Cambria Math" w:eastAsia="Times New Roman" w:hAnsi="Cambria Math" w:cs="Times New Roman"/>
          </w:rPr>
          <m:t>π(a|s)</m:t>
        </m:r>
      </m:oMath>
      <w:r w:rsidR="00FA6CB6">
        <w:rPr>
          <w:rFonts w:eastAsia="Times New Roman" w:cs="Times New Roman"/>
        </w:rPr>
        <w:t xml:space="preserve"> </w:t>
      </w:r>
      <w:r w:rsidRPr="005F7ACA">
        <w:rPr>
          <w:lang w:val="en-IN"/>
        </w:rPr>
        <w:t xml:space="preserve"> through direct interaction with the simulator (Hubbs et al., 2020).</w:t>
      </w:r>
    </w:p>
    <w:p w14:paraId="14ECF0D7" w14:textId="77777777" w:rsidR="00AB64BA" w:rsidRPr="00AB64BA" w:rsidRDefault="00AB64BA" w:rsidP="00AB64BA">
      <w:pPr>
        <w:ind w:left="-78"/>
        <w:rPr>
          <w:i/>
          <w:iCs/>
          <w:sz w:val="20"/>
          <w:szCs w:val="20"/>
        </w:rPr>
      </w:pPr>
    </w:p>
    <w:p w14:paraId="482FBF0F" w14:textId="591AB084" w:rsidR="00330E48" w:rsidRPr="0038736F" w:rsidRDefault="00AB64BA" w:rsidP="0038736F">
      <w:pPr>
        <w:pStyle w:val="ListParagraph"/>
        <w:numPr>
          <w:ilvl w:val="2"/>
          <w:numId w:val="15"/>
        </w:numPr>
        <w:ind w:left="426"/>
        <w:rPr>
          <w:i/>
          <w:iCs/>
          <w:sz w:val="20"/>
          <w:szCs w:val="20"/>
        </w:rPr>
      </w:pPr>
      <w:r w:rsidRPr="00AB64BA">
        <w:rPr>
          <w:i/>
          <w:iCs/>
          <w:sz w:val="20"/>
          <w:szCs w:val="20"/>
        </w:rPr>
        <w:t>Candidate Algorithms and Selection Rationale</w:t>
      </w:r>
    </w:p>
    <w:p w14:paraId="5A5883D9" w14:textId="0F90DBC2" w:rsidR="00330E48" w:rsidRPr="004245F9" w:rsidRDefault="00330E48" w:rsidP="00330E48">
      <w:pPr>
        <w:ind w:left="-6"/>
        <w:rPr>
          <w:lang w:val="en-IN"/>
        </w:rPr>
      </w:pPr>
      <w:r w:rsidRPr="004245F9">
        <w:rPr>
          <w:lang w:val="en-IN"/>
        </w:rPr>
        <w:t xml:space="preserve">For this </w:t>
      </w:r>
      <w:r w:rsidR="00C16A1B">
        <w:rPr>
          <w:lang w:val="en-IN"/>
        </w:rPr>
        <w:t>study</w:t>
      </w:r>
      <w:r w:rsidRPr="004245F9">
        <w:rPr>
          <w:lang w:val="en-IN"/>
        </w:rPr>
        <w:t>, three state-of-the-art Deep RL architectures were selected for benchmarking: Proximal Policy Optimization (PPO), Soft Actor-Critic (SAC), and Twin Delayed Deep Deterministic Policy Gradient (TD3). These were chosen because they are specifically designed to handle the curse of dimensionality and the continuous nature of chemical process control</w:t>
      </w:r>
      <w:r w:rsidR="00A23D7B">
        <w:rPr>
          <w:lang w:val="en-IN"/>
        </w:rPr>
        <w:t xml:space="preserve"> </w:t>
      </w:r>
      <w:r w:rsidR="00A23D7B" w:rsidRPr="00A23D7B">
        <w:t>(Hubbs et al., 2020)</w:t>
      </w:r>
      <w:r w:rsidRPr="004245F9">
        <w:rPr>
          <w:lang w:val="en-IN"/>
        </w:rPr>
        <w:t>.</w:t>
      </w:r>
    </w:p>
    <w:p w14:paraId="10C70BB4" w14:textId="153A917E" w:rsidR="00330E48" w:rsidRPr="004245F9" w:rsidRDefault="00330E48" w:rsidP="00330E48">
      <w:pPr>
        <w:ind w:left="-6"/>
        <w:rPr>
          <w:lang w:val="en-IN"/>
        </w:rPr>
      </w:pPr>
      <w:r w:rsidRPr="004245F9">
        <w:rPr>
          <w:b/>
          <w:bCs/>
          <w:lang w:val="en-IN"/>
        </w:rPr>
        <w:t>1. Proximal Policy Optimization (PPO):</w:t>
      </w:r>
      <w:r w:rsidRPr="004245F9">
        <w:rPr>
          <w:lang w:val="en-IN"/>
        </w:rPr>
        <w:t xml:space="preserve"> PPO was selected for its industry-standard stability and </w:t>
      </w:r>
      <w:r w:rsidRPr="004245F9">
        <w:rPr>
          <w:lang w:val="en-IN"/>
        </w:rPr>
        <w:lastRenderedPageBreak/>
        <w:t>ease of tuning. As an on-policy algorithm, PPO ensures that policy updates do not deviate too far from the previous iteration by using a clipped objective function. This prevents the collapse of the simulation—a common issue in DWSIM when radical setpoint changes lead to non-convergence</w:t>
      </w:r>
      <w:r w:rsidR="00DD1022">
        <w:rPr>
          <w:lang w:val="en-IN"/>
        </w:rPr>
        <w:t>.</w:t>
      </w:r>
      <w:r w:rsidRPr="004245F9">
        <w:rPr>
          <w:lang w:val="en-IN"/>
        </w:rPr>
        <w:t xml:space="preserve"> PPO strikes a balance between ease of implementation and robust performance in high-dimensional spaces (Schulman et al., 2017).</w:t>
      </w:r>
    </w:p>
    <w:p w14:paraId="3F18B323" w14:textId="77777777" w:rsidR="00330E48" w:rsidRPr="004245F9" w:rsidRDefault="00330E48" w:rsidP="00330E48">
      <w:pPr>
        <w:ind w:left="-6"/>
        <w:rPr>
          <w:lang w:val="en-IN"/>
        </w:rPr>
      </w:pPr>
      <w:r w:rsidRPr="004245F9">
        <w:rPr>
          <w:b/>
          <w:bCs/>
          <w:lang w:val="en-IN"/>
        </w:rPr>
        <w:t>2. Soft Actor-Critic (SAC):</w:t>
      </w:r>
      <w:r w:rsidRPr="004245F9">
        <w:rPr>
          <w:lang w:val="en-IN"/>
        </w:rPr>
        <w:t xml:space="preserve"> SAC was chosen for its superior sample efficiency and exploration capabilities. Unlike deterministic algorithms, SAC utilizes an "entropy-regularized" framework where the agent is rewarded not only for maximizing profit but also for acting as randomly as possible (maximizing entropy). In the context of distillation, this encourages the agent to discover unconventional operating windows that might be more profitable but are far from the standard operating procedures (</w:t>
      </w:r>
      <w:proofErr w:type="spellStart"/>
      <w:r w:rsidRPr="004245F9">
        <w:rPr>
          <w:lang w:val="en-IN"/>
        </w:rPr>
        <w:t>Haarnoja</w:t>
      </w:r>
      <w:proofErr w:type="spellEnd"/>
      <w:r w:rsidRPr="004245F9">
        <w:rPr>
          <w:lang w:val="en-IN"/>
        </w:rPr>
        <w:t xml:space="preserve"> et al., 2018).</w:t>
      </w:r>
    </w:p>
    <w:p w14:paraId="51F5B61E" w14:textId="319D08C7" w:rsidR="00330E48" w:rsidRPr="00330E48" w:rsidRDefault="00330E48" w:rsidP="00330E48">
      <w:pPr>
        <w:ind w:left="-78"/>
        <w:rPr>
          <w:i/>
          <w:iCs/>
          <w:sz w:val="20"/>
          <w:szCs w:val="20"/>
        </w:rPr>
      </w:pPr>
      <w:r w:rsidRPr="004245F9">
        <w:rPr>
          <w:b/>
          <w:bCs/>
          <w:lang w:val="en-IN"/>
        </w:rPr>
        <w:t>3. Twin Delayed Deep Deterministic Policy Gradient (TD3):</w:t>
      </w:r>
      <w:r w:rsidRPr="004245F9">
        <w:rPr>
          <w:lang w:val="en-IN"/>
        </w:rPr>
        <w:t xml:space="preserve"> TD3 was included to address the systematic overestimation of value functions (Q-values) common in earlier algorithms like DDPG. By using two critic networks and delaying policy updates, TD3 provides a more conservative and accurate estimate of the long-term economic value of a process state. This is critical in refinery operations </w:t>
      </w:r>
      <w:proofErr w:type="gramStart"/>
      <w:r w:rsidRPr="004245F9">
        <w:rPr>
          <w:lang w:val="en-IN"/>
        </w:rPr>
        <w:t>where</w:t>
      </w:r>
      <w:proofErr w:type="gramEnd"/>
      <w:r w:rsidRPr="004245F9">
        <w:rPr>
          <w:lang w:val="en-IN"/>
        </w:rPr>
        <w:t xml:space="preserve"> overestimating the benefit of a setpoint change could lead to off-spec products and significant financial loss (Fujimoto et al., 2018).</w:t>
      </w:r>
    </w:p>
    <w:p w14:paraId="71DEA993" w14:textId="77777777" w:rsidR="00330E48" w:rsidRPr="00330E48" w:rsidRDefault="00330E48" w:rsidP="00330E48">
      <w:pPr>
        <w:rPr>
          <w:i/>
          <w:iCs/>
          <w:sz w:val="20"/>
          <w:szCs w:val="20"/>
        </w:rPr>
      </w:pPr>
    </w:p>
    <w:p w14:paraId="081BF97A" w14:textId="282B5072" w:rsidR="00330E48" w:rsidRPr="00D317A8" w:rsidRDefault="00330E48" w:rsidP="00D317A8">
      <w:pPr>
        <w:pStyle w:val="ListParagraph"/>
        <w:numPr>
          <w:ilvl w:val="2"/>
          <w:numId w:val="15"/>
        </w:numPr>
        <w:ind w:left="426"/>
        <w:rPr>
          <w:i/>
          <w:iCs/>
          <w:sz w:val="20"/>
          <w:szCs w:val="20"/>
        </w:rPr>
      </w:pPr>
      <w:r w:rsidRPr="00330E48">
        <w:rPr>
          <w:i/>
          <w:iCs/>
          <w:sz w:val="20"/>
          <w:szCs w:val="20"/>
        </w:rPr>
        <w:t>Technical Mechanics of Candidate Algorithms</w:t>
      </w:r>
    </w:p>
    <w:p w14:paraId="7380D434" w14:textId="35331A99" w:rsidR="005F7ACA" w:rsidRPr="005F7ACA" w:rsidRDefault="00330E48" w:rsidP="00330E48">
      <w:pPr>
        <w:rPr>
          <w:lang w:val="en-IN"/>
        </w:rPr>
      </w:pPr>
      <w:r w:rsidRPr="00330E48">
        <w:rPr>
          <w:lang w:val="en-IN"/>
        </w:rPr>
        <w:t>Proximal Policy Optimization (PPO) Mechanics:</w:t>
      </w:r>
      <w:r w:rsidR="00044F36">
        <w:rPr>
          <w:lang w:val="en-IN"/>
        </w:rPr>
        <w:t xml:space="preserve"> </w:t>
      </w:r>
      <w:r w:rsidRPr="00330E48">
        <w:rPr>
          <w:lang w:val="en-IN"/>
        </w:rPr>
        <w:t>PPO operates on the principle of a Trust Region, but simplifies the computation through a surrogate loss function. It calculates the probability ratio between the new policy and the old policy,</w:t>
      </w:r>
      <w:r w:rsidR="00116FBA">
        <w:rPr>
          <w:lang w:val="en-IN"/>
        </w:rPr>
        <w:t xml:space="preserve"> </w:t>
      </w:r>
      <m:oMath>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r>
          <w:rPr>
            <w:rFonts w:ascii="Cambria Math" w:hAnsi="Cambria Math"/>
            <w:lang w:val="en-IN"/>
          </w:rPr>
          <m:t>(θ)</m:t>
        </m:r>
      </m:oMath>
      <w:r w:rsidRPr="00330E48">
        <w:rPr>
          <w:lang w:val="en-IN"/>
        </w:rPr>
        <w:t xml:space="preserve">. To ensure the update is incremental, it clips this ratio within a range </w:t>
      </w:r>
      <w:r w:rsidR="009E46F8">
        <w:rPr>
          <w:lang w:val="en-IN"/>
        </w:rPr>
        <w:t>(typically [0.8, 1.2])</w:t>
      </w:r>
      <w:r w:rsidRPr="00330E48">
        <w:rPr>
          <w:lang w:val="en-IN"/>
        </w:rPr>
        <w:t xml:space="preserve">. </w:t>
      </w:r>
      <w:r w:rsidRPr="00330E48">
        <w:rPr>
          <w:lang w:val="en-IN"/>
        </w:rPr>
        <w:t xml:space="preserve">Mathematically, the objective is </w:t>
      </w:r>
      <m:oMath>
        <m:sSup>
          <m:sSupPr>
            <m:ctrlPr>
              <w:rPr>
                <w:rFonts w:ascii="Cambria Math" w:hAnsi="Cambria Math"/>
                <w:i/>
                <w:lang w:val="en-IN"/>
              </w:rPr>
            </m:ctrlPr>
          </m:sSupPr>
          <m:e>
            <m:r>
              <w:rPr>
                <w:rFonts w:ascii="Cambria Math" w:hAnsi="Cambria Math"/>
                <w:lang w:val="en-IN"/>
              </w:rPr>
              <m:t>L</m:t>
            </m:r>
          </m:e>
          <m:sup>
            <m:r>
              <w:rPr>
                <w:rFonts w:ascii="Cambria Math" w:hAnsi="Cambria Math"/>
                <w:lang w:val="en-IN"/>
              </w:rPr>
              <m:t>CLIP</m:t>
            </m:r>
          </m:sup>
        </m:sSup>
        <m:d>
          <m:dPr>
            <m:ctrlPr>
              <w:rPr>
                <w:rFonts w:ascii="Cambria Math" w:hAnsi="Cambria Math"/>
                <w:i/>
                <w:lang w:val="en-IN"/>
              </w:rPr>
            </m:ctrlPr>
          </m:dPr>
          <m:e>
            <m:r>
              <w:rPr>
                <w:rFonts w:ascii="Cambria Math" w:hAnsi="Cambria Math"/>
                <w:lang w:val="en-IN"/>
              </w:rPr>
              <m:t>θ</m:t>
            </m:r>
          </m:e>
        </m:d>
        <m:r>
          <w:rPr>
            <w:rFonts w:ascii="Cambria Math" w:hAnsi="Cambria Math"/>
            <w:lang w:val="en-IN"/>
          </w:rPr>
          <m:t>=</m:t>
        </m:r>
      </m:oMath>
      <w:r w:rsidRPr="00330E48">
        <w:rPr>
          <w:lang w:val="en-IN"/>
        </w:rPr>
        <w:t>, where $\hat{A}_t$ is the estimated advantage. This mechanism ensures that the distillation agent does not make catastrophic changes to the reflux or heat duties based on a single "lucky" episode (Schulman et al., 2017).</w:t>
      </w:r>
      <w:r w:rsidR="00103FB5">
        <w:rPr>
          <w:lang w:val="en-IN"/>
        </w:rPr>
        <w:t xml:space="preserve"> </w:t>
      </w:r>
      <w:r w:rsidRPr="00330E48">
        <w:rPr>
          <w:lang w:val="en-IN"/>
        </w:rPr>
        <w:t>Soft Actor-Critic (SAC) Mechanics:</w:t>
      </w:r>
      <w:r w:rsidR="00686B07">
        <w:rPr>
          <w:lang w:val="en-IN"/>
        </w:rPr>
        <w:t xml:space="preserve"> </w:t>
      </w:r>
      <w:r w:rsidRPr="00330E48">
        <w:rPr>
          <w:lang w:val="en-IN"/>
        </w:rPr>
        <w:t>SAC is an off-policy, actor-critic algorithm that incorporates an alpha ($\alpha$) parameter to control the temperature of the entropy term. The value function includes an entropy term $H(\pi(\cdot|s_t</w:t>
      </w:r>
      <w:proofErr w:type="gramStart"/>
      <w:r w:rsidRPr="00330E48">
        <w:rPr>
          <w:lang w:val="en-IN"/>
        </w:rPr>
        <w:t>))$</w:t>
      </w:r>
      <w:proofErr w:type="gramEnd"/>
      <w:r w:rsidRPr="00330E48">
        <w:rPr>
          <w:lang w:val="en-IN"/>
        </w:rPr>
        <w:t>, leading to the objective $J(\pi) = \sum_{t=</w:t>
      </w:r>
      <w:proofErr w:type="gramStart"/>
      <w:r w:rsidRPr="00330E48">
        <w:rPr>
          <w:lang w:val="en-IN"/>
        </w:rPr>
        <w:t>0}^</w:t>
      </w:r>
      <w:proofErr w:type="gramEnd"/>
      <w:r w:rsidRPr="00330E48">
        <w:rPr>
          <w:lang w:val="en-IN"/>
        </w:rPr>
        <w:t>{T} \</w:t>
      </w:r>
      <w:proofErr w:type="spellStart"/>
      <w:r w:rsidRPr="00330E48">
        <w:rPr>
          <w:lang w:val="en-IN"/>
        </w:rPr>
        <w:t>mathbb</w:t>
      </w:r>
      <w:proofErr w:type="spellEnd"/>
      <w:r w:rsidRPr="00330E48">
        <w:rPr>
          <w:lang w:val="en-IN"/>
        </w:rPr>
        <w:t>{E}</w:t>
      </w:r>
      <w:proofErr w:type="gramStart"/>
      <w:r w:rsidRPr="00330E48">
        <w:rPr>
          <w:lang w:val="en-IN"/>
        </w:rPr>
        <w:t>_{</w:t>
      </w:r>
      <w:proofErr w:type="gramEnd"/>
      <w:r w:rsidRPr="00330E48">
        <w:rPr>
          <w:lang w:val="en-IN"/>
        </w:rPr>
        <w:t>(</w:t>
      </w:r>
      <w:proofErr w:type="spellStart"/>
      <w:r w:rsidRPr="00330E48">
        <w:rPr>
          <w:lang w:val="en-IN"/>
        </w:rPr>
        <w:t>s_t</w:t>
      </w:r>
      <w:proofErr w:type="spellEnd"/>
      <w:r w:rsidRPr="00330E48">
        <w:rPr>
          <w:lang w:val="en-IN"/>
        </w:rPr>
        <w:t xml:space="preserve">, </w:t>
      </w:r>
      <w:proofErr w:type="spellStart"/>
      <w:r w:rsidRPr="00330E48">
        <w:rPr>
          <w:lang w:val="en-IN"/>
        </w:rPr>
        <w:t>a_t</w:t>
      </w:r>
      <w:proofErr w:type="spellEnd"/>
      <w:r w:rsidRPr="00330E48">
        <w:rPr>
          <w:lang w:val="en-IN"/>
        </w:rPr>
        <w:t>) \sim \rho_\pi} [</w:t>
      </w:r>
      <w:proofErr w:type="gramStart"/>
      <w:r w:rsidRPr="00330E48">
        <w:rPr>
          <w:lang w:val="en-IN"/>
        </w:rPr>
        <w:t>r(</w:t>
      </w:r>
      <w:proofErr w:type="spellStart"/>
      <w:proofErr w:type="gramEnd"/>
      <w:r w:rsidRPr="00330E48">
        <w:rPr>
          <w:lang w:val="en-IN"/>
        </w:rPr>
        <w:t>s_t</w:t>
      </w:r>
      <w:proofErr w:type="spellEnd"/>
      <w:r w:rsidRPr="00330E48">
        <w:rPr>
          <w:lang w:val="en-IN"/>
        </w:rPr>
        <w:t xml:space="preserve">, </w:t>
      </w:r>
      <w:proofErr w:type="spellStart"/>
      <w:r w:rsidRPr="00330E48">
        <w:rPr>
          <w:lang w:val="en-IN"/>
        </w:rPr>
        <w:t>a_t</w:t>
      </w:r>
      <w:proofErr w:type="spellEnd"/>
      <w:r w:rsidRPr="00330E48">
        <w:rPr>
          <w:lang w:val="en-IN"/>
        </w:rPr>
        <w:t>) + \alpha H(\pi(\</w:t>
      </w:r>
      <w:proofErr w:type="spellStart"/>
      <w:r w:rsidRPr="00330E48">
        <w:rPr>
          <w:lang w:val="en-IN"/>
        </w:rPr>
        <w:t>cdot|s_t</w:t>
      </w:r>
      <w:proofErr w:type="spellEnd"/>
      <w:r w:rsidRPr="00330E48">
        <w:rPr>
          <w:lang w:val="en-IN"/>
        </w:rPr>
        <w:t>)</w:t>
      </w:r>
      <w:proofErr w:type="gramStart"/>
      <w:r w:rsidRPr="00330E48">
        <w:rPr>
          <w:lang w:val="en-IN"/>
        </w:rPr>
        <w:t>)]$</w:t>
      </w:r>
      <w:proofErr w:type="gramEnd"/>
      <w:r w:rsidRPr="00330E48">
        <w:rPr>
          <w:lang w:val="en-IN"/>
        </w:rPr>
        <w:t>. In the ADU/VDU environment, this allows the agent to maintain a diverse set of strategies for different crude types, as the "temperature" $\alpha$ automatically adjusts to encourage exploration when the agent is uncertain about the process response (</w:t>
      </w:r>
      <w:proofErr w:type="spellStart"/>
      <w:r w:rsidRPr="00330E48">
        <w:rPr>
          <w:lang w:val="en-IN"/>
        </w:rPr>
        <w:t>Haarnoja</w:t>
      </w:r>
      <w:proofErr w:type="spellEnd"/>
      <w:r w:rsidRPr="00330E48">
        <w:rPr>
          <w:lang w:val="en-IN"/>
        </w:rPr>
        <w:t xml:space="preserve"> et al., 2018).Twin Delayed DDPG (TD3) Mechanics:TD3 improves upon the DDPG baseline through three key innovations: Clipped Double-Q Learning, Target Policy Smoothing, and Delayed Policy Updates. It maintains two independent critic networks and uses the minimum value between them to calculate the target, which suppresses the overestimation of the profitability of certain process states. By updating the actor network less frequently than the critic (the "delayed" aspect), it allows the value estimation to stabilize before the policy changes, which is vital for handling the slow-moving thermal dynamics of large distillation columns (Fujimoto et al., 2018).</w:t>
      </w:r>
    </w:p>
    <w:p w14:paraId="0EFDA737" w14:textId="77777777" w:rsidR="00971231" w:rsidRDefault="00971231" w:rsidP="00330E48"/>
    <w:p w14:paraId="7275BFE1" w14:textId="68E45403" w:rsidR="00971231" w:rsidRDefault="00971231" w:rsidP="00667508">
      <w:pPr>
        <w:pStyle w:val="ListParagraph"/>
        <w:numPr>
          <w:ilvl w:val="1"/>
          <w:numId w:val="15"/>
        </w:numPr>
        <w:ind w:left="426"/>
      </w:pPr>
      <w:proofErr w:type="spellStart"/>
      <w:r>
        <w:t>DWSim</w:t>
      </w:r>
      <w:proofErr w:type="spellEnd"/>
      <w:r>
        <w:t>-RL Bridge</w:t>
      </w:r>
    </w:p>
    <w:p w14:paraId="395C838F" w14:textId="77777777" w:rsidR="005206AE" w:rsidRDefault="005206AE" w:rsidP="005206AE">
      <w:pPr>
        <w:ind w:left="-6"/>
      </w:pPr>
    </w:p>
    <w:p w14:paraId="636C0A7C" w14:textId="2EC8D40A" w:rsidR="005206AE" w:rsidRDefault="005206AE" w:rsidP="00667508">
      <w:pPr>
        <w:pStyle w:val="ListParagraph"/>
        <w:numPr>
          <w:ilvl w:val="1"/>
          <w:numId w:val="15"/>
        </w:numPr>
        <w:ind w:left="426"/>
      </w:pPr>
      <w:r>
        <w:t>Agent Training</w:t>
      </w:r>
    </w:p>
    <w:p w14:paraId="584571CB" w14:textId="64A1B0CE" w:rsidR="003C47DD" w:rsidRDefault="003C47DD" w:rsidP="00667508">
      <w:pPr>
        <w:pStyle w:val="ListParagraph"/>
        <w:numPr>
          <w:ilvl w:val="1"/>
          <w:numId w:val="15"/>
        </w:numPr>
        <w:ind w:left="426"/>
      </w:pPr>
      <w:r>
        <w:t>Model Optimization</w:t>
      </w:r>
    </w:p>
    <w:p w14:paraId="2B6C4D4D" w14:textId="5BBCFFCA" w:rsidR="003C47DD" w:rsidRDefault="003C47DD" w:rsidP="00667508">
      <w:pPr>
        <w:pStyle w:val="ListParagraph"/>
        <w:numPr>
          <w:ilvl w:val="1"/>
          <w:numId w:val="15"/>
        </w:numPr>
        <w:ind w:left="426"/>
      </w:pPr>
      <w:r>
        <w:t>AI Agent Creation</w:t>
      </w:r>
    </w:p>
    <w:p w14:paraId="34706ECE" w14:textId="6AD49925" w:rsidR="003C47DD" w:rsidRDefault="003C47DD" w:rsidP="00667508">
      <w:pPr>
        <w:pStyle w:val="ListParagraph"/>
        <w:numPr>
          <w:ilvl w:val="1"/>
          <w:numId w:val="15"/>
        </w:numPr>
        <w:ind w:left="426"/>
      </w:pPr>
      <w:r>
        <w:t>Application development</w:t>
      </w:r>
    </w:p>
    <w:p w14:paraId="4ABF8C11" w14:textId="5B931345" w:rsidR="00667508" w:rsidRPr="00EC65DF" w:rsidRDefault="00667508" w:rsidP="00EC65DF">
      <w:r>
        <w:lastRenderedPageBreak/>
        <w:t xml:space="preserve">  </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During model optimization, we explored hyperparameters a, b, and c with values [</w:t>
      </w:r>
      <w:proofErr w:type="spellStart"/>
      <w:proofErr w:type="gramStart"/>
      <w:r>
        <w:rPr>
          <w:rFonts w:eastAsia="Times New Roman" w:cs="Times New Roman"/>
          <w:i/>
          <w:iCs/>
        </w:rPr>
        <w:t>d,e</w:t>
      </w:r>
      <w:proofErr w:type="gramEnd"/>
      <w:r>
        <w:rPr>
          <w:rFonts w:eastAsia="Times New Roman" w:cs="Times New Roman"/>
          <w:i/>
          <w:iCs/>
        </w:rPr>
        <w:t>,f</w:t>
      </w:r>
      <w:proofErr w:type="spellEnd"/>
      <w:r>
        <w:rPr>
          <w:rFonts w:eastAsia="Times New Roman" w:cs="Times New Roman"/>
          <w:i/>
          <w:iCs/>
        </w:rPr>
        <w:t>], [</w:t>
      </w:r>
      <w:proofErr w:type="spellStart"/>
      <w:proofErr w:type="gramStart"/>
      <w:r>
        <w:rPr>
          <w:rFonts w:eastAsia="Times New Roman" w:cs="Times New Roman"/>
          <w:i/>
          <w:iCs/>
        </w:rPr>
        <w:t>g,h</w:t>
      </w:r>
      <w:proofErr w:type="gramEnd"/>
      <w:r>
        <w:rPr>
          <w:rFonts w:eastAsia="Times New Roman" w:cs="Times New Roman"/>
          <w:i/>
          <w:iCs/>
        </w:rPr>
        <w:t>,i</w:t>
      </w:r>
      <w:proofErr w:type="spellEnd"/>
      <w:r>
        <w:rPr>
          <w:rFonts w:eastAsia="Times New Roman" w:cs="Times New Roman"/>
          <w:i/>
          <w:iCs/>
        </w:rPr>
        <w:t>], and [</w:t>
      </w:r>
      <w:proofErr w:type="spellStart"/>
      <w:proofErr w:type="gramStart"/>
      <w:r>
        <w:rPr>
          <w:rFonts w:eastAsia="Times New Roman" w:cs="Times New Roman"/>
          <w:i/>
          <w:iCs/>
        </w:rPr>
        <w:t>j,k</w:t>
      </w:r>
      <w:proofErr w:type="gramEnd"/>
      <w:r>
        <w:rPr>
          <w:rFonts w:eastAsia="Times New Roman" w:cs="Times New Roman"/>
          <w:i/>
          <w:iCs/>
        </w:rPr>
        <w:t>,l</w:t>
      </w:r>
      <w:proofErr w:type="spellEnd"/>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w:t>
      </w:r>
      <w:r>
        <w:t xml:space="preserve">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 xml:space="preserve">If you were to continue this project, what would your next steps be? For example, would you continue to optimize your model or try other model architectures? Would </w:t>
      </w:r>
      <w:r>
        <w:rPr>
          <w:rFonts w:eastAsia="Times New Roman"/>
        </w:rPr>
        <w:lastRenderedPageBreak/>
        <w:t>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 xml:space="preserve">Formatting rules for in-text citations can be found in the APA guidelines, but examples of the three </w:t>
      </w:r>
      <w:r>
        <w:rPr>
          <w:rFonts w:eastAsia="Times New Roman" w:cs="Times New Roman"/>
        </w:rPr>
        <w:t>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 xml:space="preserve">Most of your supporting content should be included in the main text of the report, rather than at the end. While the in-line formatting can be a headache, this makes it easier for your reader to reference your figures and tables while reading, </w:t>
      </w:r>
      <w:r>
        <w:lastRenderedPageBreak/>
        <w:t>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3"/>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 xml:space="preserve">Feel free to improve the default MS Word table formatting shown here for aesthetic appeal (e.g. change cell size, border width, font size, etc.). If </w:t>
      </w:r>
      <w:r>
        <w:t>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w:t>
      </w:r>
      <w:r>
        <w:lastRenderedPageBreak/>
        <w:t xml:space="preserve">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24">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 xml:space="preserve">Appendices are not included in the page count but should not be used to get around the report page limits. Information included in the appendices should not be necessary for a basic understanding </w:t>
      </w:r>
      <w:r>
        <w:t>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w:t>
      </w:r>
      <w:proofErr w:type="spellStart"/>
      <w:r w:rsidRPr="00FF6729">
        <w:rPr>
          <w:rFonts w:eastAsia="Linux Libertine" w:cstheme="majorBidi"/>
        </w:rPr>
        <w:t>Abbeel</w:t>
      </w:r>
      <w:proofErr w:type="spellEnd"/>
      <w:r w:rsidRPr="00FF6729">
        <w:rPr>
          <w:rFonts w:eastAsia="Linux Libertine" w:cstheme="majorBidi"/>
        </w:rPr>
        <w:t xml:space="preserve">,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proofErr w:type="spellStart"/>
      <w:r w:rsidRPr="00750155">
        <w:rPr>
          <w:rFonts w:eastAsia="Linux Libertine" w:cstheme="majorBidi"/>
          <w:lang w:val="en-IN"/>
        </w:rPr>
        <w:t>AlRijeb</w:t>
      </w:r>
      <w:proofErr w:type="spellEnd"/>
      <w:r w:rsidRPr="00750155">
        <w:rPr>
          <w:rFonts w:eastAsia="Linux Libertine" w:cstheme="majorBidi"/>
          <w:lang w:val="en-IN"/>
        </w:rPr>
        <w:t xml:space="preserve">, M. F. S., Othman, M. L., Ishak, A., Hassan, M. K., &amp; </w:t>
      </w:r>
      <w:proofErr w:type="spellStart"/>
      <w:r w:rsidRPr="00750155">
        <w:rPr>
          <w:rFonts w:eastAsia="Linux Libertine" w:cstheme="majorBidi"/>
          <w:lang w:val="en-IN"/>
        </w:rPr>
        <w:t>Albaker</w:t>
      </w:r>
      <w:proofErr w:type="spellEnd"/>
      <w:r w:rsidRPr="00750155">
        <w:rPr>
          <w:rFonts w:eastAsia="Linux Libertine" w:cstheme="majorBidi"/>
          <w:lang w:val="en-IN"/>
        </w:rPr>
        <w:t xml:space="preserve">,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25"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Al-Sayegh, A., Al-</w:t>
      </w:r>
      <w:proofErr w:type="spellStart"/>
      <w:r w:rsidRPr="00750155">
        <w:rPr>
          <w:rFonts w:eastAsia="Linux Libertine" w:cstheme="majorBidi"/>
          <w:lang w:val="en-IN"/>
        </w:rPr>
        <w:t>Wahaibi</w:t>
      </w:r>
      <w:proofErr w:type="spellEnd"/>
      <w:r w:rsidRPr="00750155">
        <w:rPr>
          <w:rFonts w:eastAsia="Linux Libertine" w:cstheme="majorBidi"/>
          <w:lang w:val="en-IN"/>
        </w:rPr>
        <w:t xml:space="preserve">, Y., Joshi, S., Al-Bahry, S., </w:t>
      </w:r>
      <w:proofErr w:type="spellStart"/>
      <w:r w:rsidRPr="00750155">
        <w:rPr>
          <w:rFonts w:eastAsia="Linux Libertine" w:cstheme="majorBidi"/>
          <w:lang w:val="en-IN"/>
        </w:rPr>
        <w:t>Elshafie</w:t>
      </w:r>
      <w:proofErr w:type="spellEnd"/>
      <w:r w:rsidRPr="00750155">
        <w:rPr>
          <w:rFonts w:eastAsia="Linux Libertine" w:cstheme="majorBidi"/>
          <w:lang w:val="en-IN"/>
        </w:rPr>
        <w:t>, A., &amp; Al-</w:t>
      </w:r>
      <w:proofErr w:type="spellStart"/>
      <w:r w:rsidRPr="00750155">
        <w:rPr>
          <w:rFonts w:eastAsia="Linux Libertine" w:cstheme="majorBidi"/>
          <w:lang w:val="en-IN"/>
        </w:rPr>
        <w:t>Bemani</w:t>
      </w:r>
      <w:proofErr w:type="spellEnd"/>
      <w:r w:rsidRPr="00750155">
        <w:rPr>
          <w:rFonts w:eastAsia="Linux Libertine" w:cstheme="majorBidi"/>
          <w:lang w:val="en-IN"/>
        </w:rPr>
        <w:t xml:space="preserve">,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26" w:tgtFrame="_blank" w:history="1">
        <w:r w:rsidRPr="00750155">
          <w:rPr>
            <w:rStyle w:val="Hyperlink"/>
            <w:rFonts w:eastAsia="Linux Libertine" w:cstheme="majorBidi"/>
            <w:lang w:val="en-IN"/>
          </w:rPr>
          <w:t>https://doi.org/10.2174/1874070701610010301</w:t>
        </w:r>
      </w:hyperlink>
    </w:p>
    <w:p w14:paraId="1D54D94D" w14:textId="77777777"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lastRenderedPageBreak/>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w:t>
      </w:r>
      <w:proofErr w:type="spellStart"/>
      <w:r w:rsidRPr="00FF4030">
        <w:rPr>
          <w:rFonts w:eastAsia="Linux Libertine" w:cstheme="majorBidi"/>
        </w:rPr>
        <w:t>Diggans</w:t>
      </w:r>
      <w:proofErr w:type="spellEnd"/>
      <w:r w:rsidRPr="00FF4030">
        <w:rPr>
          <w:rFonts w:eastAsia="Linux Libertine" w:cstheme="majorBidi"/>
        </w:rPr>
        <w:t xml:space="preserve">, C., Schwaller, P., &amp; White, A. D. (2024). </w:t>
      </w:r>
      <w:proofErr w:type="spellStart"/>
      <w:r w:rsidRPr="00FF4030">
        <w:rPr>
          <w:rFonts w:eastAsia="Linux Libertine" w:cstheme="majorBidi"/>
        </w:rPr>
        <w:t>ChemCrow</w:t>
      </w:r>
      <w:proofErr w:type="spellEnd"/>
      <w:r w:rsidRPr="00FF4030">
        <w:rPr>
          <w:rFonts w:eastAsia="Linux Libertine" w:cstheme="majorBidi"/>
        </w:rPr>
        <w:t xml:space="preserve">: Augmenting large-language models with chemistry tools. Nature Machine Intelligence, 6(6), 525–535. </w:t>
      </w:r>
      <w:hyperlink r:id="rId27"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28"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29" w:tgtFrame="_blank" w:history="1">
        <w:r w:rsidRPr="003119DD">
          <w:rPr>
            <w:rStyle w:val="Hyperlink"/>
          </w:rPr>
          <w:t>https://corporate.exxonmobil.com/what-we-do/energy-supply/crude-trading/crude-oil-assays</w:t>
        </w:r>
      </w:hyperlink>
    </w:p>
    <w:p w14:paraId="272B0F1D" w14:textId="77777777" w:rsidR="00F8648F" w:rsidRDefault="00F8648F" w:rsidP="00F853C4">
      <w:pPr>
        <w:spacing w:before="200" w:after="40" w:line="240" w:lineRule="auto"/>
        <w:ind w:left="300" w:hanging="300"/>
        <w:rPr>
          <w:rFonts w:eastAsia="Linux Libertine" w:cstheme="majorBidi"/>
          <w:lang w:val="en-IN"/>
        </w:rPr>
      </w:pPr>
      <w:r w:rsidRPr="00F8648F">
        <w:rPr>
          <w:rFonts w:eastAsia="Linux Libertine" w:cstheme="majorBidi"/>
          <w:lang w:val="en-IN"/>
        </w:rPr>
        <w:t>Fujimoto, S., Hoof, H., &amp; Meger, D. (2018). Addressing function approximation error in actor-critic methods. Proceedings of the 35</w:t>
      </w:r>
      <w:r w:rsidRPr="0066416E">
        <w:rPr>
          <w:rFonts w:eastAsia="Linux Libertine" w:cstheme="majorBidi"/>
          <w:vertAlign w:val="superscript"/>
          <w:lang w:val="en-IN"/>
        </w:rPr>
        <w:t>th</w:t>
      </w:r>
      <w:r w:rsidRPr="00F8648F">
        <w:rPr>
          <w:rFonts w:eastAsia="Linux Libertine" w:cstheme="majorBidi"/>
          <w:lang w:val="en-IN"/>
        </w:rPr>
        <w:t xml:space="preserve"> International Conference on Machine Learning (ICML), 1587–1596.</w:t>
      </w:r>
    </w:p>
    <w:p w14:paraId="666DCD7E" w14:textId="46939795"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0" w:tgtFrame="_blank" w:history="1">
        <w:r w:rsidRPr="00750155">
          <w:rPr>
            <w:rStyle w:val="Hyperlink"/>
            <w:rFonts w:eastAsia="Linux Libertine" w:cstheme="majorBidi"/>
            <w:lang w:val="en-IN"/>
          </w:rPr>
          <w:t>https://doi.org/10.3390/ma17215275</w:t>
        </w:r>
      </w:hyperlink>
    </w:p>
    <w:p w14:paraId="3CAD3999" w14:textId="77777777" w:rsidR="003F7956" w:rsidRDefault="003F7956" w:rsidP="00C037B7">
      <w:pPr>
        <w:spacing w:before="200" w:after="40" w:line="240" w:lineRule="auto"/>
        <w:ind w:left="426" w:hanging="426"/>
        <w:jc w:val="left"/>
        <w:rPr>
          <w:rFonts w:eastAsia="Linux Libertine" w:cstheme="majorBidi"/>
        </w:rPr>
      </w:pPr>
      <w:proofErr w:type="spellStart"/>
      <w:r w:rsidRPr="003F7956">
        <w:rPr>
          <w:rFonts w:eastAsia="Linux Libertine" w:cstheme="majorBidi"/>
        </w:rPr>
        <w:t>Haarnoja</w:t>
      </w:r>
      <w:proofErr w:type="spellEnd"/>
      <w:r w:rsidRPr="003F7956">
        <w:rPr>
          <w:rFonts w:eastAsia="Linux Libertine" w:cstheme="majorBidi"/>
        </w:rPr>
        <w:t xml:space="preserve">, T., Zhou, A., </w:t>
      </w:r>
      <w:proofErr w:type="spellStart"/>
      <w:r w:rsidRPr="003F7956">
        <w:rPr>
          <w:rFonts w:eastAsia="Linux Libertine" w:cstheme="majorBidi"/>
        </w:rPr>
        <w:t>Abbeel</w:t>
      </w:r>
      <w:proofErr w:type="spellEnd"/>
      <w:r w:rsidRPr="003F7956">
        <w:rPr>
          <w:rFonts w:eastAsia="Linux Libertine" w:cstheme="majorBidi"/>
        </w:rPr>
        <w:t>, P., &amp; Levine, S. (2018). Soft actor-critic: Off-policy maximum entropy deep reinforcement learning with a stochastic actor. Proceedings of the 35th International Conference on Machine Learning (ICML), 1861–1870.</w:t>
      </w:r>
    </w:p>
    <w:p w14:paraId="7FED59E6" w14:textId="090FC2B4"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1"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proofErr w:type="spellStart"/>
      <w:r w:rsidRPr="00750155">
        <w:rPr>
          <w:rFonts w:eastAsia="Linux Libertine" w:cstheme="majorBidi"/>
          <w:i/>
          <w:iCs/>
          <w:lang w:val="en-IN"/>
        </w:rPr>
        <w:t>arXiv</w:t>
      </w:r>
      <w:proofErr w:type="spellEnd"/>
      <w:r w:rsidRPr="00750155">
        <w:rPr>
          <w:rFonts w:eastAsia="Linux Libertine" w:cstheme="majorBidi"/>
          <w:lang w:val="en-IN"/>
        </w:rPr>
        <w:t xml:space="preserve">. </w:t>
      </w:r>
      <w:hyperlink r:id="rId32"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4B1F10F4" w14:textId="77777777"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714561E2" w14:textId="1C5BE6B9"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w:t>
      </w:r>
      <w:r w:rsidR="006937BB">
        <w:rPr>
          <w:rFonts w:eastAsia="Linux Libertine" w:cstheme="majorBidi"/>
        </w:rPr>
        <w:t xml:space="preserve"> </w:t>
      </w:r>
      <w:r w:rsidRPr="00B34DA6">
        <w:rPr>
          <w:rFonts w:eastAsia="Linux Libertine" w:cstheme="majorBidi"/>
        </w:rPr>
        <w:t>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lastRenderedPageBreak/>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w:t>
      </w:r>
      <w:proofErr w:type="spellStart"/>
      <w:r w:rsidRPr="00750155">
        <w:rPr>
          <w:rFonts w:eastAsia="Linux Libertine" w:cstheme="majorBidi"/>
          <w:lang w:val="en-IN"/>
        </w:rPr>
        <w:t>Tulsyan</w:t>
      </w:r>
      <w:proofErr w:type="spellEnd"/>
      <w:r w:rsidRPr="00750155">
        <w:rPr>
          <w:rFonts w:eastAsia="Linux Libertine" w:cstheme="majorBidi"/>
          <w:lang w:val="en-IN"/>
        </w:rPr>
        <w:t xml:space="preserve">,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33"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proofErr w:type="spellStart"/>
      <w:r w:rsidRPr="00360D63">
        <w:rPr>
          <w:rFonts w:eastAsia="Linux Libertine" w:cstheme="majorBidi"/>
        </w:rPr>
        <w:t>Stooke</w:t>
      </w:r>
      <w:proofErr w:type="spellEnd"/>
      <w:r w:rsidRPr="00360D63">
        <w:rPr>
          <w:rFonts w:eastAsia="Linux Libertine" w:cstheme="majorBidi"/>
        </w:rPr>
        <w:t xml:space="preserve">, A., Achiam, J., &amp; </w:t>
      </w:r>
      <w:proofErr w:type="spellStart"/>
      <w:r w:rsidRPr="00360D63">
        <w:rPr>
          <w:rFonts w:eastAsia="Linux Libertine" w:cstheme="majorBidi"/>
        </w:rPr>
        <w:t>Abbeel</w:t>
      </w:r>
      <w:proofErr w:type="spellEnd"/>
      <w:r w:rsidRPr="00360D63">
        <w:rPr>
          <w:rFonts w:eastAsia="Linux Libertine" w:cstheme="majorBidi"/>
        </w:rPr>
        <w:t xml:space="preserve">, P. (2020). Responsive safety in reinforcement learning by PID </w:t>
      </w:r>
      <w:proofErr w:type="spellStart"/>
      <w:r w:rsidRPr="00360D63">
        <w:rPr>
          <w:rFonts w:eastAsia="Linux Libertine" w:cstheme="majorBidi"/>
        </w:rPr>
        <w:t>Lagrangian</w:t>
      </w:r>
      <w:proofErr w:type="spellEnd"/>
      <w:r w:rsidRPr="00360D63">
        <w:rPr>
          <w:rFonts w:eastAsia="Linux Libertine" w:cstheme="majorBidi"/>
        </w:rPr>
        <w:t xml:space="preserve">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4EF1BF9B" w14:textId="77777777" w:rsidR="006937BB" w:rsidRDefault="006937BB" w:rsidP="00152D8C">
      <w:pPr>
        <w:spacing w:before="200" w:after="40" w:line="240" w:lineRule="auto"/>
        <w:ind w:left="300" w:hanging="300"/>
        <w:rPr>
          <w:rFonts w:eastAsia="Linux Libertine" w:cstheme="majorBidi"/>
        </w:rPr>
      </w:pPr>
      <w:r w:rsidRPr="006937BB">
        <w:rPr>
          <w:rFonts w:eastAsia="Linux Libertine" w:cstheme="majorBidi"/>
        </w:rPr>
        <w:t>Sutton, R. S., &amp; Barto, A. G. (2018). Reinforcement Learning: An Introduction (2nd ed.). MIT Press.</w:t>
      </w:r>
    </w:p>
    <w:p w14:paraId="707445A1" w14:textId="259136D8"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Venkatasubramanian, V. (2019). The promise of artificial intelligence in chemical engineering: Is it here, </w:t>
      </w:r>
      <w:proofErr w:type="gramStart"/>
      <w:r w:rsidRPr="00152D8C">
        <w:rPr>
          <w:rFonts w:eastAsia="Linux Libertine" w:cstheme="majorBidi"/>
        </w:rPr>
        <w:t>finally?.</w:t>
      </w:r>
      <w:proofErr w:type="gramEnd"/>
      <w:r w:rsidRPr="00152D8C">
        <w:rPr>
          <w:rFonts w:eastAsia="Linux Libertine" w:cstheme="majorBidi"/>
        </w:rPr>
        <w:t xml:space="preserve">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34" w:tgtFrame="_blank" w:history="1">
        <w:r w:rsidRPr="00750155">
          <w:rPr>
            <w:rStyle w:val="Hyperlink"/>
            <w:rFonts w:eastAsia="Linux Libertine" w:cstheme="majorBidi"/>
            <w:lang w:val="en-IN"/>
          </w:rPr>
          <w:t>https://doi.org/10.1038/s42004-024-01393-y</w:t>
        </w:r>
      </w:hyperlink>
    </w:p>
    <w:p w14:paraId="1BDF331F" w14:textId="5294D19E" w:rsidR="00750155" w:rsidRPr="00750155" w:rsidRDefault="00750155" w:rsidP="00750155">
      <w:pPr>
        <w:spacing w:before="200" w:after="40" w:line="240" w:lineRule="auto"/>
        <w:ind w:left="300" w:hanging="300"/>
        <w:rPr>
          <w:rFonts w:eastAsia="Linux Libertine" w:cstheme="majorBidi"/>
          <w:lang w:val="en-IN"/>
        </w:rPr>
      </w:pPr>
    </w:p>
    <w:p w14:paraId="62D1592E" w14:textId="77777777" w:rsidR="00750155" w:rsidRDefault="00750155" w:rsidP="00B34DA6">
      <w:pPr>
        <w:spacing w:before="200" w:after="40" w:line="240" w:lineRule="auto"/>
        <w:ind w:left="300" w:hanging="300"/>
        <w:rPr>
          <w:rFonts w:eastAsia="Linux Libertine" w:cstheme="majorBidi"/>
        </w:rPr>
      </w:pPr>
    </w:p>
    <w:p w14:paraId="764681AB" w14:textId="77777777" w:rsidR="00707C4E" w:rsidRDefault="00707C4E">
      <w:pPr>
        <w:spacing w:before="200" w:after="40" w:line="240" w:lineRule="auto"/>
      </w:pPr>
    </w:p>
    <w:sectPr w:rsidR="00707C4E" w:rsidSect="00B51E7E">
      <w:footerReference w:type="even" r:id="rId35"/>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5F75" w14:textId="77777777" w:rsidR="00D17E62" w:rsidRDefault="00D17E62">
      <w:pPr>
        <w:spacing w:after="0" w:line="240" w:lineRule="auto"/>
      </w:pPr>
      <w:r>
        <w:separator/>
      </w:r>
    </w:p>
  </w:endnote>
  <w:endnote w:type="continuationSeparator" w:id="0">
    <w:p w14:paraId="4E9E4CAD" w14:textId="77777777" w:rsidR="00D17E62" w:rsidRDefault="00D17E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22A60" w14:textId="77777777" w:rsidR="00D17E62" w:rsidRDefault="00D17E62">
      <w:pPr>
        <w:spacing w:after="0" w:line="240" w:lineRule="auto"/>
      </w:pPr>
      <w:r>
        <w:separator/>
      </w:r>
    </w:p>
  </w:footnote>
  <w:footnote w:type="continuationSeparator" w:id="0">
    <w:p w14:paraId="72868CF2" w14:textId="77777777" w:rsidR="00D17E62" w:rsidRDefault="00D17E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666"/>
    <w:multiLevelType w:val="hybridMultilevel"/>
    <w:tmpl w:val="57500CE8"/>
    <w:lvl w:ilvl="0" w:tplc="7B1C4DA6">
      <w:start w:val="1"/>
      <w:numFmt w:val="lowerLetter"/>
      <w:lvlText w:val="(%1)"/>
      <w:lvlJc w:val="left"/>
      <w:pPr>
        <w:ind w:left="354" w:hanging="360"/>
      </w:pPr>
      <w:rPr>
        <w:rFonts w:hint="default"/>
      </w:rPr>
    </w:lvl>
    <w:lvl w:ilvl="1" w:tplc="40090019" w:tentative="1">
      <w:start w:val="1"/>
      <w:numFmt w:val="lowerLetter"/>
      <w:lvlText w:val="%2."/>
      <w:lvlJc w:val="left"/>
      <w:pPr>
        <w:ind w:left="1074" w:hanging="360"/>
      </w:pPr>
    </w:lvl>
    <w:lvl w:ilvl="2" w:tplc="4009001B" w:tentative="1">
      <w:start w:val="1"/>
      <w:numFmt w:val="lowerRoman"/>
      <w:lvlText w:val="%3."/>
      <w:lvlJc w:val="right"/>
      <w:pPr>
        <w:ind w:left="1794" w:hanging="180"/>
      </w:pPr>
    </w:lvl>
    <w:lvl w:ilvl="3" w:tplc="4009000F" w:tentative="1">
      <w:start w:val="1"/>
      <w:numFmt w:val="decimal"/>
      <w:lvlText w:val="%4."/>
      <w:lvlJc w:val="left"/>
      <w:pPr>
        <w:ind w:left="2514" w:hanging="360"/>
      </w:pPr>
    </w:lvl>
    <w:lvl w:ilvl="4" w:tplc="40090019" w:tentative="1">
      <w:start w:val="1"/>
      <w:numFmt w:val="lowerLetter"/>
      <w:lvlText w:val="%5."/>
      <w:lvlJc w:val="left"/>
      <w:pPr>
        <w:ind w:left="3234" w:hanging="360"/>
      </w:pPr>
    </w:lvl>
    <w:lvl w:ilvl="5" w:tplc="4009001B" w:tentative="1">
      <w:start w:val="1"/>
      <w:numFmt w:val="lowerRoman"/>
      <w:lvlText w:val="%6."/>
      <w:lvlJc w:val="right"/>
      <w:pPr>
        <w:ind w:left="3954" w:hanging="180"/>
      </w:pPr>
    </w:lvl>
    <w:lvl w:ilvl="6" w:tplc="4009000F" w:tentative="1">
      <w:start w:val="1"/>
      <w:numFmt w:val="decimal"/>
      <w:lvlText w:val="%7."/>
      <w:lvlJc w:val="left"/>
      <w:pPr>
        <w:ind w:left="4674" w:hanging="360"/>
      </w:pPr>
    </w:lvl>
    <w:lvl w:ilvl="7" w:tplc="40090019" w:tentative="1">
      <w:start w:val="1"/>
      <w:numFmt w:val="lowerLetter"/>
      <w:lvlText w:val="%8."/>
      <w:lvlJc w:val="left"/>
      <w:pPr>
        <w:ind w:left="5394" w:hanging="360"/>
      </w:pPr>
    </w:lvl>
    <w:lvl w:ilvl="8" w:tplc="4009001B" w:tentative="1">
      <w:start w:val="1"/>
      <w:numFmt w:val="lowerRoman"/>
      <w:lvlText w:val="%9."/>
      <w:lvlJc w:val="right"/>
      <w:pPr>
        <w:ind w:left="6114" w:hanging="180"/>
      </w:pPr>
    </w:lvl>
  </w:abstractNum>
  <w:abstractNum w:abstractNumId="1"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8EA4DFA"/>
    <w:multiLevelType w:val="multilevel"/>
    <w:tmpl w:val="DF38F27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2"/>
  </w:num>
  <w:num w:numId="2" w16cid:durableId="787630143">
    <w:abstractNumId w:val="3"/>
  </w:num>
  <w:num w:numId="3" w16cid:durableId="1492942228">
    <w:abstractNumId w:val="15"/>
  </w:num>
  <w:num w:numId="4" w16cid:durableId="517429286">
    <w:abstractNumId w:val="5"/>
  </w:num>
  <w:num w:numId="5" w16cid:durableId="1718040607">
    <w:abstractNumId w:val="11"/>
  </w:num>
  <w:num w:numId="6" w16cid:durableId="710611117">
    <w:abstractNumId w:val="10"/>
  </w:num>
  <w:num w:numId="7" w16cid:durableId="1117138578">
    <w:abstractNumId w:val="6"/>
  </w:num>
  <w:num w:numId="8" w16cid:durableId="1648709583">
    <w:abstractNumId w:val="13"/>
  </w:num>
  <w:num w:numId="9" w16cid:durableId="1602377560">
    <w:abstractNumId w:val="1"/>
  </w:num>
  <w:num w:numId="10" w16cid:durableId="627131747">
    <w:abstractNumId w:val="8"/>
  </w:num>
  <w:num w:numId="11" w16cid:durableId="1462915697">
    <w:abstractNumId w:val="7"/>
  </w:num>
  <w:num w:numId="12" w16cid:durableId="546837443">
    <w:abstractNumId w:val="12"/>
  </w:num>
  <w:num w:numId="13" w16cid:durableId="665670202">
    <w:abstractNumId w:val="9"/>
  </w:num>
  <w:num w:numId="14" w16cid:durableId="1192760907">
    <w:abstractNumId w:val="14"/>
  </w:num>
  <w:num w:numId="15" w16cid:durableId="290132603">
    <w:abstractNumId w:val="4"/>
  </w:num>
  <w:num w:numId="16" w16cid:durableId="1738898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4F36"/>
    <w:rsid w:val="00046A56"/>
    <w:rsid w:val="0005229D"/>
    <w:rsid w:val="000624DC"/>
    <w:rsid w:val="000849A3"/>
    <w:rsid w:val="000916EC"/>
    <w:rsid w:val="000962D0"/>
    <w:rsid w:val="000977CB"/>
    <w:rsid w:val="000A7D67"/>
    <w:rsid w:val="000B23C6"/>
    <w:rsid w:val="000B65B4"/>
    <w:rsid w:val="000C079F"/>
    <w:rsid w:val="000C1057"/>
    <w:rsid w:val="000C15D7"/>
    <w:rsid w:val="000C6F44"/>
    <w:rsid w:val="000D0A15"/>
    <w:rsid w:val="000D7A14"/>
    <w:rsid w:val="000E1629"/>
    <w:rsid w:val="00103FB5"/>
    <w:rsid w:val="00106E4B"/>
    <w:rsid w:val="00116E6C"/>
    <w:rsid w:val="00116FBA"/>
    <w:rsid w:val="00136A34"/>
    <w:rsid w:val="0015237F"/>
    <w:rsid w:val="00152D8C"/>
    <w:rsid w:val="001531FD"/>
    <w:rsid w:val="00157500"/>
    <w:rsid w:val="0017299C"/>
    <w:rsid w:val="001754C2"/>
    <w:rsid w:val="001E2BA1"/>
    <w:rsid w:val="001F37D7"/>
    <w:rsid w:val="001F6E04"/>
    <w:rsid w:val="00226D0D"/>
    <w:rsid w:val="00235499"/>
    <w:rsid w:val="002411B5"/>
    <w:rsid w:val="00241461"/>
    <w:rsid w:val="002420AA"/>
    <w:rsid w:val="00253B0C"/>
    <w:rsid w:val="00262BF4"/>
    <w:rsid w:val="00275114"/>
    <w:rsid w:val="002834D0"/>
    <w:rsid w:val="00287365"/>
    <w:rsid w:val="00295B5B"/>
    <w:rsid w:val="002A1037"/>
    <w:rsid w:val="002A2C07"/>
    <w:rsid w:val="002A5569"/>
    <w:rsid w:val="002A789C"/>
    <w:rsid w:val="002D73A5"/>
    <w:rsid w:val="002F3B68"/>
    <w:rsid w:val="002F5FE7"/>
    <w:rsid w:val="00304242"/>
    <w:rsid w:val="0030781A"/>
    <w:rsid w:val="003119DD"/>
    <w:rsid w:val="003265BD"/>
    <w:rsid w:val="00330E48"/>
    <w:rsid w:val="00347BB3"/>
    <w:rsid w:val="00353A4E"/>
    <w:rsid w:val="00360D63"/>
    <w:rsid w:val="00364568"/>
    <w:rsid w:val="003702A9"/>
    <w:rsid w:val="0037175C"/>
    <w:rsid w:val="0038736F"/>
    <w:rsid w:val="00391BDE"/>
    <w:rsid w:val="003A3890"/>
    <w:rsid w:val="003C3A64"/>
    <w:rsid w:val="003C47DD"/>
    <w:rsid w:val="003C50A5"/>
    <w:rsid w:val="003D7E6C"/>
    <w:rsid w:val="003E34DA"/>
    <w:rsid w:val="003F7956"/>
    <w:rsid w:val="004005C0"/>
    <w:rsid w:val="00410D79"/>
    <w:rsid w:val="00422514"/>
    <w:rsid w:val="004245F9"/>
    <w:rsid w:val="0043246D"/>
    <w:rsid w:val="004335B0"/>
    <w:rsid w:val="00437A9D"/>
    <w:rsid w:val="00441B13"/>
    <w:rsid w:val="0045070D"/>
    <w:rsid w:val="00456480"/>
    <w:rsid w:val="00457DEB"/>
    <w:rsid w:val="00463465"/>
    <w:rsid w:val="004A7395"/>
    <w:rsid w:val="004D1BE0"/>
    <w:rsid w:val="00501DA8"/>
    <w:rsid w:val="005168D0"/>
    <w:rsid w:val="005206AE"/>
    <w:rsid w:val="0052130B"/>
    <w:rsid w:val="005222DD"/>
    <w:rsid w:val="00531AF7"/>
    <w:rsid w:val="00536A24"/>
    <w:rsid w:val="00544D86"/>
    <w:rsid w:val="00545888"/>
    <w:rsid w:val="00554621"/>
    <w:rsid w:val="00554B23"/>
    <w:rsid w:val="00565768"/>
    <w:rsid w:val="005736E9"/>
    <w:rsid w:val="00585372"/>
    <w:rsid w:val="00591AC5"/>
    <w:rsid w:val="005A3045"/>
    <w:rsid w:val="005B71D6"/>
    <w:rsid w:val="005D303D"/>
    <w:rsid w:val="005E1C12"/>
    <w:rsid w:val="005F7ACA"/>
    <w:rsid w:val="00640D52"/>
    <w:rsid w:val="0065089B"/>
    <w:rsid w:val="006514D2"/>
    <w:rsid w:val="0066179E"/>
    <w:rsid w:val="0066416E"/>
    <w:rsid w:val="00667508"/>
    <w:rsid w:val="00667EAF"/>
    <w:rsid w:val="00685DB8"/>
    <w:rsid w:val="00686B07"/>
    <w:rsid w:val="006937BB"/>
    <w:rsid w:val="006B2674"/>
    <w:rsid w:val="006C5288"/>
    <w:rsid w:val="006C7C5A"/>
    <w:rsid w:val="006D01BE"/>
    <w:rsid w:val="006D067C"/>
    <w:rsid w:val="006D07B5"/>
    <w:rsid w:val="006D51E1"/>
    <w:rsid w:val="006E20F8"/>
    <w:rsid w:val="006E42EB"/>
    <w:rsid w:val="006F0639"/>
    <w:rsid w:val="006F505B"/>
    <w:rsid w:val="006F5BD0"/>
    <w:rsid w:val="007028BC"/>
    <w:rsid w:val="00703A04"/>
    <w:rsid w:val="00707C4E"/>
    <w:rsid w:val="00715F8F"/>
    <w:rsid w:val="00732052"/>
    <w:rsid w:val="00743131"/>
    <w:rsid w:val="00750155"/>
    <w:rsid w:val="00751A3E"/>
    <w:rsid w:val="00783AA5"/>
    <w:rsid w:val="007910FD"/>
    <w:rsid w:val="00792E53"/>
    <w:rsid w:val="007B0266"/>
    <w:rsid w:val="007D16D6"/>
    <w:rsid w:val="00804F73"/>
    <w:rsid w:val="008237B4"/>
    <w:rsid w:val="00840CED"/>
    <w:rsid w:val="00841DA8"/>
    <w:rsid w:val="00846A59"/>
    <w:rsid w:val="00847E24"/>
    <w:rsid w:val="00853A33"/>
    <w:rsid w:val="0085795C"/>
    <w:rsid w:val="00861361"/>
    <w:rsid w:val="00861F7C"/>
    <w:rsid w:val="00870CBE"/>
    <w:rsid w:val="008737B8"/>
    <w:rsid w:val="008806A0"/>
    <w:rsid w:val="00881516"/>
    <w:rsid w:val="008A1F4C"/>
    <w:rsid w:val="008B5AE6"/>
    <w:rsid w:val="008C06F2"/>
    <w:rsid w:val="008D0FA1"/>
    <w:rsid w:val="008F1433"/>
    <w:rsid w:val="008F1559"/>
    <w:rsid w:val="00904BA5"/>
    <w:rsid w:val="0091621D"/>
    <w:rsid w:val="009469C2"/>
    <w:rsid w:val="00950A37"/>
    <w:rsid w:val="00967C85"/>
    <w:rsid w:val="00967FD9"/>
    <w:rsid w:val="00971231"/>
    <w:rsid w:val="00992ED9"/>
    <w:rsid w:val="009972E0"/>
    <w:rsid w:val="009B279F"/>
    <w:rsid w:val="009B41B1"/>
    <w:rsid w:val="009D2CCA"/>
    <w:rsid w:val="009D4693"/>
    <w:rsid w:val="009E46F8"/>
    <w:rsid w:val="009F3D63"/>
    <w:rsid w:val="009F4C77"/>
    <w:rsid w:val="009F5311"/>
    <w:rsid w:val="00A14FCA"/>
    <w:rsid w:val="00A22124"/>
    <w:rsid w:val="00A23D7B"/>
    <w:rsid w:val="00A313FA"/>
    <w:rsid w:val="00A32D6D"/>
    <w:rsid w:val="00A7115D"/>
    <w:rsid w:val="00A72477"/>
    <w:rsid w:val="00A825E3"/>
    <w:rsid w:val="00A90B66"/>
    <w:rsid w:val="00AA4D70"/>
    <w:rsid w:val="00AA5896"/>
    <w:rsid w:val="00AA657A"/>
    <w:rsid w:val="00AB5F0D"/>
    <w:rsid w:val="00AB64BA"/>
    <w:rsid w:val="00AD59CB"/>
    <w:rsid w:val="00AE0304"/>
    <w:rsid w:val="00AE7D92"/>
    <w:rsid w:val="00B03708"/>
    <w:rsid w:val="00B04F16"/>
    <w:rsid w:val="00B06E54"/>
    <w:rsid w:val="00B13625"/>
    <w:rsid w:val="00B33848"/>
    <w:rsid w:val="00B34DA6"/>
    <w:rsid w:val="00B3686C"/>
    <w:rsid w:val="00B51E7E"/>
    <w:rsid w:val="00B81766"/>
    <w:rsid w:val="00B86E38"/>
    <w:rsid w:val="00B919CD"/>
    <w:rsid w:val="00B925DF"/>
    <w:rsid w:val="00BA26DD"/>
    <w:rsid w:val="00BA5FB8"/>
    <w:rsid w:val="00BB6B75"/>
    <w:rsid w:val="00BD5737"/>
    <w:rsid w:val="00BE7606"/>
    <w:rsid w:val="00C00F69"/>
    <w:rsid w:val="00C012AC"/>
    <w:rsid w:val="00C037B7"/>
    <w:rsid w:val="00C12F8E"/>
    <w:rsid w:val="00C1440D"/>
    <w:rsid w:val="00C16A1B"/>
    <w:rsid w:val="00C202DA"/>
    <w:rsid w:val="00C32239"/>
    <w:rsid w:val="00C3535A"/>
    <w:rsid w:val="00C3782D"/>
    <w:rsid w:val="00C56701"/>
    <w:rsid w:val="00C62535"/>
    <w:rsid w:val="00C63F3B"/>
    <w:rsid w:val="00C752F1"/>
    <w:rsid w:val="00C77CD4"/>
    <w:rsid w:val="00C8333E"/>
    <w:rsid w:val="00C847A9"/>
    <w:rsid w:val="00C9490E"/>
    <w:rsid w:val="00CA2BB6"/>
    <w:rsid w:val="00CB08FA"/>
    <w:rsid w:val="00CB0F75"/>
    <w:rsid w:val="00CB256B"/>
    <w:rsid w:val="00CC768C"/>
    <w:rsid w:val="00CE336F"/>
    <w:rsid w:val="00CE7F6E"/>
    <w:rsid w:val="00CF757B"/>
    <w:rsid w:val="00D04920"/>
    <w:rsid w:val="00D0738B"/>
    <w:rsid w:val="00D16E00"/>
    <w:rsid w:val="00D17E62"/>
    <w:rsid w:val="00D317A8"/>
    <w:rsid w:val="00D335E1"/>
    <w:rsid w:val="00D4158F"/>
    <w:rsid w:val="00D440F0"/>
    <w:rsid w:val="00D517D9"/>
    <w:rsid w:val="00DD1022"/>
    <w:rsid w:val="00DF1135"/>
    <w:rsid w:val="00E04847"/>
    <w:rsid w:val="00E06737"/>
    <w:rsid w:val="00E10565"/>
    <w:rsid w:val="00E241F1"/>
    <w:rsid w:val="00E3638F"/>
    <w:rsid w:val="00E37883"/>
    <w:rsid w:val="00E739DC"/>
    <w:rsid w:val="00E80037"/>
    <w:rsid w:val="00E95DE7"/>
    <w:rsid w:val="00EA1BC9"/>
    <w:rsid w:val="00EA637C"/>
    <w:rsid w:val="00EC65DF"/>
    <w:rsid w:val="00EC66CB"/>
    <w:rsid w:val="00EF0FDD"/>
    <w:rsid w:val="00F247E4"/>
    <w:rsid w:val="00F27178"/>
    <w:rsid w:val="00F30A18"/>
    <w:rsid w:val="00F37825"/>
    <w:rsid w:val="00F5308E"/>
    <w:rsid w:val="00F817AE"/>
    <w:rsid w:val="00F853C4"/>
    <w:rsid w:val="00F8648F"/>
    <w:rsid w:val="00FA6387"/>
    <w:rsid w:val="00FA6CB6"/>
    <w:rsid w:val="00FB302D"/>
    <w:rsid w:val="00FB65A3"/>
    <w:rsid w:val="00FB7F0B"/>
    <w:rsid w:val="00FC5469"/>
    <w:rsid w:val="00FC58DB"/>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doi.org/10.2174/1874070701610010301" TargetMode="External"/><Relationship Id="rId21" Type="http://schemas.openxmlformats.org/officeDocument/2006/relationships/image" Target="media/image7.png"/><Relationship Id="rId34" Type="http://schemas.openxmlformats.org/officeDocument/2006/relationships/hyperlink" Target="https://www.google.com/search?q=https://doi.org/10.1038/s42004-024-01393-y&amp;authuser=1"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www.google.com/search?q=https://doi.org/10.48084/etasr.9781&amp;authuser=1" TargetMode="External"/><Relationship Id="rId33" Type="http://schemas.openxmlformats.org/officeDocument/2006/relationships/hyperlink" Target="https://doi.org/10.1002/aic.16733"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corporate.exxonmobil.com/what-we-do/energy-supply/crude-trading/crude-oil-assay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apastyle.apa.org/style-grammar-guidelines/references" TargetMode="External"/><Relationship Id="rId32" Type="http://schemas.openxmlformats.org/officeDocument/2006/relationships/hyperlink" Target="https://www.google.com/search?q=https://doi.org/10.48550/arxiv.2504.08642&amp;authuser=1"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hyperlink" Target="https://doi.org/10.1016/j.jprocont.2006.10.003"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compchemeng.2020.1069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hyperlink" Target="https://doi.org/10.1038/s42256-024-00832-w" TargetMode="External"/><Relationship Id="rId30" Type="http://schemas.openxmlformats.org/officeDocument/2006/relationships/hyperlink" Target="https://www.google.com/search?q=https://doi.org/10.3390/ma17215275&amp;authuser=1" TargetMode="Externa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TotalTime>
  <Pages>14</Pages>
  <Words>6126</Words>
  <Characters>34923</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40968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253</cp:revision>
  <cp:lastPrinted>2026-03-16T15:53:00Z</cp:lastPrinted>
  <dcterms:created xsi:type="dcterms:W3CDTF">2026-03-01T15:42:00Z</dcterms:created>
  <dcterms:modified xsi:type="dcterms:W3CDTF">2026-03-16T17:43:00Z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