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B9" w:rsidRPr="000728B9" w:rsidRDefault="000728B9" w:rsidP="000728B9">
      <w:pPr>
        <w:pStyle w:val="Heading2"/>
        <w:tabs>
          <w:tab w:val="left" w:pos="490"/>
        </w:tabs>
        <w:spacing w:before="64"/>
        <w:ind w:left="489" w:firstLine="0"/>
        <w:jc w:val="center"/>
        <w:rPr>
          <w:sz w:val="32"/>
          <w:szCs w:val="32"/>
        </w:rPr>
      </w:pPr>
      <w:r w:rsidRPr="000728B9">
        <w:rPr>
          <w:sz w:val="32"/>
          <w:szCs w:val="32"/>
        </w:rPr>
        <w:t xml:space="preserve">Policy for </w:t>
      </w:r>
      <w:r w:rsidRPr="000728B9">
        <w:rPr>
          <w:sz w:val="32"/>
          <w:szCs w:val="32"/>
        </w:rPr>
        <w:t>Consultancy</w:t>
      </w:r>
    </w:p>
    <w:p w:rsidR="007304D2" w:rsidRDefault="007304D2"/>
    <w:p w:rsidR="000728B9" w:rsidRDefault="000728B9" w:rsidP="000728B9">
      <w:pPr>
        <w:pStyle w:val="BodyText"/>
        <w:spacing w:line="360" w:lineRule="auto"/>
        <w:ind w:left="220" w:right="124"/>
        <w:jc w:val="both"/>
      </w:pPr>
      <w:r>
        <w:t>ABESEC values the undertaking of consultancy activity by its faculty. It recognizes that Consultancy</w:t>
      </w:r>
      <w:r>
        <w:rPr>
          <w:spacing w:val="-57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institute,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relationships with society, industry, NGOs, and other businesses and commerce. Consultancy can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institute,</w:t>
      </w:r>
      <w:r>
        <w:rPr>
          <w:spacing w:val="4"/>
        </w:rPr>
        <w:t xml:space="preserve"> </w:t>
      </w:r>
      <w:r>
        <w:t>department,</w:t>
      </w:r>
      <w:r>
        <w:rPr>
          <w:spacing w:val="3"/>
        </w:rPr>
        <w:t xml:space="preserve"> </w:t>
      </w:r>
      <w:r>
        <w:t>faculty,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students.</w:t>
      </w:r>
    </w:p>
    <w:p w:rsidR="000728B9" w:rsidRPr="000728B9" w:rsidRDefault="000728B9" w:rsidP="000728B9">
      <w:pPr>
        <w:pStyle w:val="Heading3"/>
        <w:jc w:val="both"/>
        <w:rPr>
          <w:rFonts w:ascii="Times New Roman" w:eastAsia="Times New Roman" w:hAnsi="Times New Roman" w:cs="Times New Roman"/>
          <w:color w:val="auto"/>
          <w:szCs w:val="24"/>
          <w:lang w:val="en-US" w:bidi="ar-SA"/>
        </w:rPr>
      </w:pPr>
      <w:bookmarkStart w:id="0" w:name="_GoBack"/>
      <w:bookmarkEnd w:id="0"/>
      <w:r w:rsidRPr="000728B9">
        <w:rPr>
          <w:rFonts w:ascii="Times New Roman" w:eastAsia="Times New Roman" w:hAnsi="Times New Roman" w:cs="Times New Roman"/>
          <w:color w:val="auto"/>
          <w:szCs w:val="24"/>
          <w:lang w:val="en-US" w:bidi="ar-SA"/>
        </w:rPr>
        <w:t>Revenue sharing:</w:t>
      </w:r>
    </w:p>
    <w:p w:rsidR="000728B9" w:rsidRDefault="000728B9" w:rsidP="000728B9">
      <w:pPr>
        <w:pStyle w:val="BodyText"/>
        <w:spacing w:before="10"/>
        <w:rPr>
          <w:b/>
        </w:rPr>
      </w:pPr>
    </w:p>
    <w:p w:rsidR="000728B9" w:rsidRDefault="000728B9" w:rsidP="000728B9">
      <w:pPr>
        <w:pStyle w:val="BodyText"/>
        <w:spacing w:line="362" w:lineRule="auto"/>
        <w:ind w:left="220" w:right="131"/>
        <w:jc w:val="both"/>
      </w:pPr>
      <w:r>
        <w:t>‘Net Surplus income’ generated out of any consultancy work will be shared between the faculty</w:t>
      </w:r>
      <w:r>
        <w:rPr>
          <w:spacing w:val="1"/>
        </w:rPr>
        <w:t xml:space="preserve"> </w:t>
      </w:r>
      <w:r>
        <w:t>consultant and the institute as described in the following table: (‘Net Surplus income’ means Income</w:t>
      </w:r>
      <w:r>
        <w:rPr>
          <w:spacing w:val="1"/>
        </w:rPr>
        <w:t xml:space="preserve"> </w:t>
      </w:r>
      <w:r>
        <w:t>generated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deduction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expenses).</w:t>
      </w:r>
    </w:p>
    <w:p w:rsidR="000728B9" w:rsidRDefault="000728B9" w:rsidP="000728B9">
      <w:pPr>
        <w:pStyle w:val="BodyText"/>
        <w:rPr>
          <w:sz w:val="20"/>
        </w:rPr>
      </w:pPr>
    </w:p>
    <w:p w:rsidR="000728B9" w:rsidRDefault="000728B9" w:rsidP="000728B9">
      <w:pPr>
        <w:pStyle w:val="BodyText"/>
        <w:spacing w:before="3"/>
        <w:rPr>
          <w:sz w:val="22"/>
        </w:rPr>
      </w:pPr>
    </w:p>
    <w:tbl>
      <w:tblPr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2714"/>
        <w:gridCol w:w="2161"/>
      </w:tblGrid>
      <w:tr w:rsidR="000728B9" w:rsidTr="008401C4">
        <w:trPr>
          <w:trHeight w:val="757"/>
        </w:trPr>
        <w:tc>
          <w:tcPr>
            <w:tcW w:w="3227" w:type="dxa"/>
          </w:tcPr>
          <w:p w:rsidR="000728B9" w:rsidRDefault="000728B9" w:rsidP="008401C4">
            <w:pPr>
              <w:pStyle w:val="TableParagraph"/>
              <w:spacing w:before="188"/>
              <w:ind w:left="753"/>
              <w:rPr>
                <w:b/>
              </w:rPr>
            </w:pPr>
            <w:r>
              <w:rPr>
                <w:b/>
              </w:rPr>
              <w:t>Consultancy work</w:t>
            </w:r>
          </w:p>
        </w:tc>
        <w:tc>
          <w:tcPr>
            <w:tcW w:w="2714" w:type="dxa"/>
          </w:tcPr>
          <w:p w:rsidR="000728B9" w:rsidRDefault="000728B9" w:rsidP="008401C4">
            <w:pPr>
              <w:pStyle w:val="TableParagraph"/>
              <w:spacing w:before="1"/>
              <w:ind w:left="348" w:right="346"/>
              <w:jc w:val="center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consultant(s)</w:t>
            </w:r>
          </w:p>
          <w:p w:rsidR="000728B9" w:rsidRDefault="000728B9" w:rsidP="008401C4">
            <w:pPr>
              <w:pStyle w:val="TableParagraph"/>
              <w:spacing w:before="126"/>
              <w:ind w:left="346" w:right="346"/>
              <w:jc w:val="center"/>
              <w:rPr>
                <w:b/>
              </w:rPr>
            </w:pPr>
            <w:r>
              <w:rPr>
                <w:b/>
              </w:rPr>
              <w:t>share (%)</w:t>
            </w:r>
          </w:p>
        </w:tc>
        <w:tc>
          <w:tcPr>
            <w:tcW w:w="2161" w:type="dxa"/>
          </w:tcPr>
          <w:p w:rsidR="000728B9" w:rsidRDefault="000728B9" w:rsidP="008401C4">
            <w:pPr>
              <w:pStyle w:val="TableParagraph"/>
              <w:spacing w:before="1"/>
              <w:ind w:left="680"/>
              <w:rPr>
                <w:b/>
              </w:rPr>
            </w:pPr>
            <w:r>
              <w:rPr>
                <w:b/>
              </w:rPr>
              <w:t>Institute</w:t>
            </w:r>
          </w:p>
          <w:p w:rsidR="000728B9" w:rsidRDefault="000728B9" w:rsidP="008401C4">
            <w:pPr>
              <w:pStyle w:val="TableParagraph"/>
              <w:spacing w:before="126"/>
              <w:ind w:left="608"/>
              <w:rPr>
                <w:b/>
              </w:rPr>
            </w:pPr>
            <w:r>
              <w:rPr>
                <w:b/>
              </w:rPr>
              <w:t>share (%)</w:t>
            </w:r>
          </w:p>
        </w:tc>
      </w:tr>
      <w:tr w:rsidR="000728B9" w:rsidTr="008401C4">
        <w:trPr>
          <w:trHeight w:val="379"/>
        </w:trPr>
        <w:tc>
          <w:tcPr>
            <w:tcW w:w="3227" w:type="dxa"/>
          </w:tcPr>
          <w:p w:rsidR="000728B9" w:rsidRDefault="000728B9" w:rsidP="008401C4">
            <w:pPr>
              <w:pStyle w:val="TableParagraph"/>
              <w:spacing w:line="249" w:lineRule="exact"/>
              <w:ind w:left="110"/>
            </w:pPr>
            <w:r>
              <w:t>Below</w:t>
            </w:r>
            <w:r>
              <w:rPr>
                <w:spacing w:val="-3"/>
              </w:rPr>
              <w:t xml:space="preserve"> </w:t>
            </w:r>
            <w:r>
              <w:t>50000</w:t>
            </w:r>
          </w:p>
        </w:tc>
        <w:tc>
          <w:tcPr>
            <w:tcW w:w="2714" w:type="dxa"/>
          </w:tcPr>
          <w:p w:rsidR="000728B9" w:rsidRDefault="000728B9" w:rsidP="008401C4">
            <w:pPr>
              <w:pStyle w:val="TableParagraph"/>
              <w:spacing w:line="249" w:lineRule="exact"/>
              <w:ind w:left="1243"/>
            </w:pPr>
            <w:r>
              <w:t>85</w:t>
            </w:r>
          </w:p>
        </w:tc>
        <w:tc>
          <w:tcPr>
            <w:tcW w:w="2161" w:type="dxa"/>
          </w:tcPr>
          <w:p w:rsidR="000728B9" w:rsidRDefault="000728B9" w:rsidP="008401C4">
            <w:pPr>
              <w:pStyle w:val="TableParagraph"/>
              <w:spacing w:line="249" w:lineRule="exact"/>
              <w:ind w:left="963"/>
            </w:pPr>
            <w:r>
              <w:t>15</w:t>
            </w:r>
          </w:p>
        </w:tc>
      </w:tr>
      <w:tr w:rsidR="000728B9" w:rsidTr="008401C4">
        <w:trPr>
          <w:trHeight w:val="378"/>
        </w:trPr>
        <w:tc>
          <w:tcPr>
            <w:tcW w:w="3227" w:type="dxa"/>
          </w:tcPr>
          <w:p w:rsidR="000728B9" w:rsidRDefault="000728B9" w:rsidP="008401C4">
            <w:pPr>
              <w:pStyle w:val="TableParagraph"/>
              <w:spacing w:line="249" w:lineRule="exact"/>
              <w:ind w:left="110"/>
            </w:pPr>
            <w:r>
              <w:t>50,001/-to</w:t>
            </w:r>
            <w:r>
              <w:rPr>
                <w:spacing w:val="-2"/>
              </w:rPr>
              <w:t xml:space="preserve"> </w:t>
            </w:r>
            <w:r>
              <w:t>2,00,000/-</w:t>
            </w:r>
          </w:p>
        </w:tc>
        <w:tc>
          <w:tcPr>
            <w:tcW w:w="2714" w:type="dxa"/>
          </w:tcPr>
          <w:p w:rsidR="000728B9" w:rsidRDefault="000728B9" w:rsidP="008401C4">
            <w:pPr>
              <w:pStyle w:val="TableParagraph"/>
              <w:spacing w:line="249" w:lineRule="exact"/>
              <w:ind w:left="1243"/>
            </w:pPr>
            <w:r>
              <w:t>80</w:t>
            </w:r>
          </w:p>
        </w:tc>
        <w:tc>
          <w:tcPr>
            <w:tcW w:w="2161" w:type="dxa"/>
          </w:tcPr>
          <w:p w:rsidR="000728B9" w:rsidRDefault="000728B9" w:rsidP="008401C4">
            <w:pPr>
              <w:pStyle w:val="TableParagraph"/>
              <w:spacing w:line="249" w:lineRule="exact"/>
              <w:ind w:left="963"/>
            </w:pPr>
            <w:r>
              <w:t>20</w:t>
            </w:r>
          </w:p>
        </w:tc>
      </w:tr>
      <w:tr w:rsidR="000728B9" w:rsidTr="008401C4">
        <w:trPr>
          <w:trHeight w:val="378"/>
        </w:trPr>
        <w:tc>
          <w:tcPr>
            <w:tcW w:w="3227" w:type="dxa"/>
          </w:tcPr>
          <w:p w:rsidR="000728B9" w:rsidRDefault="000728B9" w:rsidP="008401C4">
            <w:pPr>
              <w:pStyle w:val="TableParagraph"/>
              <w:spacing w:line="249" w:lineRule="exact"/>
              <w:ind w:left="110"/>
            </w:pPr>
            <w:r>
              <w:t>2,00,001/-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5,00,000/-</w:t>
            </w:r>
          </w:p>
        </w:tc>
        <w:tc>
          <w:tcPr>
            <w:tcW w:w="2714" w:type="dxa"/>
          </w:tcPr>
          <w:p w:rsidR="000728B9" w:rsidRDefault="000728B9" w:rsidP="008401C4">
            <w:pPr>
              <w:pStyle w:val="TableParagraph"/>
              <w:spacing w:line="249" w:lineRule="exact"/>
              <w:ind w:left="1243"/>
            </w:pPr>
            <w:r>
              <w:t>75</w:t>
            </w:r>
          </w:p>
        </w:tc>
        <w:tc>
          <w:tcPr>
            <w:tcW w:w="2161" w:type="dxa"/>
          </w:tcPr>
          <w:p w:rsidR="000728B9" w:rsidRDefault="000728B9" w:rsidP="008401C4">
            <w:pPr>
              <w:pStyle w:val="TableParagraph"/>
              <w:spacing w:line="249" w:lineRule="exact"/>
              <w:ind w:left="963"/>
            </w:pPr>
            <w:r>
              <w:t>25</w:t>
            </w:r>
          </w:p>
        </w:tc>
      </w:tr>
      <w:tr w:rsidR="000728B9" w:rsidTr="008401C4">
        <w:trPr>
          <w:trHeight w:val="378"/>
        </w:trPr>
        <w:tc>
          <w:tcPr>
            <w:tcW w:w="3227" w:type="dxa"/>
          </w:tcPr>
          <w:p w:rsidR="000728B9" w:rsidRDefault="000728B9" w:rsidP="008401C4">
            <w:pPr>
              <w:pStyle w:val="TableParagraph"/>
              <w:spacing w:line="249" w:lineRule="exact"/>
              <w:ind w:left="110"/>
            </w:pPr>
            <w:r>
              <w:t>5,00,001/-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10,00,000/-</w:t>
            </w:r>
          </w:p>
        </w:tc>
        <w:tc>
          <w:tcPr>
            <w:tcW w:w="2714" w:type="dxa"/>
          </w:tcPr>
          <w:p w:rsidR="000728B9" w:rsidRDefault="000728B9" w:rsidP="008401C4">
            <w:pPr>
              <w:pStyle w:val="TableParagraph"/>
              <w:spacing w:line="249" w:lineRule="exact"/>
              <w:ind w:left="1243"/>
            </w:pPr>
            <w:r>
              <w:t>70</w:t>
            </w:r>
          </w:p>
        </w:tc>
        <w:tc>
          <w:tcPr>
            <w:tcW w:w="2161" w:type="dxa"/>
          </w:tcPr>
          <w:p w:rsidR="000728B9" w:rsidRDefault="000728B9" w:rsidP="008401C4">
            <w:pPr>
              <w:pStyle w:val="TableParagraph"/>
              <w:spacing w:line="249" w:lineRule="exact"/>
              <w:ind w:left="963"/>
            </w:pPr>
            <w:r>
              <w:t>30</w:t>
            </w:r>
          </w:p>
        </w:tc>
      </w:tr>
      <w:tr w:rsidR="000728B9" w:rsidTr="008401C4">
        <w:trPr>
          <w:trHeight w:val="379"/>
        </w:trPr>
        <w:tc>
          <w:tcPr>
            <w:tcW w:w="3227" w:type="dxa"/>
          </w:tcPr>
          <w:p w:rsidR="000728B9" w:rsidRDefault="000728B9" w:rsidP="008401C4">
            <w:pPr>
              <w:pStyle w:val="TableParagraph"/>
              <w:spacing w:line="249" w:lineRule="exact"/>
              <w:ind w:left="110"/>
            </w:pPr>
            <w:r>
              <w:t>Above</w:t>
            </w:r>
            <w:r>
              <w:rPr>
                <w:spacing w:val="-2"/>
              </w:rPr>
              <w:t xml:space="preserve"> </w:t>
            </w:r>
            <w:r>
              <w:t>10,00,000/-</w:t>
            </w:r>
          </w:p>
        </w:tc>
        <w:tc>
          <w:tcPr>
            <w:tcW w:w="2714" w:type="dxa"/>
          </w:tcPr>
          <w:p w:rsidR="000728B9" w:rsidRDefault="000728B9" w:rsidP="008401C4">
            <w:pPr>
              <w:pStyle w:val="TableParagraph"/>
              <w:spacing w:line="249" w:lineRule="exact"/>
              <w:ind w:left="1243"/>
            </w:pPr>
            <w:r>
              <w:t>65</w:t>
            </w:r>
          </w:p>
        </w:tc>
        <w:tc>
          <w:tcPr>
            <w:tcW w:w="2161" w:type="dxa"/>
          </w:tcPr>
          <w:p w:rsidR="000728B9" w:rsidRDefault="000728B9" w:rsidP="008401C4">
            <w:pPr>
              <w:pStyle w:val="TableParagraph"/>
              <w:spacing w:line="249" w:lineRule="exact"/>
              <w:ind w:left="963"/>
            </w:pPr>
            <w:r>
              <w:t>35</w:t>
            </w:r>
          </w:p>
        </w:tc>
      </w:tr>
    </w:tbl>
    <w:p w:rsidR="000728B9" w:rsidRDefault="000728B9" w:rsidP="000728B9">
      <w:pPr>
        <w:pStyle w:val="BodyText"/>
        <w:rPr>
          <w:sz w:val="20"/>
        </w:rPr>
      </w:pPr>
    </w:p>
    <w:p w:rsidR="000728B9" w:rsidRDefault="000728B9" w:rsidP="000728B9">
      <w:pPr>
        <w:pStyle w:val="BodyText"/>
        <w:spacing w:before="5"/>
        <w:rPr>
          <w:sz w:val="21"/>
        </w:rPr>
      </w:pPr>
    </w:p>
    <w:p w:rsidR="000728B9" w:rsidRDefault="000728B9" w:rsidP="000728B9">
      <w:pPr>
        <w:pStyle w:val="ListParagraph"/>
        <w:numPr>
          <w:ilvl w:val="0"/>
          <w:numId w:val="2"/>
        </w:numPr>
        <w:tabs>
          <w:tab w:val="left" w:pos="490"/>
        </w:tabs>
        <w:spacing w:line="362" w:lineRule="auto"/>
        <w:ind w:right="116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consultants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Instructor/Lab</w:t>
      </w:r>
      <w:r>
        <w:rPr>
          <w:spacing w:val="1"/>
          <w:sz w:val="24"/>
        </w:rPr>
        <w:t xml:space="preserve"> </w:t>
      </w:r>
      <w:r>
        <w:rPr>
          <w:sz w:val="24"/>
        </w:rPr>
        <w:t>assistant/Workshop assistant etc. who contributed to consultancy work as decided upon a Case-to-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5"/>
          <w:sz w:val="24"/>
        </w:rPr>
        <w:t xml:space="preserve"> </w:t>
      </w:r>
      <w:r>
        <w:rPr>
          <w:sz w:val="24"/>
        </w:rPr>
        <w:t>basis.</w:t>
      </w:r>
    </w:p>
    <w:p w:rsidR="000728B9" w:rsidRPr="000728B9" w:rsidRDefault="000728B9" w:rsidP="000728B9">
      <w:pPr>
        <w:pStyle w:val="ListParagraph"/>
        <w:numPr>
          <w:ilvl w:val="0"/>
          <w:numId w:val="3"/>
        </w:numPr>
        <w:tabs>
          <w:tab w:val="left" w:pos="490"/>
        </w:tabs>
        <w:spacing w:line="360" w:lineRule="auto"/>
        <w:ind w:right="125"/>
        <w:jc w:val="both"/>
        <w:rPr>
          <w:sz w:val="24"/>
        </w:rPr>
      </w:pPr>
      <w:r w:rsidRPr="000728B9">
        <w:rPr>
          <w:sz w:val="24"/>
        </w:rPr>
        <w:t>The amount will be disbursed after completion of the consultancy work and submission of client's</w:t>
      </w:r>
      <w:r w:rsidRPr="000728B9">
        <w:rPr>
          <w:spacing w:val="1"/>
          <w:sz w:val="24"/>
        </w:rPr>
        <w:t xml:space="preserve"> </w:t>
      </w:r>
      <w:r w:rsidRPr="000728B9">
        <w:rPr>
          <w:sz w:val="24"/>
        </w:rPr>
        <w:t>certificate.</w:t>
      </w:r>
    </w:p>
    <w:p w:rsidR="000728B9" w:rsidRPr="000728B9" w:rsidRDefault="000728B9" w:rsidP="000728B9">
      <w:pPr>
        <w:pStyle w:val="ListParagraph"/>
        <w:numPr>
          <w:ilvl w:val="0"/>
          <w:numId w:val="3"/>
        </w:numPr>
        <w:tabs>
          <w:tab w:val="left" w:pos="490"/>
        </w:tabs>
        <w:spacing w:line="362" w:lineRule="auto"/>
        <w:ind w:right="138"/>
        <w:jc w:val="both"/>
        <w:rPr>
          <w:sz w:val="24"/>
        </w:rPr>
      </w:pPr>
      <w:r w:rsidRPr="000728B9">
        <w:rPr>
          <w:sz w:val="24"/>
        </w:rPr>
        <w:t>The 'Institute Share' may include the amount for personnel who might have facilitated getting the</w:t>
      </w:r>
      <w:r w:rsidRPr="000728B9">
        <w:rPr>
          <w:spacing w:val="1"/>
          <w:sz w:val="24"/>
        </w:rPr>
        <w:t xml:space="preserve"> </w:t>
      </w:r>
      <w:r w:rsidRPr="000728B9">
        <w:rPr>
          <w:sz w:val="24"/>
        </w:rPr>
        <w:t>consultancy</w:t>
      </w:r>
      <w:r w:rsidRPr="000728B9">
        <w:rPr>
          <w:spacing w:val="-9"/>
          <w:sz w:val="24"/>
        </w:rPr>
        <w:t xml:space="preserve"> </w:t>
      </w:r>
      <w:r w:rsidRPr="000728B9">
        <w:rPr>
          <w:sz w:val="24"/>
        </w:rPr>
        <w:t>project,</w:t>
      </w:r>
      <w:r w:rsidRPr="000728B9">
        <w:rPr>
          <w:spacing w:val="4"/>
          <w:sz w:val="24"/>
        </w:rPr>
        <w:t xml:space="preserve"> </w:t>
      </w:r>
      <w:r w:rsidRPr="000728B9">
        <w:rPr>
          <w:sz w:val="24"/>
        </w:rPr>
        <w:t>wherever</w:t>
      </w:r>
      <w:r w:rsidRPr="000728B9">
        <w:rPr>
          <w:spacing w:val="3"/>
          <w:sz w:val="24"/>
        </w:rPr>
        <w:t xml:space="preserve"> </w:t>
      </w:r>
      <w:r w:rsidRPr="000728B9">
        <w:rPr>
          <w:sz w:val="24"/>
        </w:rPr>
        <w:t>applicable.</w:t>
      </w:r>
    </w:p>
    <w:p w:rsidR="000728B9" w:rsidRPr="000728B9" w:rsidRDefault="000728B9" w:rsidP="000728B9">
      <w:pPr>
        <w:pStyle w:val="ListParagraph"/>
        <w:numPr>
          <w:ilvl w:val="0"/>
          <w:numId w:val="3"/>
        </w:numPr>
        <w:tabs>
          <w:tab w:val="left" w:pos="490"/>
        </w:tabs>
        <w:spacing w:line="273" w:lineRule="exact"/>
        <w:jc w:val="both"/>
        <w:rPr>
          <w:sz w:val="24"/>
        </w:rPr>
      </w:pPr>
      <w:r w:rsidRPr="000728B9">
        <w:rPr>
          <w:sz w:val="24"/>
        </w:rPr>
        <w:t>The progress</w:t>
      </w:r>
      <w:r w:rsidRPr="000728B9">
        <w:rPr>
          <w:spacing w:val="-7"/>
          <w:sz w:val="24"/>
        </w:rPr>
        <w:t xml:space="preserve"> </w:t>
      </w:r>
      <w:r w:rsidRPr="000728B9">
        <w:rPr>
          <w:sz w:val="24"/>
        </w:rPr>
        <w:t>of</w:t>
      </w:r>
      <w:r w:rsidRPr="000728B9">
        <w:rPr>
          <w:spacing w:val="-8"/>
          <w:sz w:val="24"/>
        </w:rPr>
        <w:t xml:space="preserve"> </w:t>
      </w:r>
      <w:r w:rsidRPr="000728B9">
        <w:rPr>
          <w:sz w:val="24"/>
        </w:rPr>
        <w:t>each</w:t>
      </w:r>
      <w:r w:rsidRPr="000728B9">
        <w:rPr>
          <w:spacing w:val="-5"/>
          <w:sz w:val="24"/>
        </w:rPr>
        <w:t xml:space="preserve"> </w:t>
      </w:r>
      <w:r w:rsidRPr="000728B9">
        <w:rPr>
          <w:sz w:val="24"/>
        </w:rPr>
        <w:t>consultancy</w:t>
      </w:r>
      <w:r w:rsidRPr="000728B9">
        <w:rPr>
          <w:spacing w:val="-5"/>
          <w:sz w:val="24"/>
        </w:rPr>
        <w:t xml:space="preserve"> </w:t>
      </w:r>
      <w:r w:rsidRPr="000728B9">
        <w:rPr>
          <w:sz w:val="24"/>
        </w:rPr>
        <w:t>work</w:t>
      </w:r>
      <w:r w:rsidRPr="000728B9">
        <w:rPr>
          <w:spacing w:val="5"/>
          <w:sz w:val="24"/>
        </w:rPr>
        <w:t xml:space="preserve"> </w:t>
      </w:r>
      <w:r w:rsidRPr="000728B9">
        <w:rPr>
          <w:sz w:val="24"/>
        </w:rPr>
        <w:t>shall be</w:t>
      </w:r>
      <w:r w:rsidRPr="000728B9">
        <w:rPr>
          <w:spacing w:val="-1"/>
          <w:sz w:val="24"/>
        </w:rPr>
        <w:t xml:space="preserve"> </w:t>
      </w:r>
      <w:r w:rsidRPr="000728B9">
        <w:rPr>
          <w:sz w:val="24"/>
        </w:rPr>
        <w:t>reviewed</w:t>
      </w:r>
      <w:r w:rsidRPr="000728B9">
        <w:rPr>
          <w:spacing w:val="4"/>
          <w:sz w:val="24"/>
        </w:rPr>
        <w:t xml:space="preserve"> </w:t>
      </w:r>
      <w:r w:rsidRPr="000728B9">
        <w:rPr>
          <w:sz w:val="24"/>
        </w:rPr>
        <w:t>by</w:t>
      </w:r>
      <w:r w:rsidRPr="000728B9">
        <w:rPr>
          <w:spacing w:val="-9"/>
          <w:sz w:val="24"/>
        </w:rPr>
        <w:t xml:space="preserve"> </w:t>
      </w:r>
      <w:r w:rsidRPr="000728B9">
        <w:rPr>
          <w:sz w:val="24"/>
        </w:rPr>
        <w:t>dean</w:t>
      </w:r>
      <w:r w:rsidRPr="000728B9">
        <w:rPr>
          <w:spacing w:val="-5"/>
          <w:sz w:val="24"/>
        </w:rPr>
        <w:t xml:space="preserve"> </w:t>
      </w:r>
      <w:r w:rsidRPr="000728B9">
        <w:rPr>
          <w:sz w:val="24"/>
        </w:rPr>
        <w:t>research</w:t>
      </w:r>
      <w:r w:rsidRPr="000728B9">
        <w:rPr>
          <w:spacing w:val="-5"/>
          <w:sz w:val="24"/>
        </w:rPr>
        <w:t xml:space="preserve"> </w:t>
      </w:r>
      <w:r w:rsidRPr="000728B9">
        <w:rPr>
          <w:sz w:val="24"/>
        </w:rPr>
        <w:t>at regular</w:t>
      </w:r>
      <w:r w:rsidRPr="000728B9">
        <w:rPr>
          <w:spacing w:val="6"/>
          <w:sz w:val="24"/>
        </w:rPr>
        <w:t xml:space="preserve"> </w:t>
      </w:r>
      <w:r w:rsidRPr="000728B9">
        <w:rPr>
          <w:sz w:val="24"/>
        </w:rPr>
        <w:t>intervals.</w:t>
      </w:r>
    </w:p>
    <w:p w:rsidR="000728B9" w:rsidRPr="000728B9" w:rsidRDefault="000728B9" w:rsidP="000728B9">
      <w:pPr>
        <w:pStyle w:val="ListParagraph"/>
        <w:numPr>
          <w:ilvl w:val="0"/>
          <w:numId w:val="3"/>
        </w:numPr>
        <w:tabs>
          <w:tab w:val="left" w:pos="490"/>
        </w:tabs>
        <w:spacing w:before="128" w:line="360" w:lineRule="auto"/>
        <w:ind w:right="125"/>
        <w:jc w:val="both"/>
        <w:rPr>
          <w:sz w:val="24"/>
        </w:rPr>
      </w:pPr>
      <w:r w:rsidRPr="000728B9">
        <w:rPr>
          <w:sz w:val="24"/>
        </w:rPr>
        <w:t xml:space="preserve">The Faculty </w:t>
      </w:r>
      <w:r w:rsidRPr="000728B9">
        <w:rPr>
          <w:sz w:val="24"/>
        </w:rPr>
        <w:t>Consultant</w:t>
      </w:r>
      <w:r w:rsidRPr="000728B9">
        <w:rPr>
          <w:sz w:val="24"/>
        </w:rPr>
        <w:t xml:space="preserve"> will submit the claim application to Dean </w:t>
      </w:r>
      <w:r w:rsidRPr="000728B9">
        <w:rPr>
          <w:sz w:val="24"/>
        </w:rPr>
        <w:t>Research</w:t>
      </w:r>
      <w:r w:rsidRPr="000728B9">
        <w:rPr>
          <w:sz w:val="24"/>
        </w:rPr>
        <w:t xml:space="preserve"> after the completion</w:t>
      </w:r>
      <w:r w:rsidRPr="000728B9">
        <w:rPr>
          <w:spacing w:val="1"/>
          <w:sz w:val="24"/>
        </w:rPr>
        <w:t xml:space="preserve"> </w:t>
      </w:r>
      <w:r w:rsidRPr="000728B9">
        <w:rPr>
          <w:sz w:val="24"/>
        </w:rPr>
        <w:t>of</w:t>
      </w:r>
      <w:r w:rsidRPr="000728B9">
        <w:rPr>
          <w:spacing w:val="-7"/>
          <w:sz w:val="24"/>
        </w:rPr>
        <w:t xml:space="preserve"> </w:t>
      </w:r>
      <w:r w:rsidRPr="000728B9">
        <w:rPr>
          <w:sz w:val="24"/>
        </w:rPr>
        <w:t>consultancy</w:t>
      </w:r>
      <w:r w:rsidRPr="000728B9">
        <w:rPr>
          <w:spacing w:val="-3"/>
          <w:sz w:val="24"/>
        </w:rPr>
        <w:t xml:space="preserve"> </w:t>
      </w:r>
      <w:r w:rsidRPr="000728B9">
        <w:rPr>
          <w:sz w:val="24"/>
        </w:rPr>
        <w:t>work</w:t>
      </w:r>
      <w:r w:rsidRPr="000728B9">
        <w:rPr>
          <w:spacing w:val="5"/>
          <w:sz w:val="24"/>
        </w:rPr>
        <w:t xml:space="preserve"> </w:t>
      </w:r>
      <w:r w:rsidRPr="000728B9">
        <w:rPr>
          <w:sz w:val="24"/>
        </w:rPr>
        <w:t>with</w:t>
      </w:r>
      <w:r w:rsidRPr="000728B9">
        <w:rPr>
          <w:spacing w:val="-3"/>
          <w:sz w:val="24"/>
        </w:rPr>
        <w:t xml:space="preserve"> </w:t>
      </w:r>
      <w:r w:rsidRPr="000728B9">
        <w:rPr>
          <w:sz w:val="24"/>
        </w:rPr>
        <w:t>client's certificate</w:t>
      </w:r>
    </w:p>
    <w:p w:rsidR="000728B9" w:rsidRDefault="000728B9"/>
    <w:sectPr w:rsidR="0007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644F2"/>
    <w:multiLevelType w:val="hybridMultilevel"/>
    <w:tmpl w:val="68A29DF6"/>
    <w:lvl w:ilvl="0" w:tplc="40090001">
      <w:start w:val="1"/>
      <w:numFmt w:val="bullet"/>
      <w:lvlText w:val=""/>
      <w:lvlJc w:val="left"/>
      <w:pPr>
        <w:ind w:left="220" w:hanging="269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E60E3ED0">
      <w:numFmt w:val="bullet"/>
      <w:lvlText w:val="•"/>
      <w:lvlJc w:val="left"/>
      <w:pPr>
        <w:ind w:left="1208" w:hanging="269"/>
      </w:pPr>
      <w:rPr>
        <w:rFonts w:hint="default"/>
        <w:lang w:val="en-US" w:eastAsia="en-US" w:bidi="ar-SA"/>
      </w:rPr>
    </w:lvl>
    <w:lvl w:ilvl="2" w:tplc="0DD4F4BC">
      <w:numFmt w:val="bullet"/>
      <w:lvlText w:val="•"/>
      <w:lvlJc w:val="left"/>
      <w:pPr>
        <w:ind w:left="2196" w:hanging="269"/>
      </w:pPr>
      <w:rPr>
        <w:rFonts w:hint="default"/>
        <w:lang w:val="en-US" w:eastAsia="en-US" w:bidi="ar-SA"/>
      </w:rPr>
    </w:lvl>
    <w:lvl w:ilvl="3" w:tplc="86ACDC10">
      <w:numFmt w:val="bullet"/>
      <w:lvlText w:val="•"/>
      <w:lvlJc w:val="left"/>
      <w:pPr>
        <w:ind w:left="3185" w:hanging="269"/>
      </w:pPr>
      <w:rPr>
        <w:rFonts w:hint="default"/>
        <w:lang w:val="en-US" w:eastAsia="en-US" w:bidi="ar-SA"/>
      </w:rPr>
    </w:lvl>
    <w:lvl w:ilvl="4" w:tplc="DED4FB94">
      <w:numFmt w:val="bullet"/>
      <w:lvlText w:val="•"/>
      <w:lvlJc w:val="left"/>
      <w:pPr>
        <w:ind w:left="4173" w:hanging="269"/>
      </w:pPr>
      <w:rPr>
        <w:rFonts w:hint="default"/>
        <w:lang w:val="en-US" w:eastAsia="en-US" w:bidi="ar-SA"/>
      </w:rPr>
    </w:lvl>
    <w:lvl w:ilvl="5" w:tplc="19808F70">
      <w:numFmt w:val="bullet"/>
      <w:lvlText w:val="•"/>
      <w:lvlJc w:val="left"/>
      <w:pPr>
        <w:ind w:left="5162" w:hanging="269"/>
      </w:pPr>
      <w:rPr>
        <w:rFonts w:hint="default"/>
        <w:lang w:val="en-US" w:eastAsia="en-US" w:bidi="ar-SA"/>
      </w:rPr>
    </w:lvl>
    <w:lvl w:ilvl="6" w:tplc="684804E4">
      <w:numFmt w:val="bullet"/>
      <w:lvlText w:val="•"/>
      <w:lvlJc w:val="left"/>
      <w:pPr>
        <w:ind w:left="6150" w:hanging="269"/>
      </w:pPr>
      <w:rPr>
        <w:rFonts w:hint="default"/>
        <w:lang w:val="en-US" w:eastAsia="en-US" w:bidi="ar-SA"/>
      </w:rPr>
    </w:lvl>
    <w:lvl w:ilvl="7" w:tplc="0ADAB902">
      <w:numFmt w:val="bullet"/>
      <w:lvlText w:val="•"/>
      <w:lvlJc w:val="left"/>
      <w:pPr>
        <w:ind w:left="7138" w:hanging="269"/>
      </w:pPr>
      <w:rPr>
        <w:rFonts w:hint="default"/>
        <w:lang w:val="en-US" w:eastAsia="en-US" w:bidi="ar-SA"/>
      </w:rPr>
    </w:lvl>
    <w:lvl w:ilvl="8" w:tplc="0178A7E0">
      <w:numFmt w:val="bullet"/>
      <w:lvlText w:val="•"/>
      <w:lvlJc w:val="left"/>
      <w:pPr>
        <w:ind w:left="8127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5BDE213C"/>
    <w:multiLevelType w:val="hybridMultilevel"/>
    <w:tmpl w:val="7AC67660"/>
    <w:lvl w:ilvl="0" w:tplc="1ED2B98C">
      <w:numFmt w:val="bullet"/>
      <w:lvlText w:val="-"/>
      <w:lvlJc w:val="left"/>
      <w:pPr>
        <w:ind w:left="22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0E3ED0">
      <w:numFmt w:val="bullet"/>
      <w:lvlText w:val="•"/>
      <w:lvlJc w:val="left"/>
      <w:pPr>
        <w:ind w:left="1208" w:hanging="269"/>
      </w:pPr>
      <w:rPr>
        <w:rFonts w:hint="default"/>
        <w:lang w:val="en-US" w:eastAsia="en-US" w:bidi="ar-SA"/>
      </w:rPr>
    </w:lvl>
    <w:lvl w:ilvl="2" w:tplc="0DD4F4BC">
      <w:numFmt w:val="bullet"/>
      <w:lvlText w:val="•"/>
      <w:lvlJc w:val="left"/>
      <w:pPr>
        <w:ind w:left="2196" w:hanging="269"/>
      </w:pPr>
      <w:rPr>
        <w:rFonts w:hint="default"/>
        <w:lang w:val="en-US" w:eastAsia="en-US" w:bidi="ar-SA"/>
      </w:rPr>
    </w:lvl>
    <w:lvl w:ilvl="3" w:tplc="86ACDC10">
      <w:numFmt w:val="bullet"/>
      <w:lvlText w:val="•"/>
      <w:lvlJc w:val="left"/>
      <w:pPr>
        <w:ind w:left="3185" w:hanging="269"/>
      </w:pPr>
      <w:rPr>
        <w:rFonts w:hint="default"/>
        <w:lang w:val="en-US" w:eastAsia="en-US" w:bidi="ar-SA"/>
      </w:rPr>
    </w:lvl>
    <w:lvl w:ilvl="4" w:tplc="DED4FB94">
      <w:numFmt w:val="bullet"/>
      <w:lvlText w:val="•"/>
      <w:lvlJc w:val="left"/>
      <w:pPr>
        <w:ind w:left="4173" w:hanging="269"/>
      </w:pPr>
      <w:rPr>
        <w:rFonts w:hint="default"/>
        <w:lang w:val="en-US" w:eastAsia="en-US" w:bidi="ar-SA"/>
      </w:rPr>
    </w:lvl>
    <w:lvl w:ilvl="5" w:tplc="19808F70">
      <w:numFmt w:val="bullet"/>
      <w:lvlText w:val="•"/>
      <w:lvlJc w:val="left"/>
      <w:pPr>
        <w:ind w:left="5162" w:hanging="269"/>
      </w:pPr>
      <w:rPr>
        <w:rFonts w:hint="default"/>
        <w:lang w:val="en-US" w:eastAsia="en-US" w:bidi="ar-SA"/>
      </w:rPr>
    </w:lvl>
    <w:lvl w:ilvl="6" w:tplc="684804E4">
      <w:numFmt w:val="bullet"/>
      <w:lvlText w:val="•"/>
      <w:lvlJc w:val="left"/>
      <w:pPr>
        <w:ind w:left="6150" w:hanging="269"/>
      </w:pPr>
      <w:rPr>
        <w:rFonts w:hint="default"/>
        <w:lang w:val="en-US" w:eastAsia="en-US" w:bidi="ar-SA"/>
      </w:rPr>
    </w:lvl>
    <w:lvl w:ilvl="7" w:tplc="0ADAB902">
      <w:numFmt w:val="bullet"/>
      <w:lvlText w:val="•"/>
      <w:lvlJc w:val="left"/>
      <w:pPr>
        <w:ind w:left="7138" w:hanging="269"/>
      </w:pPr>
      <w:rPr>
        <w:rFonts w:hint="default"/>
        <w:lang w:val="en-US" w:eastAsia="en-US" w:bidi="ar-SA"/>
      </w:rPr>
    </w:lvl>
    <w:lvl w:ilvl="8" w:tplc="0178A7E0">
      <w:numFmt w:val="bullet"/>
      <w:lvlText w:val="•"/>
      <w:lvlJc w:val="left"/>
      <w:pPr>
        <w:ind w:left="8127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B9"/>
    <w:rsid w:val="000728B9"/>
    <w:rsid w:val="007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5B24"/>
  <w15:chartTrackingRefBased/>
  <w15:docId w15:val="{C8FE505F-73C6-45FC-A78A-1B6E410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728B9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728B9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8B9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BodyText">
    <w:name w:val="Body Text"/>
    <w:basedOn w:val="Normal"/>
    <w:link w:val="BodyTextChar"/>
    <w:uiPriority w:val="1"/>
    <w:qFormat/>
    <w:rsid w:val="000728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728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0728B9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0728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2024-05-21T14:17:00Z</dcterms:created>
  <dcterms:modified xsi:type="dcterms:W3CDTF">2024-05-21T14:18:00Z</dcterms:modified>
</cp:coreProperties>
</file>