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color w:val="1F3864"/>
          <w:sz w:val="36"/>
          <w:szCs w:val="36"/>
        </w:rPr>
        <w:t xml:space="preserve">BRIDGE Rendszer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44546A"/>
          <w:sz w:val="26"/>
          <w:szCs w:val="26"/>
        </w:rPr>
        <w:t xml:space="preserve">1/A melléklet — Vezetéktelepítési mód és diszkrét moduláris kiállás-könyvtár</w:t>
      </w:r>
    </w:p>
    <w:p>
      <w:pPr>
        <w:spacing w:after="300"/>
      </w:pPr>
      <w:r>
        <w:rPr>
          <w:rFonts w:ascii="Calibri" w:cs="Calibri" w:eastAsia="Calibri" w:hAnsi="Calibri"/>
          <w:i/>
          <w:iCs/>
          <w:color w:val="777777"/>
          <w:sz w:val="20"/>
          <w:szCs w:val="20"/>
        </w:rPr>
        <w:t xml:space="preserve">A „BRIDGE SELV 12/24V telepítési standard” dokumentum kiegészítése — Varler Group</w:t>
      </w:r>
    </w:p>
    <w:p>
      <w:pPr>
        <w:pStyle w:val="Heading1"/>
        <w:spacing w:after="160" w:before="360"/>
      </w:pPr>
      <w:r>
        <w:t xml:space="preserve">1. Vezetéktelepítési mód — 2×0,75 mm² jelvezeték</w:t>
      </w:r>
    </w:p>
    <w:p>
      <w:pPr>
        <w:spacing w:after="140"/>
      </w:pPr>
      <w:r>
        <w:rPr>
          <w:rFonts w:ascii="Calibri" w:cs="Calibri" w:eastAsia="Calibri" w:hAnsi="Calibri"/>
          <w:sz w:val="22"/>
          <w:szCs w:val="22"/>
        </w:rPr>
        <w:t xml:space="preserve">A 2×0,75 mm² sodrott vezeték nem esik a fix 230V-os hálózat 1,5/2,5 mm²-es minimuma alá (lásd az alapdokumentum 2–4. pontját). A telepítési mód megválasztása ezért nem tiltás, hanem kivitelezési alapelv kérdése — az alábbi táblázat összegzi az egyes módokat.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5000"/>
      </w:tblGrid>
      <w:tr>
        <w:trPr>
          <w:tblHeader/>
        </w:trPr>
        <w:tc>
          <w:tcPr>
            <w:tcW w:type="dxa" w:w="2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Telepítési mód</w:t>
            </w:r>
          </w:p>
        </w:tc>
        <w:tc>
          <w:tcPr>
            <w:tcW w:type="dxa" w:w="18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Megítélés</w:t>
            </w:r>
          </w:p>
        </w:tc>
        <w:tc>
          <w:tcPr>
            <w:tcW w:type="dxa" w:w="50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Indoklás / feltétel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Védőcsőben, falban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Megengedett</w:t>
            </w:r>
          </w:p>
        </w:tc>
        <w:tc>
          <w:tcPr>
            <w:tcW w:type="dxa" w:w="5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Kerek köpenyű, jobb mechanikai/hőállóságú kivitel (pl. H05VV-F) javasolt; lapos, hordozható célú zsinór (H03VVH2-F) rejtett, végleges szerelésre kerülendő</w:t>
            </w:r>
          </w:p>
        </w:tc>
      </w:tr>
      <w:tr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Direkt begipszelve, cső nélkül</w:t>
            </w:r>
          </w:p>
        </w:tc>
        <w:tc>
          <w:tcPr>
            <w:tcW w:type="dxa" w:w="1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Kerülendő</w:t>
            </w:r>
          </w:p>
        </w:tc>
        <w:tc>
          <w:tcPr>
            <w:tcW w:type="dxa" w:w="5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Nem cserélhető/húzható újra meghibásodás vagy bővítés esetén — moduláris rendszernél ez a legnagyobb kockázat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Cat kábellel egy csőben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Megengedett</w:t>
            </w:r>
          </w:p>
        </w:tc>
        <w:tc>
          <w:tcPr>
            <w:tcW w:type="dxa" w:w="5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Mindkettő gyengeáramú, erősáramtól-elválasztási szabály nem érinti; zajvédelmi okból ne legyen összesodorva DC tápvezetékkel, ha impulzusjel fut rajta</w:t>
            </w:r>
          </w:p>
        </w:tc>
      </w:tr>
      <w:tr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Falon kívül (surface)</w:t>
            </w:r>
          </w:p>
        </w:tc>
        <w:tc>
          <w:tcPr>
            <w:tcW w:type="dxa" w:w="1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Megengedett</w:t>
            </w:r>
          </w:p>
        </w:tc>
        <w:tc>
          <w:tcPr>
            <w:tcW w:type="dxa" w:w="5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Diszkrét céllal vakolat alatti vagy kábelcsatornás, festhető kivitel javasolt, szabad zsinór nem</w:t>
            </w:r>
          </w:p>
        </w:tc>
      </w:tr>
    </w:tbl>
    <w:p>
      <w:pPr>
        <w:pBdr>
          <w:left w:val="single" w:color="999999" w:sz="12" w:space="8"/>
        </w:pBdr>
        <w:spacing w:after="160"/>
        <w:ind w:left="20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Alapelv az egész BRIDGE-hálóra: minden jelvezeték üres tartalék-kapacitású védőcsőben fusson, húzózsinórral — ez teszi lehetővé, hogy a rendszer utólag, vésés nélkül bővíthető/átalakítható maradjon.</w:t>
      </w:r>
    </w:p>
    <w:p>
      <w:pPr>
        <w:pStyle w:val="Heading1"/>
        <w:spacing w:after="160" w:before="360"/>
      </w:pPr>
      <w:r>
        <w:t xml:space="preserve">2. Moduláris kiállás-koncepció</w:t>
      </w:r>
    </w:p>
    <w:p>
      <w:pPr>
        <w:spacing w:after="140"/>
      </w:pPr>
      <w:r>
        <w:rPr>
          <w:rFonts w:ascii="Calibri" w:cs="Calibri" w:eastAsia="Calibri" w:hAnsi="Calibri"/>
          <w:sz w:val="22"/>
          <w:szCs w:val="22"/>
        </w:rPr>
        <w:t xml:space="preserve">A cél: minden falra szerelhető BRIDGE-eszköz helye előre elő van készítve, egységes doboz- és csőmérettel, csillag-topológiával a legközelebbi zónaelosztóhoz — így egy adott ponton utólag bármilyen modul (érzékelő, olvasó, kijelző, relé) beköthető anélkül, hogy a falat újra meg kellene bontani.</w:t>
      </w:r>
    </w:p>
    <w:p>
      <w:pPr>
        <w:pStyle w:val="Heading2"/>
        <w:spacing w:after="120" w:before="260"/>
      </w:pPr>
      <w:r>
        <w:t xml:space="preserve">2.1 Egységes kiállás-elem (minden ponton azonos)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Süllyesztett szerelvénydoboz — egységes méret/mélység minden ponton, hogy a jövőbeni modul fizikailag mindig illeszkedjen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1× SELV tápérpár (12V vagy 24V, zóna szerint — lásd alapdokumentum 3. pont)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1× jel-/buszérpár (árnyékolt, vagy a Cat-tartalék pár dedikálva)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1× üres tartalék védőcső (min. Ø16 mm) húzózsinórral — jövőbeni bővítésre, ismeretlen jövőbeni eszköztípusra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Vakfedél a végleges eszköz kiválasztásáig — falszínre/festésre igazítva, hogy diszkrét maradjon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Csillag-bekötés a legközelebbi szobai/zóna BRIDGE-elosztóba — nem láncolva, hogy egy pont önállóan cserélhető/bővíthető legyen</w:t>
      </w:r>
    </w:p>
    <w:p>
      <w:pPr>
        <w:pStyle w:val="Heading1"/>
        <w:spacing w:after="160" w:before="360"/>
      </w:pPr>
      <w:r>
        <w:t xml:space="preserve">3. Kiállás-pontok — bejárati zóna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2000"/>
        <w:gridCol w:w="2600"/>
      </w:tblGrid>
      <w:tr>
        <w:trPr>
          <w:tblHeader/>
        </w:trPr>
        <w:tc>
          <w:tcPr>
            <w:tcW w:type="dxa" w:w="18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Pozíció</w:t>
            </w:r>
          </w:p>
        </w:tc>
        <w:tc>
          <w:tcPr>
            <w:tcW w:type="dxa" w:w="30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Funkció(k)</w:t>
            </w:r>
          </w:p>
        </w:tc>
        <w:tc>
          <w:tcPr>
            <w:tcW w:type="dxa" w:w="20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Ajánlott magasság / hely</w:t>
            </w:r>
          </w:p>
        </w:tc>
        <w:tc>
          <w:tcPr>
            <w:tcW w:type="dxa" w:w="2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Kiállás tartalma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Bejárati ajtó fölött (kültér/beltér határ)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Lámpa + mozgás-/jelenlétérzékelő kombó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Ajtókeret felső éle fölött kb. +200–300 mm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Táppár + jelpár + tartalék cső; kültéri oldalon nedvesség elleni (min. IP44) kivitel</w:t>
            </w:r>
          </w:p>
        </w:tc>
      </w:tr>
      <w:tr>
        <w:tc>
          <w:tcPr>
            <w:tcW w:type="dxa" w:w="1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Ajtó melletti fal sarka</w:t>
            </w:r>
          </w:p>
        </w:tc>
        <w:tc>
          <w:tcPr>
            <w:tcW w:type="dxa" w:w="3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Mozgásérzékelő / kamera kiállás</w:t>
            </w:r>
          </w:p>
        </w:tc>
        <w:tc>
          <w:tcPr>
            <w:tcW w:type="dxa" w:w="2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2200–2400 mm (sarok, rálátás a bejáratra és a helyiségre)</w:t>
            </w:r>
          </w:p>
        </w:tc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Táppár + jelpár + tartalék cső; szögbeállítást engedő doboz-forma javasolt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Ajtó felső sarka (tok/keret)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Nyílásérzékelő (mágneses/reed)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Az ajtólap és a tok találkozásának felső sarkában, a záródó élen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Vékony jelpár elegendő; rövid szakasz, gégecsőben az ajtótok mentén vezetve</w:t>
            </w:r>
          </w:p>
        </w:tc>
      </w:tr>
      <w:tr>
        <w:tc>
          <w:tcPr>
            <w:tcW w:type="dxa" w:w="1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Ajtó melletti fal, kapcsoló mellett — multi-pont</w:t>
            </w:r>
          </w:p>
        </w:tc>
        <w:tc>
          <w:tcPr>
            <w:tcW w:type="dxa" w:w="3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ESP vezérlőpanel tápellátás, numpad/ujjlenyomat/NFC olvasó, csengő-kiegészítő jelzőfény, vezeték nélküli süllyesztett modulos dugalj + kapcsolóvezérlés</w:t>
            </w:r>
          </w:p>
        </w:tc>
        <w:tc>
          <w:tcPr>
            <w:tcW w:type="dxa" w:w="2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1100 mm (kapcsolómagasság — lásd alapdokumentum 7. pont)</w:t>
            </w:r>
          </w:p>
        </w:tc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Bővített kiállás: 2× táppár (külön ág a nagyobb fogyasztású ESP panelnek), 2× jelpár, 2× tartalék cső — több eszköz egy helyen, egyenként csillagban az elosztóhoz</w:t>
            </w:r>
          </w:p>
        </w:tc>
      </w:tr>
    </w:tbl>
    <w:p>
      <w:pPr>
        <w:pBdr>
          <w:left w:val="single" w:color="999999" w:sz="12" w:space="8"/>
        </w:pBdr>
        <w:spacing w:after="160"/>
        <w:ind w:left="20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A bejárati zóna sűrűn pontosított — érdemes itt egy kisebb, dedikált zónaelosztó dobozt elhelyezni (pl. az ajtó melletti fal belső oldalán, vakolat alatt), amely az összes fenti pontot csillagban gyűjti, mielőtt a BRIDGE-DN központi elosztóhoz csatlakozik. Ez rövidebb szakaszokat és egyszerűbb hibakeresést eredményez.</w:t>
      </w:r>
    </w:p>
    <w:p>
      <w:pPr>
        <w:pStyle w:val="Heading1"/>
        <w:spacing w:after="160" w:before="360"/>
      </w:pPr>
      <w:r>
        <w:t xml:space="preserve">4. Kiterjesztés más BRIDGE-tételekre</w:t>
      </w:r>
    </w:p>
    <w:p>
      <w:pPr>
        <w:spacing w:after="140"/>
      </w:pPr>
      <w:r>
        <w:rPr>
          <w:rFonts w:ascii="Calibri" w:cs="Calibri" w:eastAsia="Calibri" w:hAnsi="Calibri"/>
          <w:sz w:val="22"/>
          <w:szCs w:val="22"/>
        </w:rPr>
        <w:t xml:space="preserve">A fenti négy pont mintaként szolgál — a projekt során felmerülő minden további BRIDGE-tételnél (pl. ablakok nyílásérzékelői, szobai hangulatvilágítás csomópontok, redőnyvezérlés, egyéb beléptető pontok) ugyanezt a 2. pontban leírt egységes kiállás-elemet alkalmazd: azonos doboz/cső méret, táp+jel pár, tartalék cső, csillag-bekötés, vakfedél. Ez biztosítja, hogy a rendszer bármikor, bármilyen jövőbeni modultípussal bővíthető legyen anélkül, hogy a meglévő, lezárt felületeket meg kellene bontani.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6000"/>
      </w:tblGrid>
      <w:tr>
        <w:trPr>
          <w:tblHeader/>
        </w:trPr>
        <w:tc>
          <w:tcPr>
            <w:tcW w:type="dxa" w:w="34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Elv</w:t>
            </w:r>
          </w:p>
        </w:tc>
        <w:tc>
          <w:tcPr>
            <w:tcW w:type="dxa" w:w="60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Gyakorlati következmény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Egységes doboz-/csőméret mindenhol</w:t>
            </w:r>
          </w:p>
        </w:tc>
        <w:tc>
          <w:tcPr>
            <w:tcW w:type="dxa" w:w="6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Bármilyen jövőbeli modul fizikailag illeszkedik, típusváltás esetén sem kell vésni</w:t>
            </w:r>
          </w:p>
        </w:tc>
      </w:tr>
      <w:tr>
        <w:tc>
          <w:tcPr>
            <w:tcW w:type="dxa" w:w="3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Csillag-topológia, nem láncolás</w:t>
            </w:r>
          </w:p>
        </w:tc>
        <w:tc>
          <w:tcPr>
            <w:tcW w:type="dxa" w:w="6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Egy pont önállóan bővíthető/cserélhető a többi zavarása nélkül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Mindig tartalék üres cső + húzózsinór</w:t>
            </w:r>
          </w:p>
        </w:tc>
        <w:tc>
          <w:tcPr>
            <w:tcW w:type="dxa" w:w="6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Ismeretlen jövőbeni igény (extra ér, más kábeltípus) utólag is behúzható</w:t>
            </w:r>
          </w:p>
        </w:tc>
      </w:tr>
      <w:tr>
        <w:tc>
          <w:tcPr>
            <w:tcW w:type="dxa" w:w="3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Vakfedél a végleges eszközig</w:t>
            </w:r>
          </w:p>
        </w:tc>
        <w:tc>
          <w:tcPr>
            <w:tcW w:type="dxa" w:w="6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 ház diszkrét, kész megjelenésű marad a modul kiválasztásáig/cseréje közben is</w:t>
            </w:r>
          </w:p>
        </w:tc>
      </w:tr>
    </w:tbl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2026-08-08T21:06:52.734Z</dcterms:created>
  <dcterms:modified xsi:type="dcterms:W3CDTF">2026-08-08T21:06:52.748Z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