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52D53"/>
          <w:sz w:val="42"/>
        </w:rPr>
        <w:t>Procedura reklamacyjna P-07</w:t>
      </w:r>
    </w:p>
    <w:p>
      <w:pPr>
        <w:spacing w:after="280"/>
      </w:pPr>
      <w:r>
        <w:rPr>
          <w:color w:val="5B6178"/>
          <w:sz w:val="20"/>
        </w:rPr>
        <w:t>Acme Industries sp. z o.o., ul. Kwiatowa 7, 61-001 Poznań · NIP 7792451234 · wersja 3.1, obowiązuje od 1 lutego 2026</w:t>
      </w:r>
    </w:p>
    <w:p>
      <w:pPr>
        <w:pStyle w:val="Heading2"/>
      </w:pPr>
      <w:r>
        <w:t>1. Cel i zakres</w:t>
      </w:r>
    </w:p>
    <w:p>
      <w:r>
        <w:rPr>
          <w:b w:val="0"/>
        </w:rPr>
        <w:t>Procedura określa sposób przyjmowania, rozpatrywania i zamykania reklamacji dotyczących wyposażenia magazynowego sprzedanego przez Acme Industries. Obowiązuje dział serwisu, dział handlowy i magazyn.</w:t>
      </w:r>
    </w:p>
    <w:p>
      <w:pPr>
        <w:pStyle w:val="Heading2"/>
      </w:pPr>
      <w:r>
        <w:t>2. Zgłoszenie reklamacji</w:t>
      </w:r>
    </w:p>
    <w:p>
      <w:r>
        <w:rPr>
          <w:b w:val="0"/>
        </w:rPr>
        <w:t>Reklamacje przyjmowane są przez portal serwis.acme-industries.pl oraz pocztą elektroniczną na adres reklamacje@acme-industries.pl. Zgłoszenie musi zawierać numer faktury, SKU produktu, opis wady i zdjęcia.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402"/>
          </w:tcPr>
          <w:p>
            <w:r/>
            <w:r>
              <w:rPr>
                <w:b/>
                <w:color w:val="252D53"/>
                <w:sz w:val="19"/>
              </w:rPr>
              <w:t>Rodzaj wady</w:t>
            </w:r>
          </w:p>
        </w:tc>
        <w:tc>
          <w:tcPr>
            <w:tcW w:type="dxa" w:w="3402"/>
          </w:tcPr>
          <w:p>
            <w:r/>
            <w:r>
              <w:rPr>
                <w:b/>
                <w:color w:val="252D53"/>
                <w:sz w:val="19"/>
              </w:rPr>
              <w:t>Termin zgłoszenia</w:t>
            </w:r>
          </w:p>
        </w:tc>
        <w:tc>
          <w:tcPr>
            <w:tcW w:type="dxa" w:w="2551"/>
          </w:tcPr>
          <w:p>
            <w:r/>
            <w:r>
              <w:rPr>
                <w:b/>
                <w:color w:val="252D53"/>
                <w:sz w:val="19"/>
              </w:rPr>
              <w:t>Podstawa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Wada jawna (widoczna przy odbiorze)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7 dni od daty dostawy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protokół odbioru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Braki ilościowe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3 dni robocze od daty dostawy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protokół odbioru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Wada ukryta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14 dni od wykrycia, w okresie gwarancji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karta gwarancyjna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Uszkodzenie w transporcie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24 godziny od dostawy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protokół szkody przewoźnika</w:t>
            </w:r>
          </w:p>
        </w:tc>
      </w:tr>
    </w:tbl>
    <w:p/>
    <w:p>
      <w:pPr>
        <w:pStyle w:val="Heading2"/>
      </w:pPr>
      <w:r>
        <w:t>3. Terminy rozpatrzenia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685"/>
          </w:tcPr>
          <w:p>
            <w:r/>
            <w:r>
              <w:rPr>
                <w:b/>
                <w:color w:val="252D53"/>
                <w:sz w:val="19"/>
              </w:rPr>
              <w:t>Etap</w:t>
            </w:r>
          </w:p>
        </w:tc>
        <w:tc>
          <w:tcPr>
            <w:tcW w:type="dxa" w:w="3118"/>
          </w:tcPr>
          <w:p>
            <w:r/>
            <w:r>
              <w:rPr>
                <w:b/>
                <w:color w:val="252D53"/>
                <w:sz w:val="19"/>
              </w:rPr>
              <w:t>Termin</w:t>
            </w:r>
          </w:p>
        </w:tc>
        <w:tc>
          <w:tcPr>
            <w:tcW w:type="dxa" w:w="2551"/>
          </w:tcPr>
          <w:p>
            <w:r/>
            <w:r>
              <w:rPr>
                <w:b/>
                <w:color w:val="252D53"/>
                <w:sz w:val="19"/>
              </w:rPr>
              <w:t>Odpowiedzialny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Potwierdzenie przyjęcia zgłoszenia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1 dzień roboczy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specjalista ds. serwisu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Oględziny u klienta (jeśli wymagane)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5 dni roboczych od przyjęcia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technik serwisu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Decyzja o uznaniu lub odrzuceniu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14 dni kalendarzowych od zgłoszenia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kierownik serwisu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Naprawa lub wymiana towaru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21 dni od uznania reklamacji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dział serwisu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Zwrot środków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14 dni od uznania reklamacji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dział finansowy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Odwołanie klienta od decyzji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14 dni od doręczenia decyzji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dyrektor handlowy</w:t>
            </w:r>
          </w:p>
        </w:tc>
      </w:tr>
    </w:tbl>
    <w:p/>
    <w:p>
      <w:r>
        <w:rPr>
          <w:b w:val="0"/>
        </w:rPr>
        <w:t>Brak decyzji w terminie 14 dni kalendarzowych oznacza uznanie reklamacji zgodnie z art. 5615 Kodeksu cywilnego.</w:t>
      </w:r>
    </w:p>
    <w:p>
      <w:pPr>
        <w:pStyle w:val="Heading2"/>
      </w:pPr>
      <w:r>
        <w:t>4. Reklamacje nieuznawane</w:t>
      </w:r>
    </w:p>
    <w:p>
      <w:pPr>
        <w:pStyle w:val="ListBullet"/>
      </w:pPr>
      <w:r>
        <w:t>uszkodzenia mechaniczne powstałe z winy użytkownika, w tym najechanie wózkiem na ramę regału,</w:t>
      </w:r>
    </w:p>
    <w:p>
      <w:pPr>
        <w:pStyle w:val="ListBullet"/>
      </w:pPr>
      <w:r>
        <w:t>przeciążenie konstrukcji ponad nośność podaną w karcie produktu,</w:t>
      </w:r>
    </w:p>
    <w:p>
      <w:pPr>
        <w:pStyle w:val="ListBullet"/>
      </w:pPr>
      <w:r>
        <w:t>montaż niezgodny z instrukcją lub przez ekipę nieautoryzowaną przez Dostawcę,</w:t>
      </w:r>
    </w:p>
    <w:p>
      <w:pPr>
        <w:pStyle w:val="ListBullet"/>
      </w:pPr>
      <w:r>
        <w:t>brak udokumentowanego przeglądu okresowego wykonywanego co 12 miesięcy,</w:t>
      </w:r>
    </w:p>
    <w:p>
      <w:pPr>
        <w:pStyle w:val="ListBullet"/>
      </w:pPr>
      <w:r>
        <w:t>zużycie eksploatacyjne elementów wymiennych: rolek, akumulatorów, uszczelek,</w:t>
      </w:r>
    </w:p>
    <w:p>
      <w:pPr>
        <w:pStyle w:val="ListBullet"/>
      </w:pPr>
      <w:r>
        <w:t>korozja powierzchniowa w obiektach o wilgotności powyżej 80% bez zamówionej powłoki antykorozyjnej.</w:t>
      </w:r>
    </w:p>
    <w:p>
      <w:pPr>
        <w:pStyle w:val="Heading2"/>
      </w:pPr>
      <w:r>
        <w:t>5. Klasyfikacja i eskalacja</w:t>
      </w:r>
    </w:p>
    <w:p>
      <w:r>
        <w:rPr>
          <w:b w:val="0"/>
        </w:rPr>
        <w:t>Reklamacja dotycząca bezpieczeństwa konstrukcji jest zawsze traktowana jako priorytet P1 zgodnie z umową serwisową i podlega natychmiastowej eskalacji do kierownika serwisu oraz wiceprezesa ds. operacyjnych. Do czasu oględzin regał zostaje wyłączony z eksploatacji.</w:t>
      </w:r>
    </w:p>
    <w:p>
      <w:pPr>
        <w:pStyle w:val="Heading2"/>
      </w:pPr>
      <w:r>
        <w:t>6. Rejestr i wskaźniki</w:t>
      </w:r>
    </w:p>
    <w:p>
      <w:r>
        <w:rPr>
          <w:b w:val="0"/>
        </w:rPr>
        <w:t>Wszystkie zgłoszenia rejestrowane są w systemie serwisowym z numerem w formacie REK/RRRR/NNN. Dział serwisu raportuje kwartalnie trzy wskaźniki: liczbę reklamacji na 1 000 sprzedanych sztuk (cel: poniżej 4), udział reklamacji uznanych (cel: poniżej 60%) oraz średni czas zamknięcia (cel: poniżej 18 dni).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178"/>
        <w:sz w:val="16"/>
      </w:rPr>
      <w:t>Acme Industries sp. z o.o. · Procedura reklamacyjna P-07 · dokument demonstracyjny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1"/>
      <w:lang w:val="pl-P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52D5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52D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52D5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