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2D53"/>
          <w:sz w:val="42"/>
          <w:szCs w:val="42"/>
        </w:rPr>
        <w:t xml:space="preserve">Complaints Procedure P-07</w:t>
      </w:r>
    </w:p>
    <w:p>
      <w:pPr>
        <w:spacing w:after="280"/>
      </w:pPr>
      <w:r>
        <w:rPr>
          <w:color w:val="5B6178"/>
          <w:sz w:val="19"/>
          <w:szCs w:val="19"/>
        </w:rPr>
        <w:t xml:space="preserve">Acme Industries sp. z o.o., ul. Kwiatowa 7, 61-001 Poznań · NIP 7792451234 · version 3.1, in force from 1 February 2026</w:t>
      </w:r>
    </w:p>
    <w:p>
      <w:pPr>
        <w:pStyle w:val="Heading2"/>
        <w:spacing w:after="100" w:before="200"/>
      </w:pPr>
      <w:r>
        <w:rPr>
          <w:b/>
          <w:bCs/>
          <w:color w:val="252D53"/>
          <w:sz w:val="25"/>
          <w:szCs w:val="25"/>
        </w:rPr>
        <w:t xml:space="preserve">1. Purpose and scope</w:t>
      </w:r>
    </w:p>
    <w:p>
      <w:pPr>
        <w:spacing w:after="120" w:line="276"/>
      </w:pPr>
      <w:r>
        <w:rPr>
          <w:b w:val="false"/>
          <w:bCs w:val="false"/>
          <w:sz w:val="21"/>
          <w:szCs w:val="21"/>
        </w:rPr>
        <w:t xml:space="preserve">This procedure sets out how complaints about warehouse equipment sold by Acme Industries are received, assessed and closed. It applies to the service department, the sales department and the warehouse.</w:t>
      </w:r>
    </w:p>
    <w:p>
      <w:pPr>
        <w:pStyle w:val="Heading2"/>
        <w:spacing w:after="100" w:before="200"/>
      </w:pPr>
      <w:r>
        <w:rPr>
          <w:b/>
          <w:bCs/>
          <w:color w:val="252D53"/>
          <w:sz w:val="25"/>
          <w:szCs w:val="25"/>
        </w:rPr>
        <w:t xml:space="preserve">2. Filing a complaint</w:t>
      </w:r>
    </w:p>
    <w:p>
      <w:pPr>
        <w:spacing w:after="120" w:line="276"/>
      </w:pPr>
      <w:r>
        <w:rPr>
          <w:b w:val="false"/>
          <w:bCs w:val="false"/>
          <w:sz w:val="21"/>
          <w:szCs w:val="21"/>
        </w:rPr>
        <w:t xml:space="preserve">Complaints are accepted through the serwis.acme-industries.pl portal and by email to reklamacje@acme-industries.pl. A complaint must state the invoice number, the product SKU, a description of the defect, and photographs.</w:t>
      </w:r>
    </w:p>
    <w:tbl>
      <w:tblPr>
        <w:tblW w:type="pct" w:w="100%"/>
        <w:tblBorders>
          <w:top w:val="single" w:color="D4D7E3" w:sz="4"/>
          <w:left w:val="single" w:color="D4D7E3" w:sz="4"/>
          <w:bottom w:val="single" w:color="D4D7E3" w:sz="4"/>
          <w:right w:val="single" w:color="D4D7E3" w:sz="4"/>
          <w:insideH w:val="single" w:color="D4D7E3" w:sz="4"/>
          <w:insideV w:val="single" w:color="D4D7E3" w:sz="4"/>
        </w:tblBorders>
      </w:tblPr>
      <w:tblGrid>
        <w:gridCol w:w="100"/>
        <w:gridCol w:w="100"/>
        <w:gridCol w:w="100"/>
      </w:tblGrid>
      <w:tr>
        <w:trPr>
          <w:tblHeader/>
        </w:trPr>
        <w:tc>
          <w:tcPr>
            <w:tcW w:type="pct" w:w="36.36363636363637%"/>
            <w:shd w:fill="252D53" w:val="clear"/>
            <w:tcMar>
              <w:top w:type="dxa" w:w="60"/>
              <w:left w:type="dxa" w:w="100"/>
              <w:bottom w:type="dxa" w:w="60"/>
              <w:right w:type="dxa" w:w="100"/>
            </w:tcMar>
          </w:tcPr>
          <w:p>
            <w:pPr>
              <w:spacing w:after="0"/>
            </w:pPr>
            <w:r>
              <w:rPr>
                <w:b/>
                <w:bCs/>
                <w:color w:val="FFFFFF"/>
                <w:sz w:val="19"/>
                <w:szCs w:val="19"/>
              </w:rPr>
              <w:t xml:space="preserve">Type of defect</w:t>
            </w:r>
          </w:p>
        </w:tc>
        <w:tc>
          <w:tcPr>
            <w:tcW w:type="pct" w:w="36.36363636363637%"/>
            <w:shd w:fill="252D53" w:val="clear"/>
            <w:tcMar>
              <w:top w:type="dxa" w:w="60"/>
              <w:left w:type="dxa" w:w="100"/>
              <w:bottom w:type="dxa" w:w="60"/>
              <w:right w:type="dxa" w:w="100"/>
            </w:tcMar>
          </w:tcPr>
          <w:p>
            <w:pPr>
              <w:spacing w:after="0"/>
            </w:pPr>
            <w:r>
              <w:rPr>
                <w:b/>
                <w:bCs/>
                <w:color w:val="FFFFFF"/>
                <w:sz w:val="19"/>
                <w:szCs w:val="19"/>
              </w:rPr>
              <w:t xml:space="preserve">Filing deadline</w:t>
            </w:r>
          </w:p>
        </w:tc>
        <w:tc>
          <w:tcPr>
            <w:tcW w:type="pct" w:w="27.27272727272727%"/>
            <w:shd w:fill="252D53" w:val="clear"/>
            <w:tcMar>
              <w:top w:type="dxa" w:w="60"/>
              <w:left w:type="dxa" w:w="100"/>
              <w:bottom w:type="dxa" w:w="60"/>
              <w:right w:type="dxa" w:w="100"/>
            </w:tcMar>
          </w:tcPr>
          <w:p>
            <w:pPr>
              <w:spacing w:after="0"/>
            </w:pPr>
            <w:r>
              <w:rPr>
                <w:b/>
                <w:bCs/>
                <w:color w:val="FFFFFF"/>
                <w:sz w:val="19"/>
                <w:szCs w:val="19"/>
              </w:rPr>
              <w:t xml:space="preserve">Basis</w:t>
            </w:r>
          </w:p>
        </w:tc>
      </w:tr>
      <w:tr>
        <w:tc>
          <w:tcPr>
            <w:tcW w:type="pct" w:w="36.36363636363637%"/>
            <w:tcMar>
              <w:top w:type="dxa" w:w="60"/>
              <w:left w:type="dxa" w:w="100"/>
              <w:bottom w:type="dxa" w:w="60"/>
              <w:right w:type="dxa" w:w="100"/>
            </w:tcMar>
          </w:tcPr>
          <w:p>
            <w:pPr>
              <w:spacing w:after="0"/>
            </w:pPr>
            <w:r>
              <w:rPr>
                <w:b w:val="false"/>
                <w:bCs w:val="false"/>
                <w:sz w:val="19"/>
                <w:szCs w:val="19"/>
              </w:rPr>
              <w:t xml:space="preserve">Apparent defect (visible on delivery)</w:t>
            </w:r>
          </w:p>
        </w:tc>
        <w:tc>
          <w:tcPr>
            <w:tcW w:type="pct" w:w="36.36363636363637%"/>
            <w:tcMar>
              <w:top w:type="dxa" w:w="60"/>
              <w:left w:type="dxa" w:w="100"/>
              <w:bottom w:type="dxa" w:w="60"/>
              <w:right w:type="dxa" w:w="100"/>
            </w:tcMar>
          </w:tcPr>
          <w:p>
            <w:pPr>
              <w:spacing w:after="0"/>
            </w:pPr>
            <w:r>
              <w:rPr>
                <w:b w:val="false"/>
                <w:bCs w:val="false"/>
                <w:sz w:val="19"/>
                <w:szCs w:val="19"/>
              </w:rPr>
              <w:t xml:space="preserve">7 days from the delivery date</w:t>
            </w:r>
          </w:p>
        </w:tc>
        <w:tc>
          <w:tcPr>
            <w:tcW w:type="pct" w:w="27.27272727272727%"/>
            <w:tcMar>
              <w:top w:type="dxa" w:w="60"/>
              <w:left w:type="dxa" w:w="100"/>
              <w:bottom w:type="dxa" w:w="60"/>
              <w:right w:type="dxa" w:w="100"/>
            </w:tcMar>
          </w:tcPr>
          <w:p>
            <w:pPr>
              <w:spacing w:after="0"/>
            </w:pPr>
            <w:r>
              <w:rPr>
                <w:b w:val="false"/>
                <w:bCs w:val="false"/>
                <w:sz w:val="19"/>
                <w:szCs w:val="19"/>
              </w:rPr>
              <w:t xml:space="preserve">delivery note</w:t>
            </w:r>
          </w:p>
        </w:tc>
      </w:tr>
      <w:tr>
        <w:tc>
          <w:tcPr>
            <w:tcW w:type="pct" w:w="36.36363636363637%"/>
            <w:shd w:fill="F6F7FA" w:val="clear"/>
            <w:tcMar>
              <w:top w:type="dxa" w:w="60"/>
              <w:left w:type="dxa" w:w="100"/>
              <w:bottom w:type="dxa" w:w="60"/>
              <w:right w:type="dxa" w:w="100"/>
            </w:tcMar>
          </w:tcPr>
          <w:p>
            <w:pPr>
              <w:spacing w:after="0"/>
            </w:pPr>
            <w:r>
              <w:rPr>
                <w:b w:val="false"/>
                <w:bCs w:val="false"/>
                <w:sz w:val="19"/>
                <w:szCs w:val="19"/>
              </w:rPr>
              <w:t xml:space="preserve">Shortfall in quantity</w:t>
            </w:r>
          </w:p>
        </w:tc>
        <w:tc>
          <w:tcPr>
            <w:tcW w:type="pct" w:w="36.36363636363637%"/>
            <w:shd w:fill="F6F7FA" w:val="clear"/>
            <w:tcMar>
              <w:top w:type="dxa" w:w="60"/>
              <w:left w:type="dxa" w:w="100"/>
              <w:bottom w:type="dxa" w:w="60"/>
              <w:right w:type="dxa" w:w="100"/>
            </w:tcMar>
          </w:tcPr>
          <w:p>
            <w:pPr>
              <w:spacing w:after="0"/>
            </w:pPr>
            <w:r>
              <w:rPr>
                <w:b w:val="false"/>
                <w:bCs w:val="false"/>
                <w:sz w:val="19"/>
                <w:szCs w:val="19"/>
              </w:rPr>
              <w:t xml:space="preserve">3 working days from the delivery date</w:t>
            </w:r>
          </w:p>
        </w:tc>
        <w:tc>
          <w:tcPr>
            <w:tcW w:type="pct" w:w="27.27272727272727%"/>
            <w:shd w:fill="F6F7FA" w:val="clear"/>
            <w:tcMar>
              <w:top w:type="dxa" w:w="60"/>
              <w:left w:type="dxa" w:w="100"/>
              <w:bottom w:type="dxa" w:w="60"/>
              <w:right w:type="dxa" w:w="100"/>
            </w:tcMar>
          </w:tcPr>
          <w:p>
            <w:pPr>
              <w:spacing w:after="0"/>
            </w:pPr>
            <w:r>
              <w:rPr>
                <w:b w:val="false"/>
                <w:bCs w:val="false"/>
                <w:sz w:val="19"/>
                <w:szCs w:val="19"/>
              </w:rPr>
              <w:t xml:space="preserve">delivery note</w:t>
            </w:r>
          </w:p>
        </w:tc>
      </w:tr>
      <w:tr>
        <w:tc>
          <w:tcPr>
            <w:tcW w:type="pct" w:w="36.36363636363637%"/>
            <w:tcMar>
              <w:top w:type="dxa" w:w="60"/>
              <w:left w:type="dxa" w:w="100"/>
              <w:bottom w:type="dxa" w:w="60"/>
              <w:right w:type="dxa" w:w="100"/>
            </w:tcMar>
          </w:tcPr>
          <w:p>
            <w:pPr>
              <w:spacing w:after="0"/>
            </w:pPr>
            <w:r>
              <w:rPr>
                <w:b w:val="false"/>
                <w:bCs w:val="false"/>
                <w:sz w:val="19"/>
                <w:szCs w:val="19"/>
              </w:rPr>
              <w:t xml:space="preserve">Latent defect</w:t>
            </w:r>
          </w:p>
        </w:tc>
        <w:tc>
          <w:tcPr>
            <w:tcW w:type="pct" w:w="36.36363636363637%"/>
            <w:tcMar>
              <w:top w:type="dxa" w:w="60"/>
              <w:left w:type="dxa" w:w="100"/>
              <w:bottom w:type="dxa" w:w="60"/>
              <w:right w:type="dxa" w:w="100"/>
            </w:tcMar>
          </w:tcPr>
          <w:p>
            <w:pPr>
              <w:spacing w:after="0"/>
            </w:pPr>
            <w:r>
              <w:rPr>
                <w:b w:val="false"/>
                <w:bCs w:val="false"/>
                <w:sz w:val="19"/>
                <w:szCs w:val="19"/>
              </w:rPr>
              <w:t xml:space="preserve">14 days from discovery, within the warranty</w:t>
            </w:r>
          </w:p>
        </w:tc>
        <w:tc>
          <w:tcPr>
            <w:tcW w:type="pct" w:w="27.27272727272727%"/>
            <w:tcMar>
              <w:top w:type="dxa" w:w="60"/>
              <w:left w:type="dxa" w:w="100"/>
              <w:bottom w:type="dxa" w:w="60"/>
              <w:right w:type="dxa" w:w="100"/>
            </w:tcMar>
          </w:tcPr>
          <w:p>
            <w:pPr>
              <w:spacing w:after="0"/>
            </w:pPr>
            <w:r>
              <w:rPr>
                <w:b w:val="false"/>
                <w:bCs w:val="false"/>
                <w:sz w:val="19"/>
                <w:szCs w:val="19"/>
              </w:rPr>
              <w:t xml:space="preserve">warranty card</w:t>
            </w:r>
          </w:p>
        </w:tc>
      </w:tr>
      <w:tr>
        <w:tc>
          <w:tcPr>
            <w:tcW w:type="pct" w:w="36.36363636363637%"/>
            <w:shd w:fill="F6F7FA" w:val="clear"/>
            <w:tcMar>
              <w:top w:type="dxa" w:w="60"/>
              <w:left w:type="dxa" w:w="100"/>
              <w:bottom w:type="dxa" w:w="60"/>
              <w:right w:type="dxa" w:w="100"/>
            </w:tcMar>
          </w:tcPr>
          <w:p>
            <w:pPr>
              <w:spacing w:after="0"/>
            </w:pPr>
            <w:r>
              <w:rPr>
                <w:b w:val="false"/>
                <w:bCs w:val="false"/>
                <w:sz w:val="19"/>
                <w:szCs w:val="19"/>
              </w:rPr>
              <w:t xml:space="preserve">Damage in transit</w:t>
            </w:r>
          </w:p>
        </w:tc>
        <w:tc>
          <w:tcPr>
            <w:tcW w:type="pct" w:w="36.36363636363637%"/>
            <w:shd w:fill="F6F7FA" w:val="clear"/>
            <w:tcMar>
              <w:top w:type="dxa" w:w="60"/>
              <w:left w:type="dxa" w:w="100"/>
              <w:bottom w:type="dxa" w:w="60"/>
              <w:right w:type="dxa" w:w="100"/>
            </w:tcMar>
          </w:tcPr>
          <w:p>
            <w:pPr>
              <w:spacing w:after="0"/>
            </w:pPr>
            <w:r>
              <w:rPr>
                <w:b w:val="false"/>
                <w:bCs w:val="false"/>
                <w:sz w:val="19"/>
                <w:szCs w:val="19"/>
              </w:rPr>
              <w:t xml:space="preserve">24 hours from delivery</w:t>
            </w:r>
          </w:p>
        </w:tc>
        <w:tc>
          <w:tcPr>
            <w:tcW w:type="pct" w:w="27.27272727272727%"/>
            <w:shd w:fill="F6F7FA" w:val="clear"/>
            <w:tcMar>
              <w:top w:type="dxa" w:w="60"/>
              <w:left w:type="dxa" w:w="100"/>
              <w:bottom w:type="dxa" w:w="60"/>
              <w:right w:type="dxa" w:w="100"/>
            </w:tcMar>
          </w:tcPr>
          <w:p>
            <w:pPr>
              <w:spacing w:after="0"/>
            </w:pPr>
            <w:r>
              <w:rPr>
                <w:b w:val="false"/>
                <w:bCs w:val="false"/>
                <w:sz w:val="19"/>
                <w:szCs w:val="19"/>
              </w:rPr>
              <w:t xml:space="preserve">carrier's damage report</w:t>
            </w:r>
          </w:p>
        </w:tc>
      </w:tr>
    </w:tbl>
    <w:p>
      <w:pPr>
        <w:spacing w:after="160"/>
      </w:pPr>
    </w:p>
    <w:p>
      <w:pPr>
        <w:pStyle w:val="Heading2"/>
        <w:spacing w:after="100" w:before="200"/>
      </w:pPr>
      <w:r>
        <w:rPr>
          <w:b/>
          <w:bCs/>
          <w:color w:val="252D53"/>
          <w:sz w:val="25"/>
          <w:szCs w:val="25"/>
        </w:rPr>
        <w:t xml:space="preserve">3. Assessment deadlines</w:t>
      </w:r>
    </w:p>
    <w:tbl>
      <w:tblPr>
        <w:tblW w:type="pct" w:w="100%"/>
        <w:tblBorders>
          <w:top w:val="single" w:color="D4D7E3" w:sz="4"/>
          <w:left w:val="single" w:color="D4D7E3" w:sz="4"/>
          <w:bottom w:val="single" w:color="D4D7E3" w:sz="4"/>
          <w:right w:val="single" w:color="D4D7E3" w:sz="4"/>
          <w:insideH w:val="single" w:color="D4D7E3" w:sz="4"/>
          <w:insideV w:val="single" w:color="D4D7E3" w:sz="4"/>
        </w:tblBorders>
      </w:tblPr>
      <w:tblGrid>
        <w:gridCol w:w="100"/>
        <w:gridCol w:w="100"/>
        <w:gridCol w:w="100"/>
      </w:tblGrid>
      <w:tr>
        <w:trPr>
          <w:tblHeader/>
        </w:trPr>
        <w:tc>
          <w:tcPr>
            <w:tcW w:type="pct" w:w="39.39393939393939%"/>
            <w:shd w:fill="252D53" w:val="clear"/>
            <w:tcMar>
              <w:top w:type="dxa" w:w="60"/>
              <w:left w:type="dxa" w:w="100"/>
              <w:bottom w:type="dxa" w:w="60"/>
              <w:right w:type="dxa" w:w="100"/>
            </w:tcMar>
          </w:tcPr>
          <w:p>
            <w:pPr>
              <w:spacing w:after="0"/>
            </w:pPr>
            <w:r>
              <w:rPr>
                <w:b/>
                <w:bCs/>
                <w:color w:val="FFFFFF"/>
                <w:sz w:val="19"/>
                <w:szCs w:val="19"/>
              </w:rPr>
              <w:t xml:space="preserve">Stage</w:t>
            </w:r>
          </w:p>
        </w:tc>
        <w:tc>
          <w:tcPr>
            <w:tcW w:type="pct" w:w="33.33333333333333%"/>
            <w:shd w:fill="252D53" w:val="clear"/>
            <w:tcMar>
              <w:top w:type="dxa" w:w="60"/>
              <w:left w:type="dxa" w:w="100"/>
              <w:bottom w:type="dxa" w:w="60"/>
              <w:right w:type="dxa" w:w="100"/>
            </w:tcMar>
          </w:tcPr>
          <w:p>
            <w:pPr>
              <w:spacing w:after="0"/>
            </w:pPr>
            <w:r>
              <w:rPr>
                <w:b/>
                <w:bCs/>
                <w:color w:val="FFFFFF"/>
                <w:sz w:val="19"/>
                <w:szCs w:val="19"/>
              </w:rPr>
              <w:t xml:space="preserve">Deadline</w:t>
            </w:r>
          </w:p>
        </w:tc>
        <w:tc>
          <w:tcPr>
            <w:tcW w:type="pct" w:w="27.27272727272727%"/>
            <w:shd w:fill="252D53" w:val="clear"/>
            <w:tcMar>
              <w:top w:type="dxa" w:w="60"/>
              <w:left w:type="dxa" w:w="100"/>
              <w:bottom w:type="dxa" w:w="60"/>
              <w:right w:type="dxa" w:w="100"/>
            </w:tcMar>
          </w:tcPr>
          <w:p>
            <w:pPr>
              <w:spacing w:after="0"/>
            </w:pPr>
            <w:r>
              <w:rPr>
                <w:b/>
                <w:bCs/>
                <w:color w:val="FFFFFF"/>
                <w:sz w:val="19"/>
                <w:szCs w:val="19"/>
              </w:rPr>
              <w:t xml:space="preserve">Owner</w:t>
            </w:r>
          </w:p>
        </w:tc>
      </w:tr>
      <w:tr>
        <w:tc>
          <w:tcPr>
            <w:tcW w:type="pct" w:w="39.39393939393939%"/>
            <w:tcMar>
              <w:top w:type="dxa" w:w="60"/>
              <w:left w:type="dxa" w:w="100"/>
              <w:bottom w:type="dxa" w:w="60"/>
              <w:right w:type="dxa" w:w="100"/>
            </w:tcMar>
          </w:tcPr>
          <w:p>
            <w:pPr>
              <w:spacing w:after="0"/>
            </w:pPr>
            <w:r>
              <w:rPr>
                <w:b w:val="false"/>
                <w:bCs w:val="false"/>
                <w:sz w:val="19"/>
                <w:szCs w:val="19"/>
              </w:rPr>
              <w:t xml:space="preserve">Acknowledgement of the complaint</w:t>
            </w:r>
          </w:p>
        </w:tc>
        <w:tc>
          <w:tcPr>
            <w:tcW w:type="pct" w:w="33.33333333333333%"/>
            <w:tcMar>
              <w:top w:type="dxa" w:w="60"/>
              <w:left w:type="dxa" w:w="100"/>
              <w:bottom w:type="dxa" w:w="60"/>
              <w:right w:type="dxa" w:w="100"/>
            </w:tcMar>
          </w:tcPr>
          <w:p>
            <w:pPr>
              <w:spacing w:after="0"/>
            </w:pPr>
            <w:r>
              <w:rPr>
                <w:b w:val="false"/>
                <w:bCs w:val="false"/>
                <w:sz w:val="19"/>
                <w:szCs w:val="19"/>
              </w:rPr>
              <w:t xml:space="preserve">1 working day</w:t>
            </w:r>
          </w:p>
        </w:tc>
        <w:tc>
          <w:tcPr>
            <w:tcW w:type="pct" w:w="27.27272727272727%"/>
            <w:tcMar>
              <w:top w:type="dxa" w:w="60"/>
              <w:left w:type="dxa" w:w="100"/>
              <w:bottom w:type="dxa" w:w="60"/>
              <w:right w:type="dxa" w:w="100"/>
            </w:tcMar>
          </w:tcPr>
          <w:p>
            <w:pPr>
              <w:spacing w:after="0"/>
            </w:pPr>
            <w:r>
              <w:rPr>
                <w:b w:val="false"/>
                <w:bCs w:val="false"/>
                <w:sz w:val="19"/>
                <w:szCs w:val="19"/>
              </w:rPr>
              <w:t xml:space="preserve">service specialist</w:t>
            </w:r>
          </w:p>
        </w:tc>
      </w:tr>
      <w:tr>
        <w:tc>
          <w:tcPr>
            <w:tcW w:type="pct" w:w="39.39393939393939%"/>
            <w:shd w:fill="F6F7FA" w:val="clear"/>
            <w:tcMar>
              <w:top w:type="dxa" w:w="60"/>
              <w:left w:type="dxa" w:w="100"/>
              <w:bottom w:type="dxa" w:w="60"/>
              <w:right w:type="dxa" w:w="100"/>
            </w:tcMar>
          </w:tcPr>
          <w:p>
            <w:pPr>
              <w:spacing w:after="0"/>
            </w:pPr>
            <w:r>
              <w:rPr>
                <w:b w:val="false"/>
                <w:bCs w:val="false"/>
                <w:sz w:val="19"/>
                <w:szCs w:val="19"/>
              </w:rPr>
              <w:t xml:space="preserve">On-site inspection (where required)</w:t>
            </w:r>
          </w:p>
        </w:tc>
        <w:tc>
          <w:tcPr>
            <w:tcW w:type="pct" w:w="33.33333333333333%"/>
            <w:shd w:fill="F6F7FA" w:val="clear"/>
            <w:tcMar>
              <w:top w:type="dxa" w:w="60"/>
              <w:left w:type="dxa" w:w="100"/>
              <w:bottom w:type="dxa" w:w="60"/>
              <w:right w:type="dxa" w:w="100"/>
            </w:tcMar>
          </w:tcPr>
          <w:p>
            <w:pPr>
              <w:spacing w:after="0"/>
            </w:pPr>
            <w:r>
              <w:rPr>
                <w:b w:val="false"/>
                <w:bCs w:val="false"/>
                <w:sz w:val="19"/>
                <w:szCs w:val="19"/>
              </w:rPr>
              <w:t xml:space="preserve">5 working days from receipt</w:t>
            </w:r>
          </w:p>
        </w:tc>
        <w:tc>
          <w:tcPr>
            <w:tcW w:type="pct" w:w="27.27272727272727%"/>
            <w:shd w:fill="F6F7FA" w:val="clear"/>
            <w:tcMar>
              <w:top w:type="dxa" w:w="60"/>
              <w:left w:type="dxa" w:w="100"/>
              <w:bottom w:type="dxa" w:w="60"/>
              <w:right w:type="dxa" w:w="100"/>
            </w:tcMar>
          </w:tcPr>
          <w:p>
            <w:pPr>
              <w:spacing w:after="0"/>
            </w:pPr>
            <w:r>
              <w:rPr>
                <w:b w:val="false"/>
                <w:bCs w:val="false"/>
                <w:sz w:val="19"/>
                <w:szCs w:val="19"/>
              </w:rPr>
              <w:t xml:space="preserve">service engineer</w:t>
            </w:r>
          </w:p>
        </w:tc>
      </w:tr>
      <w:tr>
        <w:tc>
          <w:tcPr>
            <w:tcW w:type="pct" w:w="39.39393939393939%"/>
            <w:tcMar>
              <w:top w:type="dxa" w:w="60"/>
              <w:left w:type="dxa" w:w="100"/>
              <w:bottom w:type="dxa" w:w="60"/>
              <w:right w:type="dxa" w:w="100"/>
            </w:tcMar>
          </w:tcPr>
          <w:p>
            <w:pPr>
              <w:spacing w:after="0"/>
            </w:pPr>
            <w:r>
              <w:rPr>
                <w:b w:val="false"/>
                <w:bCs w:val="false"/>
                <w:sz w:val="19"/>
                <w:szCs w:val="19"/>
              </w:rPr>
              <w:t xml:space="preserve">Decision to accept or reject</w:t>
            </w:r>
          </w:p>
        </w:tc>
        <w:tc>
          <w:tcPr>
            <w:tcW w:type="pct" w:w="33.33333333333333%"/>
            <w:tcMar>
              <w:top w:type="dxa" w:w="60"/>
              <w:left w:type="dxa" w:w="100"/>
              <w:bottom w:type="dxa" w:w="60"/>
              <w:right w:type="dxa" w:w="100"/>
            </w:tcMar>
          </w:tcPr>
          <w:p>
            <w:pPr>
              <w:spacing w:after="0"/>
            </w:pPr>
            <w:r>
              <w:rPr>
                <w:b w:val="false"/>
                <w:bCs w:val="false"/>
                <w:sz w:val="19"/>
                <w:szCs w:val="19"/>
              </w:rPr>
              <w:t xml:space="preserve">14 calendar days from filing</w:t>
            </w:r>
          </w:p>
        </w:tc>
        <w:tc>
          <w:tcPr>
            <w:tcW w:type="pct" w:w="27.27272727272727%"/>
            <w:tcMar>
              <w:top w:type="dxa" w:w="60"/>
              <w:left w:type="dxa" w:w="100"/>
              <w:bottom w:type="dxa" w:w="60"/>
              <w:right w:type="dxa" w:w="100"/>
            </w:tcMar>
          </w:tcPr>
          <w:p>
            <w:pPr>
              <w:spacing w:after="0"/>
            </w:pPr>
            <w:r>
              <w:rPr>
                <w:b w:val="false"/>
                <w:bCs w:val="false"/>
                <w:sz w:val="19"/>
                <w:szCs w:val="19"/>
              </w:rPr>
              <w:t xml:space="preserve">service manager</w:t>
            </w:r>
          </w:p>
        </w:tc>
      </w:tr>
      <w:tr>
        <w:tc>
          <w:tcPr>
            <w:tcW w:type="pct" w:w="39.39393939393939%"/>
            <w:shd w:fill="F6F7FA" w:val="clear"/>
            <w:tcMar>
              <w:top w:type="dxa" w:w="60"/>
              <w:left w:type="dxa" w:w="100"/>
              <w:bottom w:type="dxa" w:w="60"/>
              <w:right w:type="dxa" w:w="100"/>
            </w:tcMar>
          </w:tcPr>
          <w:p>
            <w:pPr>
              <w:spacing w:after="0"/>
            </w:pPr>
            <w:r>
              <w:rPr>
                <w:b w:val="false"/>
                <w:bCs w:val="false"/>
                <w:sz w:val="19"/>
                <w:szCs w:val="19"/>
              </w:rPr>
              <w:t xml:space="preserve">Repair or replacement</w:t>
            </w:r>
          </w:p>
        </w:tc>
        <w:tc>
          <w:tcPr>
            <w:tcW w:type="pct" w:w="33.33333333333333%"/>
            <w:shd w:fill="F6F7FA" w:val="clear"/>
            <w:tcMar>
              <w:top w:type="dxa" w:w="60"/>
              <w:left w:type="dxa" w:w="100"/>
              <w:bottom w:type="dxa" w:w="60"/>
              <w:right w:type="dxa" w:w="100"/>
            </w:tcMar>
          </w:tcPr>
          <w:p>
            <w:pPr>
              <w:spacing w:after="0"/>
            </w:pPr>
            <w:r>
              <w:rPr>
                <w:b w:val="false"/>
                <w:bCs w:val="false"/>
                <w:sz w:val="19"/>
                <w:szCs w:val="19"/>
              </w:rPr>
              <w:t xml:space="preserve">21 days from acceptance</w:t>
            </w:r>
          </w:p>
        </w:tc>
        <w:tc>
          <w:tcPr>
            <w:tcW w:type="pct" w:w="27.27272727272727%"/>
            <w:shd w:fill="F6F7FA" w:val="clear"/>
            <w:tcMar>
              <w:top w:type="dxa" w:w="60"/>
              <w:left w:type="dxa" w:w="100"/>
              <w:bottom w:type="dxa" w:w="60"/>
              <w:right w:type="dxa" w:w="100"/>
            </w:tcMar>
          </w:tcPr>
          <w:p>
            <w:pPr>
              <w:spacing w:after="0"/>
            </w:pPr>
            <w:r>
              <w:rPr>
                <w:b w:val="false"/>
                <w:bCs w:val="false"/>
                <w:sz w:val="19"/>
                <w:szCs w:val="19"/>
              </w:rPr>
              <w:t xml:space="preserve">service department</w:t>
            </w:r>
          </w:p>
        </w:tc>
      </w:tr>
      <w:tr>
        <w:tc>
          <w:tcPr>
            <w:tcW w:type="pct" w:w="39.39393939393939%"/>
            <w:tcMar>
              <w:top w:type="dxa" w:w="60"/>
              <w:left w:type="dxa" w:w="100"/>
              <w:bottom w:type="dxa" w:w="60"/>
              <w:right w:type="dxa" w:w="100"/>
            </w:tcMar>
          </w:tcPr>
          <w:p>
            <w:pPr>
              <w:spacing w:after="0"/>
            </w:pPr>
            <w:r>
              <w:rPr>
                <w:b w:val="false"/>
                <w:bCs w:val="false"/>
                <w:sz w:val="19"/>
                <w:szCs w:val="19"/>
              </w:rPr>
              <w:t xml:space="preserve">Refund</w:t>
            </w:r>
          </w:p>
        </w:tc>
        <w:tc>
          <w:tcPr>
            <w:tcW w:type="pct" w:w="33.33333333333333%"/>
            <w:tcMar>
              <w:top w:type="dxa" w:w="60"/>
              <w:left w:type="dxa" w:w="100"/>
              <w:bottom w:type="dxa" w:w="60"/>
              <w:right w:type="dxa" w:w="100"/>
            </w:tcMar>
          </w:tcPr>
          <w:p>
            <w:pPr>
              <w:spacing w:after="0"/>
            </w:pPr>
            <w:r>
              <w:rPr>
                <w:b w:val="false"/>
                <w:bCs w:val="false"/>
                <w:sz w:val="19"/>
                <w:szCs w:val="19"/>
              </w:rPr>
              <w:t xml:space="preserve">14 days from acceptance</w:t>
            </w:r>
          </w:p>
        </w:tc>
        <w:tc>
          <w:tcPr>
            <w:tcW w:type="pct" w:w="27.27272727272727%"/>
            <w:tcMar>
              <w:top w:type="dxa" w:w="60"/>
              <w:left w:type="dxa" w:w="100"/>
              <w:bottom w:type="dxa" w:w="60"/>
              <w:right w:type="dxa" w:w="100"/>
            </w:tcMar>
          </w:tcPr>
          <w:p>
            <w:pPr>
              <w:spacing w:after="0"/>
            </w:pPr>
            <w:r>
              <w:rPr>
                <w:b w:val="false"/>
                <w:bCs w:val="false"/>
                <w:sz w:val="19"/>
                <w:szCs w:val="19"/>
              </w:rPr>
              <w:t xml:space="preserve">finance department</w:t>
            </w:r>
          </w:p>
        </w:tc>
      </w:tr>
      <w:tr>
        <w:tc>
          <w:tcPr>
            <w:tcW w:type="pct" w:w="39.39393939393939%"/>
            <w:shd w:fill="F6F7FA" w:val="clear"/>
            <w:tcMar>
              <w:top w:type="dxa" w:w="60"/>
              <w:left w:type="dxa" w:w="100"/>
              <w:bottom w:type="dxa" w:w="60"/>
              <w:right w:type="dxa" w:w="100"/>
            </w:tcMar>
          </w:tcPr>
          <w:p>
            <w:pPr>
              <w:spacing w:after="0"/>
            </w:pPr>
            <w:r>
              <w:rPr>
                <w:b w:val="false"/>
                <w:bCs w:val="false"/>
                <w:sz w:val="19"/>
                <w:szCs w:val="19"/>
              </w:rPr>
              <w:t xml:space="preserve">Customer appeal against the decision</w:t>
            </w:r>
          </w:p>
        </w:tc>
        <w:tc>
          <w:tcPr>
            <w:tcW w:type="pct" w:w="33.33333333333333%"/>
            <w:shd w:fill="F6F7FA" w:val="clear"/>
            <w:tcMar>
              <w:top w:type="dxa" w:w="60"/>
              <w:left w:type="dxa" w:w="100"/>
              <w:bottom w:type="dxa" w:w="60"/>
              <w:right w:type="dxa" w:w="100"/>
            </w:tcMar>
          </w:tcPr>
          <w:p>
            <w:pPr>
              <w:spacing w:after="0"/>
            </w:pPr>
            <w:r>
              <w:rPr>
                <w:b w:val="false"/>
                <w:bCs w:val="false"/>
                <w:sz w:val="19"/>
                <w:szCs w:val="19"/>
              </w:rPr>
              <w:t xml:space="preserve">14 days from service of the decision</w:t>
            </w:r>
          </w:p>
        </w:tc>
        <w:tc>
          <w:tcPr>
            <w:tcW w:type="pct" w:w="27.27272727272727%"/>
            <w:shd w:fill="F6F7FA" w:val="clear"/>
            <w:tcMar>
              <w:top w:type="dxa" w:w="60"/>
              <w:left w:type="dxa" w:w="100"/>
              <w:bottom w:type="dxa" w:w="60"/>
              <w:right w:type="dxa" w:w="100"/>
            </w:tcMar>
          </w:tcPr>
          <w:p>
            <w:pPr>
              <w:spacing w:after="0"/>
            </w:pPr>
            <w:r>
              <w:rPr>
                <w:b w:val="false"/>
                <w:bCs w:val="false"/>
                <w:sz w:val="19"/>
                <w:szCs w:val="19"/>
              </w:rPr>
              <w:t xml:space="preserve">Sales Director</w:t>
            </w:r>
          </w:p>
        </w:tc>
      </w:tr>
    </w:tbl>
    <w:p>
      <w:pPr>
        <w:spacing w:after="160"/>
      </w:pPr>
    </w:p>
    <w:p>
      <w:pPr>
        <w:spacing w:after="120" w:line="276"/>
      </w:pPr>
      <w:r>
        <w:rPr>
          <w:b w:val="false"/>
          <w:bCs w:val="false"/>
          <w:sz w:val="21"/>
          <w:szCs w:val="21"/>
        </w:rPr>
        <w:t xml:space="preserve">No decision within 14 calendar days means the complaint is accepted, under article 5615 of the Polish Civil Code.</w:t>
      </w:r>
    </w:p>
    <w:p>
      <w:pPr>
        <w:pStyle w:val="Heading2"/>
        <w:spacing w:after="100" w:before="200"/>
      </w:pPr>
      <w:r>
        <w:rPr>
          <w:b/>
          <w:bCs/>
          <w:color w:val="252D53"/>
          <w:sz w:val="25"/>
          <w:szCs w:val="25"/>
        </w:rPr>
        <w:t xml:space="preserve">4. Complaints not accepted</w:t>
      </w:r>
    </w:p>
    <w:p>
      <w:pPr>
        <w:pStyle w:val="ListParagraph"/>
        <w:numPr>
          <w:ilvl w:val="0"/>
          <w:numId w:val="1"/>
        </w:numPr>
        <w:spacing w:after="60" w:line="276"/>
      </w:pPr>
      <w:r>
        <w:rPr>
          <w:sz w:val="21"/>
          <w:szCs w:val="21"/>
        </w:rPr>
        <w:t xml:space="preserve">mechanical damage caused by the user, including a forklift striking a racking frame,</w:t>
      </w:r>
    </w:p>
    <w:p>
      <w:pPr>
        <w:pStyle w:val="ListParagraph"/>
        <w:numPr>
          <w:ilvl w:val="0"/>
          <w:numId w:val="1"/>
        </w:numPr>
        <w:spacing w:after="60" w:line="276"/>
      </w:pPr>
      <w:r>
        <w:rPr>
          <w:sz w:val="21"/>
          <w:szCs w:val="21"/>
        </w:rPr>
        <w:t xml:space="preserve">loading a structure beyond the capacity stated on its product card,</w:t>
      </w:r>
    </w:p>
    <w:p>
      <w:pPr>
        <w:pStyle w:val="ListParagraph"/>
        <w:numPr>
          <w:ilvl w:val="0"/>
          <w:numId w:val="1"/>
        </w:numPr>
        <w:spacing w:after="60" w:line="276"/>
      </w:pPr>
      <w:r>
        <w:rPr>
          <w:sz w:val="21"/>
          <w:szCs w:val="21"/>
        </w:rPr>
        <w:t xml:space="preserve">installation contrary to the instructions or by a crew not authorised by the Supplier,</w:t>
      </w:r>
    </w:p>
    <w:p>
      <w:pPr>
        <w:pStyle w:val="ListParagraph"/>
        <w:numPr>
          <w:ilvl w:val="0"/>
          <w:numId w:val="1"/>
        </w:numPr>
        <w:spacing w:after="60" w:line="276"/>
      </w:pPr>
      <w:r>
        <w:rPr>
          <w:sz w:val="21"/>
          <w:szCs w:val="21"/>
        </w:rPr>
        <w:t xml:space="preserve">no documented periodic inspection carried out every 12 months,</w:t>
      </w:r>
    </w:p>
    <w:p>
      <w:pPr>
        <w:pStyle w:val="ListParagraph"/>
        <w:numPr>
          <w:ilvl w:val="0"/>
          <w:numId w:val="1"/>
        </w:numPr>
        <w:spacing w:after="60" w:line="276"/>
      </w:pPr>
      <w:r>
        <w:rPr>
          <w:sz w:val="21"/>
          <w:szCs w:val="21"/>
        </w:rPr>
        <w:t xml:space="preserve">normal wear of replaceable parts: rollers, batteries and seals,</w:t>
      </w:r>
    </w:p>
    <w:p>
      <w:pPr>
        <w:pStyle w:val="ListParagraph"/>
        <w:numPr>
          <w:ilvl w:val="0"/>
          <w:numId w:val="1"/>
        </w:numPr>
        <w:spacing w:after="60" w:line="276"/>
      </w:pPr>
      <w:r>
        <w:rPr>
          <w:sz w:val="21"/>
          <w:szCs w:val="21"/>
        </w:rPr>
        <w:t xml:space="preserve">surface corrosion at sites above 80% humidity without the anti-corrosion finish ordered.</w:t>
      </w:r>
    </w:p>
    <w:p>
      <w:pPr>
        <w:spacing w:after="80"/>
      </w:pPr>
    </w:p>
    <w:p>
      <w:pPr>
        <w:pStyle w:val="Heading2"/>
        <w:spacing w:after="100" w:before="200"/>
      </w:pPr>
      <w:r>
        <w:rPr>
          <w:b/>
          <w:bCs/>
          <w:color w:val="252D53"/>
          <w:sz w:val="25"/>
          <w:szCs w:val="25"/>
        </w:rPr>
        <w:t xml:space="preserve">5. Classification and escalation</w:t>
      </w:r>
    </w:p>
    <w:p>
      <w:pPr>
        <w:spacing w:after="120" w:line="276"/>
      </w:pPr>
      <w:r>
        <w:rPr>
          <w:b w:val="false"/>
          <w:bCs w:val="false"/>
          <w:sz w:val="21"/>
          <w:szCs w:val="21"/>
        </w:rPr>
        <w:t xml:space="preserve">A complaint concerning structural safety is always treated as priority P1 under the service agreement and is escalated immediately to the service manager and the Chief Operating Officer. The racking is taken out of service until it has been inspected.</w:t>
      </w:r>
    </w:p>
    <w:p>
      <w:pPr>
        <w:pStyle w:val="Heading2"/>
        <w:spacing w:after="100" w:before="200"/>
      </w:pPr>
      <w:r>
        <w:rPr>
          <w:b/>
          <w:bCs/>
          <w:color w:val="252D53"/>
          <w:sz w:val="25"/>
          <w:szCs w:val="25"/>
        </w:rPr>
        <w:t xml:space="preserve">6. Register and measures</w:t>
      </w:r>
    </w:p>
    <w:p>
      <w:pPr>
        <w:spacing w:after="120" w:line="276"/>
      </w:pPr>
      <w:r>
        <w:rPr>
          <w:b w:val="false"/>
          <w:bCs w:val="false"/>
          <w:sz w:val="21"/>
          <w:szCs w:val="21"/>
        </w:rPr>
        <w:t xml:space="preserve">Every complaint is recorded in the service system with a reference in the form REK/YYYY/NNN. The service department reports three measures quarterly: complaints per 1,000 units sold (target: below 4), the share of complaints accepted (target: below 60%), and the average time to close (target: below 18 days).</w:t>
      </w:r>
    </w:p>
    <w:sectPr>
      <w:footerReference w:type="default" r:id="rId7"/>
      <w:pgSz w:w="11906" w:h="16838" w:orient="portrait"/>
      <w:pgMar w:top="1240" w:right="1360" w:bottom="1240"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178"/>
        <w:sz w:val="16"/>
        <w:szCs w:val="16"/>
      </w:rPr>
      <w:t xml:space="preserve">Acme Industries sp. z o.o. · Complaints Procedure P-07 · demonstration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color w:val="252D53"/>
    </w:rPr>
  </w:style>
  <w:style w:type="paragraph" w:styleId="Heading2">
    <w:name w:val="Heading 2"/>
    <w:basedOn w:val="Normal"/>
    <w:next w:val="Normal"/>
    <w:qFormat/>
    <w:rPr>
      <w:rFonts w:ascii="Arial" w:cs="Arial" w:eastAsia="Arial" w:hAnsi="Arial"/>
      <w:color w:val="252D53"/>
    </w:rPr>
  </w:style>
  <w:style w:type="paragraph" w:styleId="Heading3">
    <w:name w:val="Heading 3"/>
    <w:basedOn w:val="Normal"/>
    <w:next w:val="Normal"/>
    <w:qFormat/>
    <w:rPr>
      <w:rFonts w:ascii="Arial" w:cs="Arial" w:eastAsia="Arial" w:hAnsi="Arial"/>
      <w:color w:val="252D5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Complaints Procedure P-07</dc:title>
  <dc:creator>Acme Industries sp. z o.o.</dc:creator>
  <cp:lastModifiedBy>Un-named</cp:lastModifiedBy>
  <cp:revision>1</cp:revision>
  <dcterms:created xsi:type="dcterms:W3CDTF">2026-09-19T11:41:51.721Z</dcterms:created>
  <dcterms:modified xsi:type="dcterms:W3CDTF">2026-09-19T11:41:51.721Z</dcterms:modified>
</cp:coreProperties>
</file>

<file path=docProps/custom.xml><?xml version="1.0" encoding="utf-8"?>
<Properties xmlns="http://schemas.openxmlformats.org/officeDocument/2006/custom-properties" xmlns:vt="http://schemas.openxmlformats.org/officeDocument/2006/docPropsVTypes"/>
</file>