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2D53"/>
          <w:sz w:val="42"/>
          <w:szCs w:val="42"/>
        </w:rPr>
        <w:t xml:space="preserve">Framework Supply Agreement no. 04/2026</w:t>
      </w:r>
    </w:p>
    <w:p>
      <w:pPr>
        <w:spacing w:after="280"/>
      </w:pPr>
      <w:r>
        <w:rPr>
          <w:color w:val="5B6178"/>
          <w:sz w:val="19"/>
          <w:szCs w:val="19"/>
        </w:rPr>
        <w:t xml:space="preserve">Acme Industries sp. z o.o., ul. Kwiatowa 7, 61-001 Poznań · NIP 7792451234 · made in Poznań on 15 January 2026</w:t>
      </w:r>
    </w:p>
    <w:p>
      <w:pPr>
        <w:spacing w:after="120" w:line="276"/>
      </w:pPr>
      <w:r>
        <w:rPr>
          <w:b w:val="false"/>
          <w:bCs w:val="false"/>
          <w:sz w:val="21"/>
          <w:szCs w:val="21"/>
        </w:rPr>
        <w:t xml:space="preserve">between Acme Industries sp. z o.o., registered office in Poznań at ul. Kwiatowa 7, entered in the register of entrepreneurs under KRS 0000412356, NIP 7792451234, represented by Marta Zielińska, Chief Executive Officer, hereinafter the Supplier,</w:t>
      </w:r>
    </w:p>
    <w:p>
      <w:pPr>
        <w:spacing w:after="120" w:line="276"/>
      </w:pPr>
      <w:r>
        <w:rPr>
          <w:b w:val="false"/>
          <w:bCs w:val="false"/>
          <w:sz w:val="21"/>
          <w:szCs w:val="21"/>
        </w:rPr>
        <w:t xml:space="preserve">and Logistyka Wielkopolska S.A., registered office in Swarzędz at ul. Składowa 22, NIP 7773012988, represented by Piotr Malinowski, Board Member, hereinafter the Customer.</w:t>
      </w:r>
    </w:p>
    <w:p>
      <w:pPr>
        <w:pStyle w:val="Heading2"/>
        <w:spacing w:after="100" w:before="200"/>
      </w:pPr>
      <w:r>
        <w:rPr>
          <w:b/>
          <w:bCs/>
          <w:color w:val="252D53"/>
          <w:sz w:val="25"/>
          <w:szCs w:val="25"/>
        </w:rPr>
        <w:t xml:space="preserve">Section 1. Subject of the agreement</w:t>
      </w:r>
    </w:p>
    <w:p>
      <w:pPr>
        <w:spacing w:after="120" w:line="276"/>
      </w:pPr>
      <w:r>
        <w:rPr>
          <w:b w:val="false"/>
          <w:bCs w:val="false"/>
          <w:sz w:val="21"/>
          <w:szCs w:val="21"/>
        </w:rPr>
        <w:t xml:space="preserve">The Supplier undertakes to sell and deliver warehouse equipment from its current catalogue to the Customer, and the Customer to take delivery and pay for it. This agreement sets the framework; sales are made under individual orders.</w:t>
      </w:r>
    </w:p>
    <w:p>
      <w:pPr>
        <w:pStyle w:val="Heading2"/>
        <w:spacing w:after="100" w:before="200"/>
      </w:pPr>
      <w:r>
        <w:rPr>
          <w:b/>
          <w:bCs/>
          <w:color w:val="252D53"/>
          <w:sz w:val="25"/>
          <w:szCs w:val="25"/>
        </w:rPr>
        <w:t xml:space="preserve">Section 2. Orders</w:t>
      </w:r>
    </w:p>
    <w:p>
      <w:pPr>
        <w:spacing w:after="60" w:line="276"/>
        <w:ind w:left="280" w:hanging="280"/>
      </w:pPr>
      <w:r>
        <w:rPr>
          <w:sz w:val="21"/>
          <w:szCs w:val="21"/>
        </w:rPr>
        <w:t xml:space="preserve">1. Orders are placed by email to zamowienia@acme-industries.pl.</w:t>
      </w:r>
    </w:p>
    <w:p>
      <w:pPr>
        <w:spacing w:after="60" w:line="276"/>
        <w:ind w:left="280" w:hanging="280"/>
      </w:pPr>
      <w:r>
        <w:rPr>
          <w:sz w:val="21"/>
          <w:szCs w:val="21"/>
        </w:rPr>
        <w:t xml:space="preserve">2. The Supplier confirms an order within 2 working days. No confirmation within that period means the order has not been accepted.</w:t>
      </w:r>
    </w:p>
    <w:p>
      <w:pPr>
        <w:spacing w:after="60" w:line="276"/>
        <w:ind w:left="280" w:hanging="280"/>
      </w:pPr>
      <w:r>
        <w:rPr>
          <w:sz w:val="21"/>
          <w:szCs w:val="21"/>
        </w:rPr>
        <w:t xml:space="preserve">3. The minimum value of a single order is PLN 2,500 net.</w:t>
      </w:r>
    </w:p>
    <w:p>
      <w:pPr>
        <w:spacing w:after="60" w:line="276"/>
        <w:ind w:left="280" w:hanging="280"/>
      </w:pPr>
      <w:r>
        <w:rPr>
          <w:sz w:val="21"/>
          <w:szCs w:val="21"/>
        </w:rPr>
        <w:t xml:space="preserve">4. Changing or cancelling a confirmed order requires the Supplier’s consent and is free of charge up to 3 working days after confirmation.</w:t>
      </w:r>
    </w:p>
    <w:p>
      <w:pPr>
        <w:spacing w:after="80"/>
      </w:pPr>
    </w:p>
    <w:p>
      <w:pPr>
        <w:pStyle w:val="Heading2"/>
        <w:spacing w:after="100" w:before="200"/>
      </w:pPr>
      <w:r>
        <w:rPr>
          <w:b/>
          <w:bCs/>
          <w:color w:val="252D53"/>
          <w:sz w:val="25"/>
          <w:szCs w:val="25"/>
        </w:rPr>
        <w:t xml:space="preserve">Section 3. Prices and discounts</w:t>
      </w:r>
    </w:p>
    <w:p>
      <w:pPr>
        <w:spacing w:after="120" w:line="276"/>
      </w:pPr>
      <w:r>
        <w:rPr>
          <w:b w:val="false"/>
          <w:bCs w:val="false"/>
          <w:sz w:val="21"/>
          <w:szCs w:val="21"/>
        </w:rPr>
        <w:t xml:space="preserve">Prices are set by the price list in schedule 1. The Supplier may change list prices no more than once every 6 months, giving the Customer 30 days’ notice. The scheduled price change is 4.5% from 1 April 2026.</w:t>
      </w:r>
    </w:p>
    <w:p>
      <w:pPr>
        <w:spacing w:after="120" w:line="276"/>
      </w:pPr>
      <w:r>
        <w:rPr>
          <w:b w:val="false"/>
          <w:bCs w:val="false"/>
          <w:sz w:val="21"/>
          <w:szCs w:val="21"/>
        </w:rPr>
        <w:t xml:space="preserve">Volume discounts are calculated separately for each order line:</w:t>
      </w:r>
    </w:p>
    <w:tbl>
      <w:tblPr>
        <w:tblW w:type="pct" w:w="100%"/>
        <w:tblBorders>
          <w:top w:val="single" w:color="D4D7E3" w:sz="4"/>
          <w:left w:val="single" w:color="D4D7E3" w:sz="4"/>
          <w:bottom w:val="single" w:color="D4D7E3" w:sz="4"/>
          <w:right w:val="single" w:color="D4D7E3" w:sz="4"/>
          <w:insideH w:val="single" w:color="D4D7E3" w:sz="4"/>
          <w:insideV w:val="single" w:color="D4D7E3" w:sz="4"/>
        </w:tblBorders>
      </w:tblPr>
      <w:tblGrid>
        <w:gridCol w:w="100"/>
        <w:gridCol w:w="100"/>
      </w:tblGrid>
      <w:tr>
        <w:trPr>
          <w:tblHeader/>
        </w:trPr>
        <w:tc>
          <w:tcPr>
            <w:tcW w:type="pct" w:w="66.66666666666666%"/>
            <w:shd w:fill="252D53" w:val="clear"/>
            <w:tcMar>
              <w:top w:type="dxa" w:w="60"/>
              <w:left w:type="dxa" w:w="100"/>
              <w:bottom w:type="dxa" w:w="60"/>
              <w:right w:type="dxa" w:w="100"/>
            </w:tcMar>
          </w:tcPr>
          <w:p>
            <w:pPr>
              <w:spacing w:after="0"/>
            </w:pPr>
            <w:r>
              <w:rPr>
                <w:b/>
                <w:bCs/>
                <w:color w:val="FFFFFF"/>
                <w:sz w:val="19"/>
                <w:szCs w:val="19"/>
              </w:rPr>
              <w:t xml:space="preserve">Order size</w:t>
            </w:r>
          </w:p>
        </w:tc>
        <w:tc>
          <w:tcPr>
            <w:tcW w:type="pct" w:w="33.33333333333333%"/>
            <w:shd w:fill="252D53" w:val="clear"/>
            <w:tcMar>
              <w:top w:type="dxa" w:w="60"/>
              <w:left w:type="dxa" w:w="100"/>
              <w:bottom w:type="dxa" w:w="60"/>
              <w:right w:type="dxa" w:w="100"/>
            </w:tcMar>
          </w:tcPr>
          <w:p>
            <w:pPr>
              <w:spacing w:after="0"/>
            </w:pPr>
            <w:r>
              <w:rPr>
                <w:b/>
                <w:bCs/>
                <w:color w:val="FFFFFF"/>
                <w:sz w:val="19"/>
                <w:szCs w:val="19"/>
              </w:rPr>
              <w:t xml:space="preserve">Discount</w:t>
            </w:r>
          </w:p>
        </w:tc>
      </w:tr>
      <w:tr>
        <w:tc>
          <w:tcPr>
            <w:tcW w:type="pct" w:w="66.66666666666666%"/>
            <w:tcMar>
              <w:top w:type="dxa" w:w="60"/>
              <w:left w:type="dxa" w:w="100"/>
              <w:bottom w:type="dxa" w:w="60"/>
              <w:right w:type="dxa" w:w="100"/>
            </w:tcMar>
          </w:tcPr>
          <w:p>
            <w:pPr>
              <w:spacing w:after="0"/>
            </w:pPr>
            <w:r>
              <w:rPr>
                <w:b w:val="false"/>
                <w:bCs w:val="false"/>
                <w:sz w:val="19"/>
                <w:szCs w:val="19"/>
              </w:rPr>
              <w:t xml:space="preserve">1–9 pcs</w:t>
            </w:r>
          </w:p>
        </w:tc>
        <w:tc>
          <w:tcPr>
            <w:tcW w:type="pct" w:w="33.33333333333333%"/>
            <w:tcMar>
              <w:top w:type="dxa" w:w="60"/>
              <w:left w:type="dxa" w:w="100"/>
              <w:bottom w:type="dxa" w:w="60"/>
              <w:right w:type="dxa" w:w="100"/>
            </w:tcMar>
          </w:tcPr>
          <w:p>
            <w:pPr>
              <w:spacing w:after="0"/>
            </w:pPr>
            <w:r>
              <w:rPr>
                <w:b w:val="false"/>
                <w:bCs w:val="false"/>
                <w:sz w:val="19"/>
                <w:szCs w:val="19"/>
              </w:rPr>
              <w:t xml:space="preserve">0%</w:t>
            </w:r>
          </w:p>
        </w:tc>
      </w:tr>
      <w:tr>
        <w:tc>
          <w:tcPr>
            <w:tcW w:type="pct" w:w="66.66666666666666%"/>
            <w:shd w:fill="F6F7FA" w:val="clear"/>
            <w:tcMar>
              <w:top w:type="dxa" w:w="60"/>
              <w:left w:type="dxa" w:w="100"/>
              <w:bottom w:type="dxa" w:w="60"/>
              <w:right w:type="dxa" w:w="100"/>
            </w:tcMar>
          </w:tcPr>
          <w:p>
            <w:pPr>
              <w:spacing w:after="0"/>
            </w:pPr>
            <w:r>
              <w:rPr>
                <w:b w:val="false"/>
                <w:bCs w:val="false"/>
                <w:sz w:val="19"/>
                <w:szCs w:val="19"/>
              </w:rPr>
              <w:t xml:space="preserve">10–24 pcs</w:t>
            </w:r>
          </w:p>
        </w:tc>
        <w:tc>
          <w:tcPr>
            <w:tcW w:type="pct" w:w="33.33333333333333%"/>
            <w:shd w:fill="F6F7FA" w:val="clear"/>
            <w:tcMar>
              <w:top w:type="dxa" w:w="60"/>
              <w:left w:type="dxa" w:w="100"/>
              <w:bottom w:type="dxa" w:w="60"/>
              <w:right w:type="dxa" w:w="100"/>
            </w:tcMar>
          </w:tcPr>
          <w:p>
            <w:pPr>
              <w:spacing w:after="0"/>
            </w:pPr>
            <w:r>
              <w:rPr>
                <w:b w:val="false"/>
                <w:bCs w:val="false"/>
                <w:sz w:val="19"/>
                <w:szCs w:val="19"/>
              </w:rPr>
              <w:t xml:space="preserve">5%</w:t>
            </w:r>
          </w:p>
        </w:tc>
      </w:tr>
      <w:tr>
        <w:tc>
          <w:tcPr>
            <w:tcW w:type="pct" w:w="66.66666666666666%"/>
            <w:tcMar>
              <w:top w:type="dxa" w:w="60"/>
              <w:left w:type="dxa" w:w="100"/>
              <w:bottom w:type="dxa" w:w="60"/>
              <w:right w:type="dxa" w:w="100"/>
            </w:tcMar>
          </w:tcPr>
          <w:p>
            <w:pPr>
              <w:spacing w:after="0"/>
            </w:pPr>
            <w:r>
              <w:rPr>
                <w:b w:val="false"/>
                <w:bCs w:val="false"/>
                <w:sz w:val="19"/>
                <w:szCs w:val="19"/>
              </w:rPr>
              <w:t xml:space="preserve">25–49 pcs</w:t>
            </w:r>
          </w:p>
        </w:tc>
        <w:tc>
          <w:tcPr>
            <w:tcW w:type="pct" w:w="33.33333333333333%"/>
            <w:tcMar>
              <w:top w:type="dxa" w:w="60"/>
              <w:left w:type="dxa" w:w="100"/>
              <w:bottom w:type="dxa" w:w="60"/>
              <w:right w:type="dxa" w:w="100"/>
            </w:tcMar>
          </w:tcPr>
          <w:p>
            <w:pPr>
              <w:spacing w:after="0"/>
            </w:pPr>
            <w:r>
              <w:rPr>
                <w:b w:val="false"/>
                <w:bCs w:val="false"/>
                <w:sz w:val="19"/>
                <w:szCs w:val="19"/>
              </w:rPr>
              <w:t xml:space="preserve">8%</w:t>
            </w:r>
          </w:p>
        </w:tc>
      </w:tr>
      <w:tr>
        <w:tc>
          <w:tcPr>
            <w:tcW w:type="pct" w:w="66.66666666666666%"/>
            <w:shd w:fill="F6F7FA" w:val="clear"/>
            <w:tcMar>
              <w:top w:type="dxa" w:w="60"/>
              <w:left w:type="dxa" w:w="100"/>
              <w:bottom w:type="dxa" w:w="60"/>
              <w:right w:type="dxa" w:w="100"/>
            </w:tcMar>
          </w:tcPr>
          <w:p>
            <w:pPr>
              <w:spacing w:after="0"/>
            </w:pPr>
            <w:r>
              <w:rPr>
                <w:b w:val="false"/>
                <w:bCs w:val="false"/>
                <w:sz w:val="19"/>
                <w:szCs w:val="19"/>
              </w:rPr>
              <w:t xml:space="preserve">50–99 pcs</w:t>
            </w:r>
          </w:p>
        </w:tc>
        <w:tc>
          <w:tcPr>
            <w:tcW w:type="pct" w:w="33.33333333333333%"/>
            <w:shd w:fill="F6F7FA" w:val="clear"/>
            <w:tcMar>
              <w:top w:type="dxa" w:w="60"/>
              <w:left w:type="dxa" w:w="100"/>
              <w:bottom w:type="dxa" w:w="60"/>
              <w:right w:type="dxa" w:w="100"/>
            </w:tcMar>
          </w:tcPr>
          <w:p>
            <w:pPr>
              <w:spacing w:after="0"/>
            </w:pPr>
            <w:r>
              <w:rPr>
                <w:b w:val="false"/>
                <w:bCs w:val="false"/>
                <w:sz w:val="19"/>
                <w:szCs w:val="19"/>
              </w:rPr>
              <w:t xml:space="preserve">12%</w:t>
            </w:r>
          </w:p>
        </w:tc>
      </w:tr>
      <w:tr>
        <w:tc>
          <w:tcPr>
            <w:tcW w:type="pct" w:w="66.66666666666666%"/>
            <w:tcMar>
              <w:top w:type="dxa" w:w="60"/>
              <w:left w:type="dxa" w:w="100"/>
              <w:bottom w:type="dxa" w:w="60"/>
              <w:right w:type="dxa" w:w="100"/>
            </w:tcMar>
          </w:tcPr>
          <w:p>
            <w:pPr>
              <w:spacing w:after="0"/>
            </w:pPr>
            <w:r>
              <w:rPr>
                <w:b w:val="false"/>
                <w:bCs w:val="false"/>
                <w:sz w:val="19"/>
                <w:szCs w:val="19"/>
              </w:rPr>
              <w:t xml:space="preserve">100 pcs and above</w:t>
            </w:r>
          </w:p>
        </w:tc>
        <w:tc>
          <w:tcPr>
            <w:tcW w:type="pct" w:w="33.33333333333333%"/>
            <w:tcMar>
              <w:top w:type="dxa" w:w="60"/>
              <w:left w:type="dxa" w:w="100"/>
              <w:bottom w:type="dxa" w:w="60"/>
              <w:right w:type="dxa" w:w="100"/>
            </w:tcMar>
          </w:tcPr>
          <w:p>
            <w:pPr>
              <w:spacing w:after="0"/>
            </w:pPr>
            <w:r>
              <w:rPr>
                <w:b w:val="false"/>
                <w:bCs w:val="false"/>
                <w:sz w:val="19"/>
                <w:szCs w:val="19"/>
              </w:rPr>
              <w:t xml:space="preserve">15%</w:t>
            </w:r>
          </w:p>
        </w:tc>
      </w:tr>
    </w:tbl>
    <w:p>
      <w:pPr>
        <w:spacing w:after="160"/>
      </w:pPr>
    </w:p>
    <w:p>
      <w:pPr>
        <w:spacing w:after="120" w:line="276"/>
      </w:pPr>
      <w:r>
        <w:rPr>
          <w:b w:val="false"/>
          <w:bCs w:val="false"/>
          <w:sz w:val="21"/>
          <w:szCs w:val="21"/>
        </w:rPr>
        <w:t xml:space="preserve">The Customer receives an additional loyalty discount of 3% off list prices where orders in the previous calendar year exceeded PLN 2,000,000 net. Discounts do not stack with promotional discounts.</w:t>
      </w:r>
    </w:p>
    <w:p>
      <w:pPr>
        <w:pStyle w:val="Heading2"/>
        <w:spacing w:after="100" w:before="200"/>
      </w:pPr>
      <w:r>
        <w:rPr>
          <w:b/>
          <w:bCs/>
          <w:color w:val="252D53"/>
          <w:sz w:val="25"/>
          <w:szCs w:val="25"/>
        </w:rPr>
        <w:t xml:space="preserve">Section 4. Delivery</w:t>
      </w:r>
    </w:p>
    <w:p>
      <w:pPr>
        <w:spacing w:after="60" w:line="276"/>
        <w:ind w:left="280" w:hanging="280"/>
      </w:pPr>
      <w:r>
        <w:rPr>
          <w:sz w:val="21"/>
          <w:szCs w:val="21"/>
        </w:rPr>
        <w:t xml:space="preserve">1. The delivery time is 14 working days from order confirmation, unless the product card states a longer time.</w:t>
      </w:r>
    </w:p>
    <w:p>
      <w:pPr>
        <w:spacing w:after="60" w:line="276"/>
        <w:ind w:left="280" w:hanging="280"/>
      </w:pPr>
      <w:r>
        <w:rPr>
          <w:sz w:val="21"/>
          <w:szCs w:val="21"/>
        </w:rPr>
        <w:t xml:space="preserve">2. Delivery is made DAP under Incoterms 2020, to the Customer warehouse named in the order.</w:t>
      </w:r>
    </w:p>
    <w:p>
      <w:pPr>
        <w:spacing w:after="60" w:line="276"/>
        <w:ind w:left="280" w:hanging="280"/>
      </w:pPr>
      <w:r>
        <w:rPr>
          <w:sz w:val="21"/>
          <w:szCs w:val="21"/>
        </w:rPr>
        <w:t xml:space="preserve">3. Transport is free of charge for orders above PLN 15,000 net.</w:t>
      </w:r>
    </w:p>
    <w:p>
      <w:pPr>
        <w:spacing w:after="60" w:line="276"/>
        <w:ind w:left="280" w:hanging="280"/>
      </w:pPr>
      <w:r>
        <w:rPr>
          <w:sz w:val="21"/>
          <w:szCs w:val="21"/>
        </w:rPr>
        <w:t xml:space="preserve">4. The Customer checks the delivery on receipt and records any shortfall in the delivery note.</w:t>
      </w:r>
    </w:p>
    <w:p>
      <w:pPr>
        <w:spacing w:after="80"/>
      </w:pPr>
    </w:p>
    <w:p>
      <w:pPr>
        <w:pStyle w:val="Heading2"/>
        <w:spacing w:after="100" w:before="200"/>
      </w:pPr>
      <w:r>
        <w:rPr>
          <w:b/>
          <w:bCs/>
          <w:color w:val="252D53"/>
          <w:sz w:val="25"/>
          <w:szCs w:val="25"/>
        </w:rPr>
        <w:t xml:space="preserve">Section 5. Payment</w:t>
      </w:r>
    </w:p>
    <w:p>
      <w:pPr>
        <w:spacing w:after="120" w:line="276"/>
      </w:pPr>
      <w:r>
        <w:rPr>
          <w:b w:val="false"/>
          <w:bCs w:val="false"/>
          <w:sz w:val="21"/>
          <w:szCs w:val="21"/>
        </w:rPr>
        <w:t xml:space="preserve">Payment terms are 30 days from the invoice date. Payment is treated as made on the day the Supplier’s account is credited. Late payment carries statutory interest for late payment in commercial transactions.</w:t>
      </w:r>
    </w:p>
    <w:p>
      <w:pPr>
        <w:spacing w:after="120" w:line="276"/>
      </w:pPr>
      <w:r>
        <w:rPr>
          <w:b w:val="false"/>
          <w:bCs w:val="false"/>
          <w:sz w:val="21"/>
          <w:szCs w:val="21"/>
        </w:rPr>
        <w:t xml:space="preserve">The Customer’s trade credit limit is PLN 600,000. Above that limit the Supplier may hold further orders until the arrears are settled.</w:t>
      </w:r>
    </w:p>
    <w:p>
      <w:pPr>
        <w:pStyle w:val="Heading2"/>
        <w:spacing w:after="100" w:before="200"/>
      </w:pPr>
      <w:r>
        <w:rPr>
          <w:b/>
          <w:bCs/>
          <w:color w:val="252D53"/>
          <w:sz w:val="25"/>
          <w:szCs w:val="25"/>
        </w:rPr>
        <w:t xml:space="preserve">Section 6. Warranty</w:t>
      </w:r>
    </w:p>
    <w:p>
      <w:pPr>
        <w:spacing w:after="120" w:line="276"/>
      </w:pPr>
      <w:r>
        <w:rPr>
          <w:b w:val="false"/>
          <w:bCs w:val="false"/>
          <w:sz w:val="21"/>
          <w:szCs w:val="21"/>
        </w:rPr>
        <w:t xml:space="preserve">The Supplier warrants racking structures for 24 months and warehouse trucks and accessories for 12 months from the delivery date. The warranty on racking is conditional on a periodic inspection every 12 months in accordance with PN-EN 15635.</w:t>
      </w:r>
    </w:p>
    <w:p>
      <w:pPr>
        <w:pStyle w:val="Heading2"/>
        <w:spacing w:after="100" w:before="200"/>
      </w:pPr>
      <w:r>
        <w:rPr>
          <w:b/>
          <w:bCs/>
          <w:color w:val="252D53"/>
          <w:sz w:val="25"/>
          <w:szCs w:val="25"/>
        </w:rPr>
        <w:t xml:space="preserve">Section 7. Liquidated damages</w:t>
      </w:r>
    </w:p>
    <w:tbl>
      <w:tblPr>
        <w:tblW w:type="pct" w:w="100%"/>
        <w:tblBorders>
          <w:top w:val="single" w:color="D4D7E3" w:sz="4"/>
          <w:left w:val="single" w:color="D4D7E3" w:sz="4"/>
          <w:bottom w:val="single" w:color="D4D7E3" w:sz="4"/>
          <w:right w:val="single" w:color="D4D7E3" w:sz="4"/>
          <w:insideH w:val="single" w:color="D4D7E3" w:sz="4"/>
          <w:insideV w:val="single" w:color="D4D7E3" w:sz="4"/>
        </w:tblBorders>
      </w:tblPr>
      <w:tblGrid>
        <w:gridCol w:w="100"/>
        <w:gridCol w:w="100"/>
        <w:gridCol w:w="100"/>
      </w:tblGrid>
      <w:tr>
        <w:trPr>
          <w:tblHeader/>
        </w:trPr>
        <w:tc>
          <w:tcPr>
            <w:tcW w:type="pct" w:w="30.303030303030305%"/>
            <w:shd w:fill="252D53" w:val="clear"/>
            <w:tcMar>
              <w:top w:type="dxa" w:w="60"/>
              <w:left w:type="dxa" w:w="100"/>
              <w:bottom w:type="dxa" w:w="60"/>
              <w:right w:type="dxa" w:w="100"/>
            </w:tcMar>
          </w:tcPr>
          <w:p>
            <w:pPr>
              <w:spacing w:after="0"/>
            </w:pPr>
            <w:r>
              <w:rPr>
                <w:b/>
                <w:bCs/>
                <w:color w:val="FFFFFF"/>
                <w:sz w:val="19"/>
                <w:szCs w:val="19"/>
              </w:rPr>
              <w:t xml:space="preserve">Event</w:t>
            </w:r>
          </w:p>
        </w:tc>
        <w:tc>
          <w:tcPr>
            <w:tcW w:type="pct" w:w="42.42424242424242%"/>
            <w:shd w:fill="252D53" w:val="clear"/>
            <w:tcMar>
              <w:top w:type="dxa" w:w="60"/>
              <w:left w:type="dxa" w:w="100"/>
              <w:bottom w:type="dxa" w:w="60"/>
              <w:right w:type="dxa" w:w="100"/>
            </w:tcMar>
          </w:tcPr>
          <w:p>
            <w:pPr>
              <w:spacing w:after="0"/>
            </w:pPr>
            <w:r>
              <w:rPr>
                <w:b/>
                <w:bCs/>
                <w:color w:val="FFFFFF"/>
                <w:sz w:val="19"/>
                <w:szCs w:val="19"/>
              </w:rPr>
              <w:t xml:space="preserve">Liquidated damages</w:t>
            </w:r>
          </w:p>
        </w:tc>
        <w:tc>
          <w:tcPr>
            <w:tcW w:type="pct" w:w="27.27272727272727%"/>
            <w:shd w:fill="252D53" w:val="clear"/>
            <w:tcMar>
              <w:top w:type="dxa" w:w="60"/>
              <w:left w:type="dxa" w:w="100"/>
              <w:bottom w:type="dxa" w:w="60"/>
              <w:right w:type="dxa" w:w="100"/>
            </w:tcMar>
          </w:tcPr>
          <w:p>
            <w:pPr>
              <w:spacing w:after="0"/>
            </w:pPr>
            <w:r>
              <w:rPr>
                <w:b/>
                <w:bCs/>
                <w:color w:val="FFFFFF"/>
                <w:sz w:val="19"/>
                <w:szCs w:val="19"/>
              </w:rPr>
              <w:t xml:space="preserve">Cap</w:t>
            </w:r>
          </w:p>
        </w:tc>
      </w:tr>
      <w:tr>
        <w:tc>
          <w:tcPr>
            <w:tcW w:type="pct" w:w="30.303030303030305%"/>
            <w:tcMar>
              <w:top w:type="dxa" w:w="60"/>
              <w:left w:type="dxa" w:w="100"/>
              <w:bottom w:type="dxa" w:w="60"/>
              <w:right w:type="dxa" w:w="100"/>
            </w:tcMar>
          </w:tcPr>
          <w:p>
            <w:pPr>
              <w:spacing w:after="0"/>
            </w:pPr>
            <w:r>
              <w:rPr>
                <w:b w:val="false"/>
                <w:bCs w:val="false"/>
                <w:sz w:val="19"/>
                <w:szCs w:val="19"/>
              </w:rPr>
              <w:t xml:space="preserve">Late delivery</w:t>
            </w:r>
          </w:p>
        </w:tc>
        <w:tc>
          <w:tcPr>
            <w:tcW w:type="pct" w:w="42.42424242424242%"/>
            <w:tcMar>
              <w:top w:type="dxa" w:w="60"/>
              <w:left w:type="dxa" w:w="100"/>
              <w:bottom w:type="dxa" w:w="60"/>
              <w:right w:type="dxa" w:w="100"/>
            </w:tcMar>
          </w:tcPr>
          <w:p>
            <w:pPr>
              <w:spacing w:after="0"/>
            </w:pPr>
            <w:r>
              <w:rPr>
                <w:b w:val="false"/>
                <w:bCs w:val="false"/>
                <w:sz w:val="19"/>
                <w:szCs w:val="19"/>
              </w:rPr>
              <w:t xml:space="preserve">0.2% of the net value of the late delivery per day</w:t>
            </w:r>
          </w:p>
        </w:tc>
        <w:tc>
          <w:tcPr>
            <w:tcW w:type="pct" w:w="27.27272727272727%"/>
            <w:tcMar>
              <w:top w:type="dxa" w:w="60"/>
              <w:left w:type="dxa" w:w="100"/>
              <w:bottom w:type="dxa" w:w="60"/>
              <w:right w:type="dxa" w:w="100"/>
            </w:tcMar>
          </w:tcPr>
          <w:p>
            <w:pPr>
              <w:spacing w:after="0"/>
            </w:pPr>
            <w:r>
              <w:rPr>
                <w:b w:val="false"/>
                <w:bCs w:val="false"/>
                <w:sz w:val="19"/>
                <w:szCs w:val="19"/>
              </w:rPr>
              <w:t xml:space="preserve">15% of the order value</w:t>
            </w:r>
          </w:p>
        </w:tc>
      </w:tr>
      <w:tr>
        <w:tc>
          <w:tcPr>
            <w:tcW w:type="pct" w:w="30.303030303030305%"/>
            <w:shd w:fill="F6F7FA" w:val="clear"/>
            <w:tcMar>
              <w:top w:type="dxa" w:w="60"/>
              <w:left w:type="dxa" w:w="100"/>
              <w:bottom w:type="dxa" w:w="60"/>
              <w:right w:type="dxa" w:w="100"/>
            </w:tcMar>
          </w:tcPr>
          <w:p>
            <w:pPr>
              <w:spacing w:after="0"/>
            </w:pPr>
            <w:r>
              <w:rPr>
                <w:b w:val="false"/>
                <w:bCs w:val="false"/>
                <w:sz w:val="19"/>
                <w:szCs w:val="19"/>
              </w:rPr>
              <w:t xml:space="preserve">Late remedy of a defect</w:t>
            </w:r>
          </w:p>
        </w:tc>
        <w:tc>
          <w:tcPr>
            <w:tcW w:type="pct" w:w="42.42424242424242%"/>
            <w:shd w:fill="F6F7FA" w:val="clear"/>
            <w:tcMar>
              <w:top w:type="dxa" w:w="60"/>
              <w:left w:type="dxa" w:w="100"/>
              <w:bottom w:type="dxa" w:w="60"/>
              <w:right w:type="dxa" w:w="100"/>
            </w:tcMar>
          </w:tcPr>
          <w:p>
            <w:pPr>
              <w:spacing w:after="0"/>
            </w:pPr>
            <w:r>
              <w:rPr>
                <w:b w:val="false"/>
                <w:bCs w:val="false"/>
                <w:sz w:val="19"/>
                <w:szCs w:val="19"/>
              </w:rPr>
              <w:t xml:space="preserve">0.1% of the net value of the defective goods per day</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10% of the order value</w:t>
            </w:r>
          </w:p>
        </w:tc>
      </w:tr>
      <w:tr>
        <w:tc>
          <w:tcPr>
            <w:tcW w:type="pct" w:w="30.303030303030305%"/>
            <w:tcMar>
              <w:top w:type="dxa" w:w="60"/>
              <w:left w:type="dxa" w:w="100"/>
              <w:bottom w:type="dxa" w:w="60"/>
              <w:right w:type="dxa" w:w="100"/>
            </w:tcMar>
          </w:tcPr>
          <w:p>
            <w:pPr>
              <w:spacing w:after="0"/>
            </w:pPr>
            <w:r>
              <w:rPr>
                <w:b w:val="false"/>
                <w:bCs w:val="false"/>
                <w:sz w:val="19"/>
                <w:szCs w:val="19"/>
              </w:rPr>
              <w:t xml:space="preserve">Withdrawal through a party’s fault</w:t>
            </w:r>
          </w:p>
        </w:tc>
        <w:tc>
          <w:tcPr>
            <w:tcW w:type="pct" w:w="42.42424242424242%"/>
            <w:tcMar>
              <w:top w:type="dxa" w:w="60"/>
              <w:left w:type="dxa" w:w="100"/>
              <w:bottom w:type="dxa" w:w="60"/>
              <w:right w:type="dxa" w:w="100"/>
            </w:tcMar>
          </w:tcPr>
          <w:p>
            <w:pPr>
              <w:spacing w:after="0"/>
            </w:pPr>
            <w:r>
              <w:rPr>
                <w:b w:val="false"/>
                <w:bCs w:val="false"/>
                <w:sz w:val="19"/>
                <w:szCs w:val="19"/>
              </w:rPr>
              <w:t xml:space="preserve">10% of the unperformed part of the agreement</w:t>
            </w:r>
          </w:p>
        </w:tc>
        <w:tc>
          <w:tcPr>
            <w:tcW w:type="pct" w:w="27.27272727272727%"/>
            <w:tcMar>
              <w:top w:type="dxa" w:w="60"/>
              <w:left w:type="dxa" w:w="100"/>
              <w:bottom w:type="dxa" w:w="60"/>
              <w:right w:type="dxa" w:w="100"/>
            </w:tcMar>
          </w:tcPr>
          <w:p>
            <w:pPr>
              <w:spacing w:after="0"/>
            </w:pPr>
            <w:r>
              <w:rPr>
                <w:b w:val="false"/>
                <w:bCs w:val="false"/>
                <w:sz w:val="19"/>
                <w:szCs w:val="19"/>
              </w:rPr>
              <w:t xml:space="preserve">—</w:t>
            </w:r>
          </w:p>
        </w:tc>
      </w:tr>
      <w:tr>
        <w:tc>
          <w:tcPr>
            <w:tcW w:type="pct" w:w="30.303030303030305%"/>
            <w:shd w:fill="F6F7FA" w:val="clear"/>
            <w:tcMar>
              <w:top w:type="dxa" w:w="60"/>
              <w:left w:type="dxa" w:w="100"/>
              <w:bottom w:type="dxa" w:w="60"/>
              <w:right w:type="dxa" w:w="100"/>
            </w:tcMar>
          </w:tcPr>
          <w:p>
            <w:pPr>
              <w:spacing w:after="0"/>
            </w:pPr>
            <w:r>
              <w:rPr>
                <w:b w:val="false"/>
                <w:bCs w:val="false"/>
                <w:sz w:val="19"/>
                <w:szCs w:val="19"/>
              </w:rPr>
              <w:t xml:space="preserve">Breach of confidentiality</w:t>
            </w:r>
          </w:p>
        </w:tc>
        <w:tc>
          <w:tcPr>
            <w:tcW w:type="pct" w:w="42.42424242424242%"/>
            <w:shd w:fill="F6F7FA" w:val="clear"/>
            <w:tcMar>
              <w:top w:type="dxa" w:w="60"/>
              <w:left w:type="dxa" w:w="100"/>
              <w:bottom w:type="dxa" w:w="60"/>
              <w:right w:type="dxa" w:w="100"/>
            </w:tcMar>
          </w:tcPr>
          <w:p>
            <w:pPr>
              <w:spacing w:after="0"/>
            </w:pPr>
            <w:r>
              <w:rPr>
                <w:b w:val="false"/>
                <w:bCs w:val="false"/>
                <w:sz w:val="19"/>
                <w:szCs w:val="19"/>
              </w:rPr>
              <w:t xml:space="preserve">PLN 50,000 per breach</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w:t>
            </w:r>
          </w:p>
        </w:tc>
      </w:tr>
    </w:tbl>
    <w:p>
      <w:pPr>
        <w:spacing w:after="160"/>
      </w:pPr>
    </w:p>
    <w:p>
      <w:pPr>
        <w:spacing w:after="120" w:line="276"/>
      </w:pPr>
      <w:r>
        <w:rPr>
          <w:b w:val="false"/>
          <w:bCs w:val="false"/>
          <w:sz w:val="21"/>
          <w:szCs w:val="21"/>
        </w:rPr>
        <w:t xml:space="preserve">The Supplier’s total liability under this agreement does not exceed 100% of the value of orders fulfilled in the last 12 months.</w:t>
      </w:r>
    </w:p>
    <w:p>
      <w:pPr>
        <w:pStyle w:val="Heading2"/>
        <w:spacing w:after="100" w:before="200"/>
      </w:pPr>
      <w:r>
        <w:rPr>
          <w:b/>
          <w:bCs/>
          <w:color w:val="252D53"/>
          <w:sz w:val="25"/>
          <w:szCs w:val="25"/>
        </w:rPr>
        <w:t xml:space="preserve">Section 8. Confidentiality and personal data</w:t>
      </w:r>
    </w:p>
    <w:p>
      <w:pPr>
        <w:spacing w:after="120" w:line="276"/>
      </w:pPr>
      <w:r>
        <w:rPr>
          <w:b w:val="false"/>
          <w:bCs w:val="false"/>
          <w:sz w:val="21"/>
          <w:szCs w:val="21"/>
        </w:rPr>
        <w:t xml:space="preserve">The parties keep confidential the commercial and technical information obtained under this agreement, for its term and 3 years afterwards. The processing of personal data is governed by schedule 2 (a GDPR data processing agreement).</w:t>
      </w:r>
    </w:p>
    <w:p>
      <w:pPr>
        <w:pStyle w:val="Heading2"/>
        <w:spacing w:after="100" w:before="200"/>
      </w:pPr>
      <w:r>
        <w:rPr>
          <w:b/>
          <w:bCs/>
          <w:color w:val="252D53"/>
          <w:sz w:val="25"/>
          <w:szCs w:val="25"/>
        </w:rPr>
        <w:t xml:space="preserve">Section 9. Term and termination</w:t>
      </w:r>
    </w:p>
    <w:p>
      <w:pPr>
        <w:spacing w:after="120" w:line="276"/>
      </w:pPr>
      <w:r>
        <w:rPr>
          <w:b w:val="false"/>
          <w:bCs w:val="false"/>
          <w:sz w:val="21"/>
          <w:szCs w:val="21"/>
        </w:rPr>
        <w:t xml:space="preserve">This agreement is made for 24 months and may be extended by a further 12 months by amendment. Either party may terminate it on 3 months’ notice with effect at the end of a calendar month. Orders confirmed before termination are fulfilled on the existing terms.</w:t>
      </w:r>
    </w:p>
    <w:p>
      <w:pPr>
        <w:pStyle w:val="Heading2"/>
        <w:spacing w:after="100" w:before="200"/>
      </w:pPr>
      <w:r>
        <w:rPr>
          <w:b/>
          <w:bCs/>
          <w:color w:val="252D53"/>
          <w:sz w:val="25"/>
          <w:szCs w:val="25"/>
        </w:rPr>
        <w:t xml:space="preserve">Section 10. Final provisions</w:t>
      </w:r>
    </w:p>
    <w:p>
      <w:pPr>
        <w:spacing w:after="120" w:line="276"/>
      </w:pPr>
      <w:r>
        <w:rPr>
          <w:b w:val="false"/>
          <w:bCs w:val="false"/>
          <w:sz w:val="21"/>
          <w:szCs w:val="21"/>
        </w:rPr>
        <w:t xml:space="preserve">Amendments to this agreement must be in writing to be valid. Disputes are settled by the court with jurisdiction over the Supplier’s registered office in Poznań. Matters not covered here are governed by the Polish Civil Code.</w:t>
      </w:r>
    </w:p>
    <w:p>
      <w:pPr>
        <w:spacing w:after="120" w:line="276"/>
      </w:pPr>
      <w:r>
        <w:rPr>
          <w:b w:val="false"/>
          <w:bCs w:val="false"/>
          <w:sz w:val="21"/>
          <w:szCs w:val="21"/>
        </w:rPr>
        <w:t xml:space="preserve">Schedules: 1 — price list 2026; 2 — data processing agreement; 3 — SLA terms.</w:t>
      </w:r>
    </w:p>
    <w:sectPr>
      <w:footerReference w:type="default" r:id="rId7"/>
      <w:pgSz w:w="11906" w:h="16838" w:orient="portrait"/>
      <w:pgMar w:top="124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178"/>
        <w:sz w:val="16"/>
        <w:szCs w:val="16"/>
      </w:rPr>
      <w:t xml:space="preserve">Acme Industries sp. z o.o. · Framework Supply Agreement no. 04/2026 · demonstration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color w:val="252D53"/>
    </w:rPr>
  </w:style>
  <w:style w:type="paragraph" w:styleId="Heading2">
    <w:name w:val="Heading 2"/>
    <w:basedOn w:val="Normal"/>
    <w:next w:val="Normal"/>
    <w:qFormat/>
    <w:rPr>
      <w:rFonts w:ascii="Arial" w:cs="Arial" w:eastAsia="Arial" w:hAnsi="Arial"/>
      <w:color w:val="252D53"/>
    </w:rPr>
  </w:style>
  <w:style w:type="paragraph" w:styleId="Heading3">
    <w:name w:val="Heading 3"/>
    <w:basedOn w:val="Normal"/>
    <w:next w:val="Normal"/>
    <w:qFormat/>
    <w:rPr>
      <w:rFonts w:ascii="Arial" w:cs="Arial" w:eastAsia="Arial" w:hAnsi="Arial"/>
      <w:color w:val="252D5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Supply Agreement no. 04/2026</dc:title>
  <dc:creator>Acme Industries sp. z o.o.</dc:creator>
  <cp:lastModifiedBy>Un-named</cp:lastModifiedBy>
  <cp:revision>1</cp:revision>
  <dcterms:created xsi:type="dcterms:W3CDTF">2026-09-19T11:41:51.707Z</dcterms:created>
  <dcterms:modified xsi:type="dcterms:W3CDTF">2026-09-19T11:41:51.707Z</dcterms:modified>
</cp:coreProperties>
</file>

<file path=docProps/custom.xml><?xml version="1.0" encoding="utf-8"?>
<Properties xmlns="http://schemas.openxmlformats.org/officeDocument/2006/custom-properties" xmlns:vt="http://schemas.openxmlformats.org/officeDocument/2006/docPropsVTypes"/>
</file>