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2D53"/>
          <w:sz w:val="42"/>
          <w:szCs w:val="42"/>
        </w:rPr>
        <w:t xml:space="preserve">Procedura reklamacyjna P-07</w:t>
      </w:r>
    </w:p>
    <w:p>
      <w:pPr>
        <w:spacing w:after="280"/>
      </w:pPr>
      <w:r>
        <w:rPr>
          <w:color w:val="5B6178"/>
          <w:sz w:val="19"/>
          <w:szCs w:val="19"/>
        </w:rPr>
        <w:t xml:space="preserve">Acme Industries sp. z o.o., ul. Kwiatowa 7, 61-001 Poznań · NIP 7792451234 · wersja 3.1, obowiązuje od 1 lutego 2026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1. Cel i zakres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Procedura określa sposób przyjmowania, rozpatrywania i zamykania reklamacji dotyczących wyposażenia magazynowego sprzedanego przez Acme Industries. Obowiązuje dział serwisu, dział handlowy i magazyn.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2. Zgłoszenie reklamacji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Reklamacje przyjmowane są przez portal serwis.acme-industries.pl oraz pocztą elektroniczną na adres reklamacje@acme-industries.pl. Zgłoszenie musi zawierać numer faktury, SKU produktu, opis wady i zdjęcia.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.36363636363637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Rodzaj wady</w:t>
            </w:r>
          </w:p>
        </w:tc>
        <w:tc>
          <w:tcPr>
            <w:tcW w:type="pct" w:w="36.36363636363637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Termin zgłoszenia</w:t>
            </w:r>
          </w:p>
        </w:tc>
        <w:tc>
          <w:tcPr>
            <w:tcW w:type="pct" w:w="27.27272727272727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Podstawa</w:t>
            </w:r>
          </w:p>
        </w:tc>
      </w:tr>
      <w:tr>
        <w:tc>
          <w:tcPr>
            <w:tcW w:type="pct" w:w="36.363636363636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Wada jawna (widoczna przy odbiorze)</w:t>
            </w:r>
          </w:p>
        </w:tc>
        <w:tc>
          <w:tcPr>
            <w:tcW w:type="pct" w:w="36.363636363636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dni od daty dostawy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protokół odbioru</w:t>
            </w:r>
          </w:p>
        </w:tc>
      </w:tr>
      <w:tr>
        <w:tc>
          <w:tcPr>
            <w:tcW w:type="pct" w:w="36.3636363636363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Braki ilościowe</w:t>
            </w:r>
          </w:p>
        </w:tc>
        <w:tc>
          <w:tcPr>
            <w:tcW w:type="pct" w:w="36.3636363636363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dni robocze od daty dostawy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protokół odbioru</w:t>
            </w:r>
          </w:p>
        </w:tc>
      </w:tr>
      <w:tr>
        <w:tc>
          <w:tcPr>
            <w:tcW w:type="pct" w:w="36.363636363636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Wada ukryta</w:t>
            </w:r>
          </w:p>
        </w:tc>
        <w:tc>
          <w:tcPr>
            <w:tcW w:type="pct" w:w="36.363636363636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dni od wykrycia, w okresie gwarancji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karta gwarancyjna</w:t>
            </w:r>
          </w:p>
        </w:tc>
      </w:tr>
      <w:tr>
        <w:tc>
          <w:tcPr>
            <w:tcW w:type="pct" w:w="36.3636363636363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Uszkodzenie w transporcie</w:t>
            </w:r>
          </w:p>
        </w:tc>
        <w:tc>
          <w:tcPr>
            <w:tcW w:type="pct" w:w="36.3636363636363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godziny od dostawy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protokół szkody przewoźnika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3. Terminy rozpatrzenia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9.39393939393939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</w:t>
            </w:r>
          </w:p>
        </w:tc>
        <w:tc>
          <w:tcPr>
            <w:tcW w:type="pct" w:w="33.33333333333333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Termin</w:t>
            </w:r>
          </w:p>
        </w:tc>
        <w:tc>
          <w:tcPr>
            <w:tcW w:type="pct" w:w="27.27272727272727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Odpowiedzialny</w:t>
            </w:r>
          </w:p>
        </w:tc>
      </w:tr>
      <w:tr>
        <w:tc>
          <w:tcPr>
            <w:tcW w:type="pct" w:w="39.393939393939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Potwierdzenie przyjęcia zgłoszenia</w:t>
            </w:r>
          </w:p>
        </w:tc>
        <w:tc>
          <w:tcPr>
            <w:tcW w:type="pct" w:w="33.333333333333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dzień roboczy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specjalista ds. serwisu</w:t>
            </w:r>
          </w:p>
        </w:tc>
      </w:tr>
      <w:tr>
        <w:tc>
          <w:tcPr>
            <w:tcW w:type="pct" w:w="39.39393939393939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Oględziny u klienta (jeśli wymagane)</w:t>
            </w:r>
          </w:p>
        </w:tc>
        <w:tc>
          <w:tcPr>
            <w:tcW w:type="pct" w:w="33.33333333333333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dni roboczych od przyjęcia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technik serwisu</w:t>
            </w:r>
          </w:p>
        </w:tc>
      </w:tr>
      <w:tr>
        <w:tc>
          <w:tcPr>
            <w:tcW w:type="pct" w:w="39.393939393939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Decyzja o uznaniu lub odrzuceniu</w:t>
            </w:r>
          </w:p>
        </w:tc>
        <w:tc>
          <w:tcPr>
            <w:tcW w:type="pct" w:w="33.333333333333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dni kalendarzowych od zgłoszenia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kierownik serwisu</w:t>
            </w:r>
          </w:p>
        </w:tc>
      </w:tr>
      <w:tr>
        <w:tc>
          <w:tcPr>
            <w:tcW w:type="pct" w:w="39.39393939393939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Naprawa lub wymiana towaru</w:t>
            </w:r>
          </w:p>
        </w:tc>
        <w:tc>
          <w:tcPr>
            <w:tcW w:type="pct" w:w="33.33333333333333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 dni od uznania reklamacji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dział serwisu</w:t>
            </w:r>
          </w:p>
        </w:tc>
      </w:tr>
      <w:tr>
        <w:tc>
          <w:tcPr>
            <w:tcW w:type="pct" w:w="39.393939393939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Zwrot środków</w:t>
            </w:r>
          </w:p>
        </w:tc>
        <w:tc>
          <w:tcPr>
            <w:tcW w:type="pct" w:w="33.333333333333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dni od uznania reklamacji</w:t>
            </w:r>
          </w:p>
        </w:tc>
        <w:tc>
          <w:tcPr>
            <w:tcW w:type="pct" w:w="27.272727272727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dział finansowy</w:t>
            </w:r>
          </w:p>
        </w:tc>
      </w:tr>
      <w:tr>
        <w:tc>
          <w:tcPr>
            <w:tcW w:type="pct" w:w="39.39393939393939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Odwołanie klienta od decyzji</w:t>
            </w:r>
          </w:p>
        </w:tc>
        <w:tc>
          <w:tcPr>
            <w:tcW w:type="pct" w:w="33.33333333333333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dni od doręczenia decyzji</w:t>
            </w:r>
          </w:p>
        </w:tc>
        <w:tc>
          <w:tcPr>
            <w:tcW w:type="pct" w:w="27.27272727272727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dyrektor handlowy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Brak decyzji w terminie 14 dni kalendarzowych oznacza uznanie reklamacji zgodnie z art. 5615 Kodeksu cywilnego.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4. Reklamacje nieuznawane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uszkodzenia mechaniczne powstałe z winy użytkownika, w tym najechanie wózkiem na ramę regału,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przeciążenie konstrukcji ponad nośność podaną w karcie produktu,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montaż niezgodny z instrukcją lub przez ekipę nieautoryzowaną przez Dostawcę,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brak udokumentowanego przeglądu okresowego wykonywanego co 12 miesięcy,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zużycie eksploatacyjne elementów wymiennych: rolek, akumulatorów, uszczelek,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korozja powierzchniowa w obiektach o wilgotności powyżej 80% bez zamówionej powłoki antykorozyjnej.</w:t>
      </w:r>
    </w:p>
    <w:p>
      <w:pPr>
        <w:spacing w:after="80"/>
      </w:pP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5. Klasyfikacja i eskalacja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Reklamacja dotycząca bezpieczeństwa konstrukcji jest zawsze traktowana jako priorytet P1 zgodnie z umową serwisową i podlega natychmiastowej eskalacji do kierownika serwisu oraz wiceprezesa ds. operacyjnych. Do czasu oględzin regał zostaje wyłączony z eksploatacji.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6. Rejestr i wskaźniki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Wszystkie zgłoszenia rejestrowane są w systemie serwisowym z numerem w formacie REK/RRRR/NNN. Dział serwisu raportuje kwartalnie trzy wskaźniki: liczbę reklamacji na 1 000 sprzedanych sztuk (cel: poniżej 4), udział reklamacji uznanych (cel: poniżej 60%) oraz średni czas zamknięcia (cel: poniżej 18 dni).</w:t>
      </w:r>
    </w:p>
    <w:sectPr>
      <w:footerReference w:type="default" r:id="rId7"/>
      <w:pgSz w:w="11906" w:h="16838" w:orient="portrait"/>
      <w:pgMar w:top="1240" w:right="1360" w:bottom="12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8"/>
        <w:sz w:val="16"/>
        <w:szCs w:val="16"/>
      </w:rPr>
      <w:t xml:space="preserve">Acme Industries sp. z o.o. · Procedura reklamacyjna P-07 · dokument demonstracyjny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reklamacyjna P-07</dc:title>
  <dc:creator>Acme Industries sp. z o.o.</dc:creator>
  <cp:lastModifiedBy>Un-named</cp:lastModifiedBy>
  <cp:revision>1</cp:revision>
  <dcterms:created xsi:type="dcterms:W3CDTF">2026-09-19T11:41:51.482Z</dcterms:created>
  <dcterms:modified xsi:type="dcterms:W3CDTF">2026-09-19T11:41:51.482Z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