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52D53"/>
          <w:sz w:val="42"/>
          <w:szCs w:val="42"/>
        </w:rPr>
        <w:t xml:space="preserve">Umowa ramowa dostawy nr 04/2026</w:t>
      </w:r>
    </w:p>
    <w:p>
      <w:pPr>
        <w:spacing w:after="280"/>
      </w:pPr>
      <w:r>
        <w:rPr>
          <w:color w:val="5B6178"/>
          <w:sz w:val="19"/>
          <w:szCs w:val="19"/>
        </w:rPr>
        <w:t xml:space="preserve">Acme Industries sp. z o.o., ul. Kwiatowa 7, 61-001 Poznań · NIP 7792451234 · zawarta w Poznaniu 15 stycznia 2026 roku</w:t>
      </w:r>
    </w:p>
    <w:p>
      <w:pPr>
        <w:spacing w:after="120" w:line="276"/>
      </w:pPr>
      <w:r>
        <w:rPr>
          <w:b w:val="false"/>
          <w:bCs w:val="false"/>
          <w:sz w:val="21"/>
          <w:szCs w:val="21"/>
        </w:rPr>
        <w:t xml:space="preserve">zawarta pomiędzy Acme Industries sp. z o.o. z siedzibą w Poznaniu przy ul. Kwiatowej 7, wpisaną do rejestru przedsiębiorców KRS pod numerem 0000412356, NIP 7792451234, reprezentowaną przez Martę Zielińską — Prezesa Zarządu, zwaną dalej Dostawcą,</w:t>
      </w:r>
    </w:p>
    <w:p>
      <w:pPr>
        <w:spacing w:after="120" w:line="276"/>
      </w:pPr>
      <w:r>
        <w:rPr>
          <w:b w:val="false"/>
          <w:bCs w:val="false"/>
          <w:sz w:val="21"/>
          <w:szCs w:val="21"/>
        </w:rPr>
        <w:t xml:space="preserve">a Logistyka Wielkopolska S.A. z siedzibą w Swarzędzu przy ul. Składowej 22, NIP 7773012988, reprezentowaną przez Piotra Malinowskiego — Członka Zarządu, zwaną dalej Odbiorcą.</w:t>
      </w:r>
    </w:p>
    <w:p>
      <w:pPr>
        <w:pStyle w:val="Heading2"/>
        <w:spacing w:after="100" w:before="200"/>
      </w:pPr>
      <w:r>
        <w:rPr>
          <w:b/>
          <w:bCs/>
          <w:color w:val="252D53"/>
          <w:sz w:val="25"/>
          <w:szCs w:val="25"/>
        </w:rPr>
        <w:t xml:space="preserve">§ 1. Przedmiot umowy</w:t>
      </w:r>
    </w:p>
    <w:p>
      <w:pPr>
        <w:spacing w:after="120" w:line="276"/>
      </w:pPr>
      <w:r>
        <w:rPr>
          <w:b w:val="false"/>
          <w:bCs w:val="false"/>
          <w:sz w:val="21"/>
          <w:szCs w:val="21"/>
        </w:rPr>
        <w:t xml:space="preserve">Dostawca zobowiązuje się do sprzedaży i dostarczania Odbiorcy wyposażenia magazynowego z aktualnej oferty katalogowej, a Odbiorca do jego odbioru i zapłaty ceny. Umowa określa warunki ramowe; sprzedaż następuje na podstawie zamówień jednostkowych.</w:t>
      </w:r>
    </w:p>
    <w:p>
      <w:pPr>
        <w:pStyle w:val="Heading2"/>
        <w:spacing w:after="100" w:before="200"/>
      </w:pPr>
      <w:r>
        <w:rPr>
          <w:b/>
          <w:bCs/>
          <w:color w:val="252D53"/>
          <w:sz w:val="25"/>
          <w:szCs w:val="25"/>
        </w:rPr>
        <w:t xml:space="preserve">§ 2. Zamówienia</w:t>
      </w:r>
    </w:p>
    <w:p>
      <w:pPr>
        <w:spacing w:after="60" w:line="276"/>
        <w:ind w:left="280" w:hanging="280"/>
      </w:pPr>
      <w:r>
        <w:rPr>
          <w:sz w:val="21"/>
          <w:szCs w:val="21"/>
        </w:rPr>
        <w:t xml:space="preserve">1. Zamówienia składa się drogą elektroniczną na adres zamowienia@acme-industries.pl.</w:t>
      </w:r>
    </w:p>
    <w:p>
      <w:pPr>
        <w:spacing w:after="60" w:line="276"/>
        <w:ind w:left="280" w:hanging="280"/>
      </w:pPr>
      <w:r>
        <w:rPr>
          <w:sz w:val="21"/>
          <w:szCs w:val="21"/>
        </w:rPr>
        <w:t xml:space="preserve">2. Dostawca potwierdza przyjęcie zamówienia w terminie 2 dni roboczych. Brak potwierdzenia w tym terminie oznacza nieprzyjęcie zamówienia.</w:t>
      </w:r>
    </w:p>
    <w:p>
      <w:pPr>
        <w:spacing w:after="60" w:line="276"/>
        <w:ind w:left="280" w:hanging="280"/>
      </w:pPr>
      <w:r>
        <w:rPr>
          <w:sz w:val="21"/>
          <w:szCs w:val="21"/>
        </w:rPr>
        <w:t xml:space="preserve">3. Minimalna wartość jednego zamówienia wynosi 2 500 zł netto.</w:t>
      </w:r>
    </w:p>
    <w:p>
      <w:pPr>
        <w:spacing w:after="60" w:line="276"/>
        <w:ind w:left="280" w:hanging="280"/>
      </w:pPr>
      <w:r>
        <w:rPr>
          <w:sz w:val="21"/>
          <w:szCs w:val="21"/>
        </w:rPr>
        <w:t xml:space="preserve">4. Zmiana lub anulowanie potwierdzonego zamówienia wymaga zgody Dostawcy i jest bezpłatna do 3 dni roboczych od potwierdzenia.</w:t>
      </w:r>
    </w:p>
    <w:p>
      <w:pPr>
        <w:spacing w:after="80"/>
      </w:pPr>
    </w:p>
    <w:p>
      <w:pPr>
        <w:pStyle w:val="Heading2"/>
        <w:spacing w:after="100" w:before="200"/>
      </w:pPr>
      <w:r>
        <w:rPr>
          <w:b/>
          <w:bCs/>
          <w:color w:val="252D53"/>
          <w:sz w:val="25"/>
          <w:szCs w:val="25"/>
        </w:rPr>
        <w:t xml:space="preserve">§ 3. Ceny i rabaty</w:t>
      </w:r>
    </w:p>
    <w:p>
      <w:pPr>
        <w:spacing w:after="120" w:line="276"/>
      </w:pPr>
      <w:r>
        <w:rPr>
          <w:b w:val="false"/>
          <w:bCs w:val="false"/>
          <w:sz w:val="21"/>
          <w:szCs w:val="21"/>
        </w:rPr>
        <w:t xml:space="preserve">Ceny określa cennik stanowiący załącznik nr 1 do umowy. Dostawca może zmienić ceny katalogowe nie częściej niż raz na 6 miesięcy, zawiadamiając Odbiorcę na 30 dni przed zmianą. Zaplanowana zmiana cen: 4,5% od 1 kwietnia 2026.</w:t>
      </w:r>
    </w:p>
    <w:p>
      <w:pPr>
        <w:spacing w:after="120" w:line="276"/>
      </w:pPr>
      <w:r>
        <w:rPr>
          <w:b w:val="false"/>
          <w:bCs w:val="false"/>
          <w:sz w:val="21"/>
          <w:szCs w:val="21"/>
        </w:rPr>
        <w:t xml:space="preserve">Rabaty progowe liczone są osobno dla każdej pozycji zamówienia:</w:t>
      </w:r>
    </w:p>
    <w:tbl>
      <w:tblPr>
        <w:tblW w:type="pct" w:w="100%"/>
        <w:tblBorders>
          <w:top w:val="single" w:color="D4D7E3" w:sz="4"/>
          <w:left w:val="single" w:color="D4D7E3" w:sz="4"/>
          <w:bottom w:val="single" w:color="D4D7E3" w:sz="4"/>
          <w:right w:val="single" w:color="D4D7E3" w:sz="4"/>
          <w:insideH w:val="single" w:color="D4D7E3" w:sz="4"/>
          <w:insideV w:val="single" w:color="D4D7E3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66.66666666666666%"/>
            <w:shd w:fill="252D5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Wielkość zamówienia</w:t>
            </w:r>
          </w:p>
        </w:tc>
        <w:tc>
          <w:tcPr>
            <w:tcW w:type="pct" w:w="33.33333333333333%"/>
            <w:shd w:fill="252D5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Rabat</w:t>
            </w:r>
          </w:p>
        </w:tc>
      </w:tr>
      <w:tr>
        <w:tc>
          <w:tcPr>
            <w:tcW w:type="pct" w:w="66.6666666666666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1–9 szt.</w:t>
            </w:r>
          </w:p>
        </w:tc>
        <w:tc>
          <w:tcPr>
            <w:tcW w:type="pct" w:w="33.333333333333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0%</w:t>
            </w:r>
          </w:p>
        </w:tc>
      </w:tr>
      <w:tr>
        <w:tc>
          <w:tcPr>
            <w:tcW w:type="pct" w:w="66.66666666666666%"/>
            <w:shd w:fill="F6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10–24 szt.</w:t>
            </w:r>
          </w:p>
        </w:tc>
        <w:tc>
          <w:tcPr>
            <w:tcW w:type="pct" w:w="33.33333333333333%"/>
            <w:shd w:fill="F6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5%</w:t>
            </w:r>
          </w:p>
        </w:tc>
      </w:tr>
      <w:tr>
        <w:tc>
          <w:tcPr>
            <w:tcW w:type="pct" w:w="66.6666666666666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25–49 szt.</w:t>
            </w:r>
          </w:p>
        </w:tc>
        <w:tc>
          <w:tcPr>
            <w:tcW w:type="pct" w:w="33.333333333333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8%</w:t>
            </w:r>
          </w:p>
        </w:tc>
      </w:tr>
      <w:tr>
        <w:tc>
          <w:tcPr>
            <w:tcW w:type="pct" w:w="66.66666666666666%"/>
            <w:shd w:fill="F6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50–99 szt.</w:t>
            </w:r>
          </w:p>
        </w:tc>
        <w:tc>
          <w:tcPr>
            <w:tcW w:type="pct" w:w="33.33333333333333%"/>
            <w:shd w:fill="F6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12%</w:t>
            </w:r>
          </w:p>
        </w:tc>
      </w:tr>
      <w:tr>
        <w:tc>
          <w:tcPr>
            <w:tcW w:type="pct" w:w="66.6666666666666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100 szt. i więcej</w:t>
            </w:r>
          </w:p>
        </w:tc>
        <w:tc>
          <w:tcPr>
            <w:tcW w:type="pct" w:w="33.333333333333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15%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b w:val="false"/>
          <w:bCs w:val="false"/>
          <w:sz w:val="21"/>
          <w:szCs w:val="21"/>
        </w:rPr>
        <w:t xml:space="preserve">Odbiorcy przysługuje dodatkowy rabat lojalnościowy w wysokości 3% od cen katalogowych, jeżeli wartość zamówień w poprzednim roku kalendarzowym przekroczyła 2 000 000 zł netto. Rabaty nie sumują się z rabatami promocyjnymi.</w:t>
      </w:r>
    </w:p>
    <w:p>
      <w:pPr>
        <w:pStyle w:val="Heading2"/>
        <w:spacing w:after="100" w:before="200"/>
      </w:pPr>
      <w:r>
        <w:rPr>
          <w:b/>
          <w:bCs/>
          <w:color w:val="252D53"/>
          <w:sz w:val="25"/>
          <w:szCs w:val="25"/>
        </w:rPr>
        <w:t xml:space="preserve">§ 4. Dostawa</w:t>
      </w:r>
    </w:p>
    <w:p>
      <w:pPr>
        <w:spacing w:after="60" w:line="276"/>
        <w:ind w:left="280" w:hanging="280"/>
      </w:pPr>
      <w:r>
        <w:rPr>
          <w:sz w:val="21"/>
          <w:szCs w:val="21"/>
        </w:rPr>
        <w:t xml:space="preserve">1. Termin dostawy wynosi 14 dni roboczych od potwierdzenia zamówienia, chyba że karta produktu przewiduje termin dłuższy.</w:t>
      </w:r>
    </w:p>
    <w:p>
      <w:pPr>
        <w:spacing w:after="60" w:line="276"/>
        <w:ind w:left="280" w:hanging="280"/>
      </w:pPr>
      <w:r>
        <w:rPr>
          <w:sz w:val="21"/>
          <w:szCs w:val="21"/>
        </w:rPr>
        <w:t xml:space="preserve">2. Dostawa następuje na warunkach DAP zgodnie z Incoterms 2020, do magazynu Odbiorcy wskazanego w zamówieniu.</w:t>
      </w:r>
    </w:p>
    <w:p>
      <w:pPr>
        <w:spacing w:after="60" w:line="276"/>
        <w:ind w:left="280" w:hanging="280"/>
      </w:pPr>
      <w:r>
        <w:rPr>
          <w:sz w:val="21"/>
          <w:szCs w:val="21"/>
        </w:rPr>
        <w:t xml:space="preserve">3. Transport jest bezpłatny dla zamówień o wartości powyżej 15 000 zł netto.</w:t>
      </w:r>
    </w:p>
    <w:p>
      <w:pPr>
        <w:spacing w:after="60" w:line="276"/>
        <w:ind w:left="280" w:hanging="280"/>
      </w:pPr>
      <w:r>
        <w:rPr>
          <w:sz w:val="21"/>
          <w:szCs w:val="21"/>
        </w:rPr>
        <w:t xml:space="preserve">4. Odbiorca sprawdza zgodność dostawy w chwili odbioru i zgłasza braki ilościowe w protokole odbioru.</w:t>
      </w:r>
    </w:p>
    <w:p>
      <w:pPr>
        <w:spacing w:after="80"/>
      </w:pPr>
    </w:p>
    <w:p>
      <w:pPr>
        <w:pStyle w:val="Heading2"/>
        <w:spacing w:after="100" w:before="200"/>
      </w:pPr>
      <w:r>
        <w:rPr>
          <w:b/>
          <w:bCs/>
          <w:color w:val="252D53"/>
          <w:sz w:val="25"/>
          <w:szCs w:val="25"/>
        </w:rPr>
        <w:t xml:space="preserve">§ 5. Płatności</w:t>
      </w:r>
    </w:p>
    <w:p>
      <w:pPr>
        <w:spacing w:after="120" w:line="276"/>
      </w:pPr>
      <w:r>
        <w:rPr>
          <w:b w:val="false"/>
          <w:bCs w:val="false"/>
          <w:sz w:val="21"/>
          <w:szCs w:val="21"/>
        </w:rPr>
        <w:t xml:space="preserve">Termin płatności wynosi 30 dni od daty wystawienia faktury. Za dzień zapłaty uznaje się dzień uznania rachunku Dostawcy. W razie opóźnienia Dostawcy przysługują odsetki ustawowe za opóźnienie w transakcjach handlowych.</w:t>
      </w:r>
    </w:p>
    <w:p>
      <w:pPr>
        <w:spacing w:after="120" w:line="276"/>
      </w:pPr>
      <w:r>
        <w:rPr>
          <w:b w:val="false"/>
          <w:bCs w:val="false"/>
          <w:sz w:val="21"/>
          <w:szCs w:val="21"/>
        </w:rPr>
        <w:t xml:space="preserve">Limit kredytu kupieckiego Odbiorcy wynosi 600 000 zł. Po jego przekroczeniu Dostawca może wstrzymać realizację kolejnych zamówień do czasu uregulowania zaległości.</w:t>
      </w:r>
    </w:p>
    <w:p>
      <w:pPr>
        <w:pStyle w:val="Heading2"/>
        <w:spacing w:after="100" w:before="200"/>
      </w:pPr>
      <w:r>
        <w:rPr>
          <w:b/>
          <w:bCs/>
          <w:color w:val="252D53"/>
          <w:sz w:val="25"/>
          <w:szCs w:val="25"/>
        </w:rPr>
        <w:t xml:space="preserve">§ 6. Gwarancja</w:t>
      </w:r>
    </w:p>
    <w:p>
      <w:pPr>
        <w:spacing w:after="120" w:line="276"/>
      </w:pPr>
      <w:r>
        <w:rPr>
          <w:b w:val="false"/>
          <w:bCs w:val="false"/>
          <w:sz w:val="21"/>
          <w:szCs w:val="21"/>
        </w:rPr>
        <w:t xml:space="preserve">Dostawca udziela gwarancji na okres 24 miesięcy na konstrukcje regałowe oraz 12 miesięcy na wózki magazynowe i akcesoria, licząc od daty dostawy. Warunkiem utrzymania gwarancji na regały jest wykonanie przeglądu okresowego co 12 miesięcy zgodnie z normą PN-EN 15635.</w:t>
      </w:r>
    </w:p>
    <w:p>
      <w:pPr>
        <w:pStyle w:val="Heading2"/>
        <w:spacing w:after="100" w:before="200"/>
      </w:pPr>
      <w:r>
        <w:rPr>
          <w:b/>
          <w:bCs/>
          <w:color w:val="252D53"/>
          <w:sz w:val="25"/>
          <w:szCs w:val="25"/>
        </w:rPr>
        <w:t xml:space="preserve">§ 7. Kary umowne</w:t>
      </w:r>
    </w:p>
    <w:tbl>
      <w:tblPr>
        <w:tblW w:type="pct" w:w="100%"/>
        <w:tblBorders>
          <w:top w:val="single" w:color="D4D7E3" w:sz="4"/>
          <w:left w:val="single" w:color="D4D7E3" w:sz="4"/>
          <w:bottom w:val="single" w:color="D4D7E3" w:sz="4"/>
          <w:right w:val="single" w:color="D4D7E3" w:sz="4"/>
          <w:insideH w:val="single" w:color="D4D7E3" w:sz="4"/>
          <w:insideV w:val="single" w:color="D4D7E3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.303030303030305%"/>
            <w:shd w:fill="252D5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Zdarzenie</w:t>
            </w:r>
          </w:p>
        </w:tc>
        <w:tc>
          <w:tcPr>
            <w:tcW w:type="pct" w:w="42.42424242424242%"/>
            <w:shd w:fill="252D5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Kara umowna</w:t>
            </w:r>
          </w:p>
        </w:tc>
        <w:tc>
          <w:tcPr>
            <w:tcW w:type="pct" w:w="27.27272727272727%"/>
            <w:shd w:fill="252D5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Limit</w:t>
            </w:r>
          </w:p>
        </w:tc>
      </w:tr>
      <w:tr>
        <w:tc>
          <w:tcPr>
            <w:tcW w:type="pct" w:w="30.30303030303030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Zwłoka w dostawie</w:t>
            </w:r>
          </w:p>
        </w:tc>
        <w:tc>
          <w:tcPr>
            <w:tcW w:type="pct" w:w="42.424242424242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0,2% wartości netto opóźnionej dostawy za każdy dzień</w:t>
            </w:r>
          </w:p>
        </w:tc>
        <w:tc>
          <w:tcPr>
            <w:tcW w:type="pct" w:w="27.2727272727272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15% wartości zamówienia</w:t>
            </w:r>
          </w:p>
        </w:tc>
      </w:tr>
      <w:tr>
        <w:tc>
          <w:tcPr>
            <w:tcW w:type="pct" w:w="30.303030303030305%"/>
            <w:shd w:fill="F6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Zwłoka w usunięciu wady</w:t>
            </w:r>
          </w:p>
        </w:tc>
        <w:tc>
          <w:tcPr>
            <w:tcW w:type="pct" w:w="42.42424242424242%"/>
            <w:shd w:fill="F6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0,1% wartości netto wadliwego towaru za każdy dzień</w:t>
            </w:r>
          </w:p>
        </w:tc>
        <w:tc>
          <w:tcPr>
            <w:tcW w:type="pct" w:w="27.27272727272727%"/>
            <w:shd w:fill="F6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10% wartości zamówienia</w:t>
            </w:r>
          </w:p>
        </w:tc>
      </w:tr>
      <w:tr>
        <w:tc>
          <w:tcPr>
            <w:tcW w:type="pct" w:w="30.30303030303030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Odstąpienie z winy strony</w:t>
            </w:r>
          </w:p>
        </w:tc>
        <w:tc>
          <w:tcPr>
            <w:tcW w:type="pct" w:w="42.424242424242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10% wartości niezrealizowanej części umowy</w:t>
            </w:r>
          </w:p>
        </w:tc>
        <w:tc>
          <w:tcPr>
            <w:tcW w:type="pct" w:w="27.2727272727272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30.303030303030305%"/>
            <w:shd w:fill="F6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Naruszenie poufności</w:t>
            </w:r>
          </w:p>
        </w:tc>
        <w:tc>
          <w:tcPr>
            <w:tcW w:type="pct" w:w="42.42424242424242%"/>
            <w:shd w:fill="F6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50 000 zł za każde naruszenie</w:t>
            </w:r>
          </w:p>
        </w:tc>
        <w:tc>
          <w:tcPr>
            <w:tcW w:type="pct" w:w="27.27272727272727%"/>
            <w:shd w:fill="F6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b w:val="false"/>
          <w:bCs w:val="false"/>
          <w:sz w:val="21"/>
          <w:szCs w:val="21"/>
        </w:rPr>
        <w:t xml:space="preserve">Łączna odpowiedzialność Dostawcy z tytułu umowy nie przekracza 100% wartości zamówień zrealizowanych w ostatnich 12 miesiącach.</w:t>
      </w:r>
    </w:p>
    <w:p>
      <w:pPr>
        <w:pStyle w:val="Heading2"/>
        <w:spacing w:after="100" w:before="200"/>
      </w:pPr>
      <w:r>
        <w:rPr>
          <w:b/>
          <w:bCs/>
          <w:color w:val="252D53"/>
          <w:sz w:val="25"/>
          <w:szCs w:val="25"/>
        </w:rPr>
        <w:t xml:space="preserve">§ 8. Poufność i dane osobowe</w:t>
      </w:r>
    </w:p>
    <w:p>
      <w:pPr>
        <w:spacing w:after="120" w:line="276"/>
      </w:pPr>
      <w:r>
        <w:rPr>
          <w:b w:val="false"/>
          <w:bCs w:val="false"/>
          <w:sz w:val="21"/>
          <w:szCs w:val="21"/>
        </w:rPr>
        <w:t xml:space="preserve">Strony zachowują w poufności informacje handlowe i techniczne uzyskane w związku z umową, przez czas jej obowiązywania i 3 lata po jej zakończeniu. Powierzenie przetwarzania danych osobowych reguluje załącznik nr 2 (umowa powierzenia zgodna z RODO).</w:t>
      </w:r>
    </w:p>
    <w:p>
      <w:pPr>
        <w:pStyle w:val="Heading2"/>
        <w:spacing w:after="100" w:before="200"/>
      </w:pPr>
      <w:r>
        <w:rPr>
          <w:b/>
          <w:bCs/>
          <w:color w:val="252D53"/>
          <w:sz w:val="25"/>
          <w:szCs w:val="25"/>
        </w:rPr>
        <w:t xml:space="preserve">§ 9. Czas trwania i wypowiedzenie</w:t>
      </w:r>
    </w:p>
    <w:p>
      <w:pPr>
        <w:spacing w:after="120" w:line="276"/>
      </w:pPr>
      <w:r>
        <w:rPr>
          <w:b w:val="false"/>
          <w:bCs w:val="false"/>
          <w:sz w:val="21"/>
          <w:szCs w:val="21"/>
        </w:rPr>
        <w:t xml:space="preserve">Umowa zostaje zawarta na 24 miesiące, z możliwością przedłużenia na kolejne 12 miesięcy w drodze aneksu. Każda ze stron może ją wypowiedzieć z zachowaniem 3-miesięcznego okresu wypowiedzenia ze skutkiem na koniec miesiąca kalendarzowego. Zamówienia potwierdzone przed wypowiedzeniem są realizowane na dotychczasowych warunkach.</w:t>
      </w:r>
    </w:p>
    <w:p>
      <w:pPr>
        <w:pStyle w:val="Heading2"/>
        <w:spacing w:after="100" w:before="200"/>
      </w:pPr>
      <w:r>
        <w:rPr>
          <w:b/>
          <w:bCs/>
          <w:color w:val="252D53"/>
          <w:sz w:val="25"/>
          <w:szCs w:val="25"/>
        </w:rPr>
        <w:t xml:space="preserve">§ 10. Postanowienia końcowe</w:t>
      </w:r>
    </w:p>
    <w:p>
      <w:pPr>
        <w:spacing w:after="120" w:line="276"/>
      </w:pPr>
      <w:r>
        <w:rPr>
          <w:b w:val="false"/>
          <w:bCs w:val="false"/>
          <w:sz w:val="21"/>
          <w:szCs w:val="21"/>
        </w:rPr>
        <w:t xml:space="preserve">Zmiany umowy wymagają formy pisemnej pod rygorem nieważności. Spory rozstrzyga sąd właściwy dla siedziby Dostawcy w Poznaniu. W sprawach nieuregulowanych stosuje się przepisy Kodeksu cywilnego.</w:t>
      </w:r>
    </w:p>
    <w:p>
      <w:pPr>
        <w:spacing w:after="120" w:line="276"/>
      </w:pPr>
      <w:r>
        <w:rPr>
          <w:b w:val="false"/>
          <w:bCs w:val="false"/>
          <w:sz w:val="21"/>
          <w:szCs w:val="21"/>
        </w:rPr>
        <w:t xml:space="preserve">Załączniki: nr 1 — cennik 2026; nr 2 — umowa powierzenia przetwarzania danych; nr 3 — warunki SLA.</w:t>
      </w:r>
    </w:p>
    <w:sectPr>
      <w:footerReference w:type="default" r:id="rId7"/>
      <w:pgSz w:w="11906" w:h="16838" w:orient="portrait"/>
      <w:pgMar w:top="1240" w:right="1360" w:bottom="1240" w:left="1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178"/>
        <w:sz w:val="16"/>
        <w:szCs w:val="16"/>
      </w:rPr>
      <w:t xml:space="preserve">Acme Industries sp. z o.o. · Umowa ramowa dostawy nr 04/2026 · dokument demonstracyjny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color w:val="252D53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color w:val="252D53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color w:val="252D5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ramowa dostawy nr 04/2026</dc:title>
  <dc:creator>Acme Industries sp. z o.o.</dc:creator>
  <cp:lastModifiedBy>Un-named</cp:lastModifiedBy>
  <cp:revision>1</cp:revision>
  <dcterms:created xsi:type="dcterms:W3CDTF">2026-09-19T11:41:51.434Z</dcterms:created>
  <dcterms:modified xsi:type="dcterms:W3CDTF">2026-09-19T11:41:51.434Z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