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8a21a894ba14537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pasportyny çalyşandygy sebäpli aşakda görkezilen çakylyklary täze pasportyna görä resmileşdirip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spacing w:after="80"/>
      </w:pPr>
      <w:r>
        <w:rPr>
          <w:rFonts w:ascii="Times New Roman" w:hAnsi="Times New Roman"/>
          <w:sz w:val="30"/>
          <w:b/>
        </w:rPr>
        <w:t xml:space="preserve">Üýtgedilmeli çakylyklar:</w:t>
      </w:r>
    </w:p>
    <w:tbl>
      <w:tblPr>
        <w:tblW w:w="0" w:type="auto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№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Çakylygyň belgisi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Resmileşdirilen senesi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Möhleti</w:t>
            </w: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{{#ds.rows}}{{ds.rows.RowNo}}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{{ds.rows.InvitationNumber}}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{{ds.rows.StartDate}}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{{ds.rows.ExpirationDate}}{{/ds.rows}}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