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d3c70beafc24f0e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Hatymyzyň goşundysynda görkezilen sanawdaky {{ds.CancelPersonCount}} ({{ds.CancelPersonCountText}}) sany daşary ýurt raýatynyň Türkmenistanyň çäginden çykyp gidendigi sebäpli {{ds.CancelPersonCount}} ({{ds.CancelPersonCountText}}) sany wizasyny we {{ds.CancelWPCount}} ({{ds.CancelWPCountText}}) sany işlemek üçin rugsatnamasyny ýatyrmagyňyzy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Daşary ýurt raýatynyň Türkmenistana gelmeginiň, onda bolmagynyň we ondan gitmeginiň düzgünlerini berjaý etmegine jogapkärçiligi kompaniýamyz öz üstüne alýar.</w:t>
      </w:r>
    </w:p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1906" w:h="16838"/>
      <w:pgMar w:top="1440" w:right="1800" w:bottom="1440" w:left="1800"/>
    </w:sectPr>
  </w:body>
</w:document>
</file>