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b660206c1b546d5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Hatymyzyň goşundysynda görkezilen sanawdaky {{ds.TotalPersonCountText}} ({{ds.TotalPersonCount}}) sany daşary ýurt raýatlaryňyň {{ds.BusinessTripStartDateText}}-den {{ds.BusinessTripEndDateText}}-ne çenli {{ds.BusinessTripDurationDays}} gün möhlet bilen {{ds.ToRegionName_Genitive}} iş saparyna gidýandigini size habar berýäris.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Daşary ýurt raýatyныň Türkmenistana gelmeginiň, onda bolmagynyň we ondan gitmeginiň düzgünlerini berjaý etmegine jogapkärçiligi kompäniýamyz öz üstüne alyýar.</w:t>
      </w:r>
    </w:p>
    <w:p/>
    <w:p>
      <w:pPr>
        <w:tabs>
          <w:tab w:val="right" w:pos="8306"/>
        </w:tabs>
        <w:spacing w:before="48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1906" w:h="16838"/>
      <w:pgMar w:top="1440" w:right="1800" w:bottom="1440" w:left="1800"/>
    </w:sectPr>
  </w:body>
</w:document>
</file>