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7741ceda7d241e1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left"/>
        <w:spacing w:after="80"/>
      </w:pPr>
      <w:r>
        <w:rPr>
          <w:rFonts w:ascii="Times New Roman" w:hAnsi="Times New Roman"/>
          <w:sz w:val="30"/>
          <w:b/>
        </w:rPr>
        <w:t xml:space="preserve">{{ds.ProjectContract_Ministry_RecipientBlock}}</w:t>
      </w:r>
    </w:p>
    <w:p/>
    <w:p>
      <w:pPr>
        <w:jc w:val="left"/>
        <w:spacing w:after="80"/>
      </w:pPr>
      <w:r>
        <w:rPr>
          <w:rFonts w:ascii="Times New Roman" w:hAnsi="Times New Roman"/>
          <w:sz w:val="30"/>
          <w:b/>
        </w:rPr>
        <w:t xml:space="preserve">{{ds.ProjectContract_Ministry_FormOfAddress}}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{{ds.ProjectContract_Description}}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Şertname esasynda, öňde goýlan wezipeleri ýetinlikli durmuşa geçirmek üçin hatymyzyň goşundysynda görkezilen "{{ds.Company_Name}}" kompaniýasyna degişli bolan {{ds.TotalPersonCount}} ({{ds.TotalPersonCountText}}) sany daşary ýurt raýatynyň {{ds.BorderZoneLocation_NameTm}} serhet ýaka wizasynyň resmileşdirilmegine ýardam bermegiňizi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Goşundy: 1. Daşary ýurt raýatlarynyň sanawy — {{ds.TotalPersonCount}}
                2. {{ds.TotalPersonCount}} ({{ds.TotalPersonCountText}}) sany daşary ýurt raýatynyň maglumaty</w:t>
      </w:r>
    </w:p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