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fe333a30da34d8f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{{ds.TotalPersonCountText}} ({{ds.TotalPersonCount}}) sany daşary ýurt raýatlyňyň {{ds.BusinessTripStartDateText}}-den {{ds.BusinessTripEndDateText}}-ne çenli {{ds.BusinessTripDurationDays}} gün möhlet bilen {{ds.ToRegionName_Genitive}} {{ds.ToCityName_Dative}} iş saparyna gelendigini size habar berýäris.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  <w:b/>
        </w:rPr>
        <w:t xml:space="preserve">Maksady- </w:t>
      </w:r>
      <w:r>
        <w:rPr>
          <w:rFonts w:ascii="Times New Roman" w:hAnsi="Times New Roman"/>
          <w:sz w:val="30"/>
        </w:rPr>
        <w:t xml:space="preserve">{{ds.BusinessTripPurpose_NameTm}}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