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7700ff9cc44e96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Türkmenistanyň Döwlet migrasiýa gullugynyň başlygyna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raýatynyň pasportyny çalyşandygy sebäpli aşakda görkezilen çakylyklary täze pasportyna görä resmileşdirip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p>
      <w:pPr>
        <w:spacing w:after="80"/>
      </w:pPr>
      <w:r>
        <w:rPr>
          <w:rFonts w:ascii="Times New Roman" w:hAnsi="Times New Roman"/>
          <w:sz w:val="30"/>
          <w:b/>
        </w:rPr>
        <w:t xml:space="preserve">Üýtgedilmeli çakylyklar:</w:t>
      </w:r>
    </w:p>
    <w:tbl>
      <w:tblPr>
        <w:tblW w:w="0" w:type="auto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6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  <w:b/>
              </w:rPr>
              <w:t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  <w:b/>
              </w:rPr>
              <w:t>Çakylygyň belgisi</w:t>
            </w:r>
          </w:p>
        </w:tc>
        <w:tc>
          <w:tcPr>
            <w:tcW w:w="23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  <w:b/>
              </w:rPr>
              <w:t>Resmileşdirilen senesi</w:t>
            </w:r>
          </w:p>
        </w:tc>
        <w:tc>
          <w:tcPr>
            <w:tcW w:w="23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  <w:b/>
              </w:rPr>
              <w:t>Möhleti</w:t>
            </w: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</w:rPr>
              <w:t xml:space="preserve">{{#ds.rows}}{{ds.rows.RowNo}}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</w:rPr>
              <w:t xml:space="preserve">{{ds.rows.InvitationNumber}}</w:t>
            </w:r>
          </w:p>
        </w:tc>
        <w:tc>
          <w:tcPr>
            <w:tcW w:w="23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</w:rPr>
              <w:t xml:space="preserve">{{ds.rows.StartDate}}</w:t>
            </w:r>
          </w:p>
        </w:tc>
        <w:tc>
          <w:tcPr>
            <w:tcW w:w="23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30"/>
              </w:rPr>
              <w:t xml:space="preserve">{{ds.rows.ExpirationDate}}{{/ds.rows}}</w:t>
            </w:r>
          </w:p>
        </w:tc>
      </w:tr>
    </w:tbl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