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da466bfec641ea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{{ds.MigrationService_NameTm}}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    Hatymyzyň goşundysynda görkezilen sanawdaky {{ds.TotalPersonCountText}} ({{ds.TotalPersonCount}}) sany daşary ýurt raýatlyňyň {{ds.BusinessTripStartDateText}}-den {{ds.BusinessTripEndDateText}}-ne çenli {{ds.BusinessTripDurationDays}} gün möhlet bilen {{ds.ToRegionName_Genitive}} {{ds.ToCityName_Dative}} iş saparyna gelendigini size habar berýäris.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  <w:b/>
        </w:rPr>
        <w:t xml:space="preserve">Maksady- </w:t>
      </w:r>
      <w:r>
        <w:rPr>
          <w:rFonts w:ascii="Times New Roman" w:hAnsi="Times New Roman"/>
          <w:sz w:val="30"/>
        </w:rPr>
        <w:t xml:space="preserve">{{ds.BusinessTripPurpose_NameTm}}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    Daşary ýurt raýatyныň Türkmenistana gelmeginiň, onda bolmagynyň we ondan gitmeginiň düzgünlerini berjaý etmegine jogapkärçiligi kompäniýamyz öz üstüne alyýar.</w:t>
      </w:r>
    </w:p>
    <w:p/>
    <w:p>
      <w:pPr>
        <w:tabs>
          <w:tab w:val="right" w:pos="8306"/>
        </w:tabs>
        <w:spacing w:before="480" w:after="0"/>
      </w:pPr>
      <w:r>
        <w:rPr>
          <w:rFonts w:ascii="Times New Roman" w:hAnsi="Times New Roman"/>
          <w:sz w:val="30"/>
          <w:b/>
        </w:rPr>
        <w:t xml:space="preserve">{{ds.Application_CompanyHead_PositionTm}}</w:t>
      </w:r>
      <w:r>
        <w:tab/>
      </w:r>
      <w:r>
        <w:rPr>
          <w:rFonts w:ascii="Times New Roman" w:hAnsi="Times New Roman"/>
          <w:sz w:val="30"/>
          <w:b/>
        </w:rPr>
        <w:t xml:space="preserve">{{ds.Application_CompanyHead_FullName}}</w:t>
      </w:r>
    </w:p>
    <w:sectPr>
      <w:pgSz w:w="11906" w:h="16838"/>
      <w:pgMar w:top="1440" w:right="1800" w:bottom="1440" w:left="1800"/>
    </w:sectPr>
  </w:body>
</w:document>
</file>