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141c74a5e14431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06"/>
        <w:gridCol w:w="6400"/>
      </w:tblGrid>
      <w:tr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/>
          </w:p>
        </w:tc>
        <w:tc>
          <w:tcPr>
            <w:tcW w:w="64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24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{{ds.ProjectContract_Ministry_RecipientBlock_Line1}}</w:t>
            </w:r>
          </w:p>
          <w:p>
            <w:pPr>
              <w:jc w:val="left"/>
              <w:spacing w:after="72"/>
            </w:pPr>
            <w:r>
              <w:rPr>
                <w:rFonts w:ascii="Times New Roman" w:hAnsi="Times New Roman"/>
                <w:sz w:val="30"/>
                <w:b/>
              </w:rPr>
              <w:t xml:space="preserve">{?{ds.ProjectContract_Ministry_RecipientBlock_HasLine2}}{{ds.ProjectContract_Ministry_RecipientBlock_Line2}}{{/}}</w:t>
            </w:r>
          </w:p>
        </w:tc>
      </w:tr>
    </w:tbl>
    <w:p>
      <w:pPr>
        <w:jc w:val="left"/>
        <w:spacing w:after="72"/>
      </w:pPr>
      <w:r>
        <w:rPr>
          <w:rFonts w:ascii="Times New Roman" w:hAnsi="Times New Roman"/>
          <w:sz w:val="24"/>
          <w:i/>
          <w:color w:val="000000"/>
          <w:u w:val="none"/>
        </w:rPr>
        <w:t xml:space="preserve">{?{ds.ApplicationType_ShowUrgency}}{{ds.Urgency_NameTm}}{{/}}</w:t>
      </w:r>
    </w:p>
    <w:p>
      <w:pPr>
        <w:jc w:val="center"/>
        <w:spacing w:after="200"/>
      </w:pPr>
      <w:r>
        <w:rPr>
          <w:rFonts w:ascii="Times New Roman" w:hAnsi="Times New Roman"/>
          <w:sz w:val="30"/>
          <w:b/>
          <w:u w:val="none"/>
          <w:color w:val="000000"/>
        </w:rPr>
        <w:t xml:space="preserve">{{ds.ProjectContract_Ministry_FormOfAddress}}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«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» kompaniýasyna degişli bolan sanawdaky </w:t>
      </w:r>
      <w:r>
        <w:rPr>
          <w:rFonts w:ascii="Times New Roman" w:hAnsi="Times New Roman"/>
          <w:sz w:val="30"/>
          <w:b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 üçin Türkmenistanyň Döwlet migrasiýa gullugy tarapyndan wizasyny we iş rugsatnamasyny </w:t>
      </w:r>
      <w:r>
        <w:rPr>
          <w:rFonts w:ascii="Times New Roman" w:hAnsi="Times New Roman"/>
          <w:sz w:val="30"/>
          <w:b/>
        </w:rPr>
        <w:t xml:space="preserve">{{ds.VisaPeriod_NameTm}} {{ds.VisaCategory_NameTm}}</w:t>
      </w:r>
      <w:r>
        <w:rPr>
          <w:rFonts w:ascii="Times New Roman" w:hAnsi="Times New Roman"/>
          <w:sz w:val="30"/>
        </w:rPr>
        <w:t xml:space="preserve"> möhlet bilen uzadylmagyna rugsat berilmegine ýardam bermegini Sizden haýyş edýäris.</w:t>
      </w:r>
    </w:p>
    <w:p>
      <w:pPr>
        <w:jc w:val="both"/>
        <w:ind w:firstLine="720"/>
        <w:spacing w:after="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Daşary ýurtly raýatlaryň pasport nusgalary – {{ds.TotalPersonCount}} sany</w:t>
      </w:r>
    </w:p>
    <w:p>
      <w:pPr>
        <w:jc w:val="left"/>
        <w:spacing w:after="80"/>
      </w:pPr>
      <w:r>
        <w:rPr>
          <w:rFonts w:ascii="Times New Roman" w:hAnsi="Times New Roman"/>
          <w:sz w:val="30"/>
        </w:rPr>
        <w:t xml:space="preserve">                2. Goşundy ( {{ds.TotalPersonCount}} sany daşary ýurt raýatynyň maglumaty)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